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13.09.2026  |  6 Studien  |  ncd.m-vf.de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Parasternal-Muskeldicke sagt Weaning-Misserfolg bei COPD-Patienten voraus</w:t>
      </w:r>
    </w:p>
    <w:p>
      <w:r>
        <w:rPr>
          <w:i/>
          <w:color w:val="666666"/>
          <w:sz w:val="18"/>
        </w:rPr>
        <w:t>Gürün Kaya A et al.  ·  BMJ Open Respir Res  ·  11.09.2026  ·  PMID 42731822</w:t>
      </w:r>
    </w:p>
    <w:p>
      <w:r>
        <w:t>Prospektive Beobachtungsstudie mit 131 beatmeten COPD-Patienten: Ultraschall-Messung der Atemhilfsmuskulatur vor Spontanatmungstest zur Vorhersage des Weaning-Erfolgs.</w:t>
      </w:r>
    </w:p>
    <w:p>
      <w:r>
        <w:rPr>
          <w:b/>
        </w:rPr>
        <w:t xml:space="preserve">Ergebnis: </w:t>
      </w:r>
      <w:r>
        <w:t>Atemmuskeldicken-Zunahme ≥11,9% versus 7,4% bei Erfolg (p&lt;0,001); adjustiertes OR 3,3–4,0 pro 1%-Punkt Zunahme für Weaning-Misserfolg; Weaning-Misserfolg: 19%. Ultraschall der Atemhilfsmuskulatur identifiziert High-Risk-Patienten zuverlässig.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Universitätsklinik; Methode ist in deutschen Intensivstationen verfügbar und anwendbar</w:t>
      </w:r>
    </w:p>
    <w:p>
      <w:r>
        <w:rPr>
          <w:color w:val="5A7D3A"/>
          <w:sz w:val="18"/>
        </w:rPr>
        <w:t>https://pubmed.ncbi.nlm.nih.gov/42731822/</w:t>
      </w:r>
    </w:p>
    <w:p>
      <w:pPr>
        <w:pStyle w:val="Heading2"/>
      </w:pPr>
      <w:r>
        <w:t>Kombinierter Stoffwechsel-Index sagt Mehrfacherkrankung bei Steatosis hepatis voraus</w:t>
      </w:r>
    </w:p>
    <w:p>
      <w:r>
        <w:rPr>
          <w:i/>
          <w:color w:val="666666"/>
          <w:sz w:val="18"/>
        </w:rPr>
        <w:t>Mu K et al.  ·  Cardiovasc Diabetol  ·  23.08.2026  ·  PMID 42728598</w:t>
      </w:r>
    </w:p>
    <w:p>
      <w:r>
        <w:t>Prospektive Kohortenstudie mit 109.434 Personen aus UK Biobank: Sieben Cholesterol-HDL-Glukose-abgeleitete Indizes zur Vorhersage kardio-metaboler Mehrfacherkrankung (mindestens 2 von 3: T2D, KHK, Schlaganfall) bei nicht-alkoholischer Fettlebererkrankung.</w:t>
      </w:r>
    </w:p>
    <w:p>
      <w:r>
        <w:rPr>
          <w:b/>
        </w:rPr>
        <w:t xml:space="preserve">Ergebnis: </w:t>
      </w:r>
      <w:r>
        <w:t>4.225 Mehrfacherkrankungen über 16,4 Jahre. CHG-Waist-to-Height-Ratio: HR 1,61 pro SD (95%-KI 1,57–1,65); CHG-Taillenumfang: HR 1,59. Kombination der Indizes besserte C-Index und Reklassifizierung. Stärkste Assoziationen für Transition T2D→Mehrfacherkrankung.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 mit deutschen Gesundheitsdaten und Versorgungsstrukturen</w:t>
      </w:r>
    </w:p>
    <w:p>
      <w:r>
        <w:rPr>
          <w:color w:val="5A7D3A"/>
          <w:sz w:val="18"/>
        </w:rPr>
        <w:t>https://pubmed.ncbi.nlm.nih.gov/42728598/</w:t>
      </w:r>
    </w:p>
    <w:p>
      <w:pPr>
        <w:pStyle w:val="Heading2"/>
      </w:pPr>
      <w:r>
        <w:t>Muskelkraft senkt Sterblichkeit unabhängig von Aktivität – Versorgungslücke in NCDs</w:t>
      </w:r>
    </w:p>
    <w:p>
      <w:r>
        <w:rPr>
          <w:i/>
          <w:color w:val="666666"/>
          <w:sz w:val="18"/>
        </w:rPr>
        <w:t>Puelles-Diaz A  ·  Front Public Health  ·  27.08.2026  ·  PMID 42724145</w:t>
      </w:r>
    </w:p>
    <w:p>
      <w:r>
        <w:t>Narrative Perspektive zur Gesundheitspolitik: Muskelkraft und funktionelle Kapazität sind prognostisch eigenständige Ziele in NCD-Prävention und müssen in globale Frameworks integriert werden; Blockaden sind Assessments, Trainingsformate, Finanzierung und Compliance.</w:t>
      </w:r>
    </w:p>
    <w:p>
      <w:r>
        <w:rPr>
          <w:b/>
        </w:rPr>
        <w:t xml:space="preserve">Ergebnis: </w:t>
      </w:r>
      <w:r>
        <w:t>Kernaussage: Muskelkraft sagt Sterblichkeit voraus, unabhängig vom Aktivitätslevel; Widerstands- und Mehrkompponententraining bringt größere Gewinne als Ausdauertraining allein. Größte Effekte bei Patienten mit Funktionsbeeinträchtigung. Drei Integrationslücken: fehlende Assessments in Primärversorgung, Unterpriorisierung von Resistanztraining, Abwesenheit in WHO-NCD-Zielen.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 (Japan, Europa, Nordamerika, Brasilien), direkt relevant für deutsche NCD-Politik und Strukturen</w:t>
      </w:r>
    </w:p>
    <w:p>
      <w:r>
        <w:rPr>
          <w:color w:val="5A7D3A"/>
          <w:sz w:val="18"/>
        </w:rPr>
        <w:t>https://pubmed.ncbi.nlm.nih.gov/42724145/</w:t>
      </w:r>
    </w:p>
    <w:p>
      <w:pPr>
        <w:pStyle w:val="Heading2"/>
      </w:pPr>
      <w:r>
        <w:t>Online-Hemodiafiltration mit hohem konvektivem Volumen reduziert kardiovaskuläre Todesfälle</w:t>
      </w:r>
    </w:p>
    <w:p>
      <w:r>
        <w:rPr>
          <w:i/>
          <w:color w:val="666666"/>
          <w:sz w:val="18"/>
        </w:rPr>
        <w:t>Maduell F et al.  ·  Contrib Nephrol  ·  10.09.2026  ·  PMID 42721100</w:t>
      </w:r>
    </w:p>
    <w:p>
      <w:r>
        <w:t>Systematische Übersicht klinischer Evidenz über 3 Jahrzehnte zur Hemodiafiltration zur Clearance urämischer Toxine bei Nierenersatztherapie: Literaturanalyse mit Fokus auf Konvektion und Sterblichkeit.</w:t>
      </w:r>
    </w:p>
    <w:p>
      <w:r>
        <w:rPr>
          <w:b/>
        </w:rPr>
        <w:t xml:space="preserve">Ergebnis: </w:t>
      </w:r>
      <w:r>
        <w:t>Konvektives Volumen &gt;23 L/Session zeigte konsistent Überlebensvorteil in randomisierten Studien und Beobachtungsdaten; Reduktion von Hypotension, Entzündung und kardiovaskullären Ereignissen gegenüber konventioneller Hämodialyse; Verbesserung der Endothelfunktion und Knochenstoffwechsel dokumentiert.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Europa: Evidenz aus RCTs und Poolanalysen zu etablierter Technik mit direkter Anwendbarkeit</w:t>
      </w:r>
    </w:p>
    <w:p>
      <w:r>
        <w:rPr>
          <w:color w:val="5A7D3A"/>
          <w:sz w:val="18"/>
        </w:rPr>
        <w:t>https://pubmed.ncbi.nlm.nih.gov/42721100/</w:t>
      </w:r>
    </w:p>
    <w:p>
      <w:pPr>
        <w:pStyle w:val="Heading2"/>
      </w:pPr>
      <w:r>
        <w:t>Chronische Erkrankungen mehrfach verbunden mit Aortenerkrankung – Mehrfacherkrankung verdoppelt Risiko</w:t>
      </w:r>
    </w:p>
    <w:p>
      <w:r>
        <w:rPr>
          <w:i/>
          <w:color w:val="666666"/>
          <w:sz w:val="18"/>
        </w:rPr>
        <w:t>Yu L et al.  ·  Nat Commun  ·  11.08.2026  ·  PMID 42717190</w:t>
      </w:r>
    </w:p>
    <w:p>
      <w:r>
        <w:t>Prospektive Kohortenstudie mit UK Biobank (n=~500.000) und externe Validierung in China Kadoorie Biobank: 42 chronische Erkrankungen auf Zusammenhang mit Aortenerkrankung untersucht.</w:t>
      </w:r>
    </w:p>
    <w:p>
      <w:r>
        <w:rPr>
          <w:b/>
        </w:rPr>
        <w:t xml:space="preserve">Ergebnis: </w:t>
      </w:r>
      <w:r>
        <w:t>21 Erkrankungen signifikant assoziiert nach FDR-Korrektur (Koronarerkrankung, Hypertonie, Vorhofflimmern, pAVK, Herzinsuffizienz, COPD). Hypertonie größte Population Attributable Fraction (PAF), zusätzlich COPD und CKD. Höhere Multimorbidität→höheres Risiko in beiden Kohorten. Aortenatherosklerose zeigt breiteste Komorbiditätsprofile.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+ China Kadoorie Biobank, Methodik und Risikoprofile übertragbar auf deutsches Gesundheitssystem</w:t>
      </w:r>
    </w:p>
    <w:p>
      <w:r>
        <w:rPr>
          <w:color w:val="5A7D3A"/>
          <w:sz w:val="18"/>
        </w:rPr>
        <w:t>https://pubmed.ncbi.nlm.nih.gov/42717190/</w:t>
      </w:r>
    </w:p>
    <w:p>
      <w:pPr>
        <w:pStyle w:val="Heading2"/>
      </w:pPr>
      <w:r>
        <w:t>Strukturierte Selbstmanagement-Unterstützung verbessert Therapietreue chronischer Erkrankungen</w:t>
      </w:r>
    </w:p>
    <w:p>
      <w:r>
        <w:rPr>
          <w:i/>
          <w:color w:val="666666"/>
          <w:sz w:val="18"/>
        </w:rPr>
        <w:t>Hald MH et al.  ·  Patient Educ Couns  ·  27.07.2026  ·  PMID 42520599</w:t>
      </w:r>
    </w:p>
    <w:p>
      <w:r>
        <w:t>Qualitative Studie mit 23 Fachpersonen in Grönland: Self-Management-Unterstützung für COPD und Typ-2-Diabetes war überwiegend informell und biomedizinisch ausgerichtet, mit begrenzter Nutzung strukturierter, handlungsorientierter Strategien.</w:t>
      </w:r>
    </w:p>
    <w:p>
      <w:r>
        <w:rPr>
          <w:b/>
        </w:rPr>
        <w:t xml:space="preserve">Ergebnis: </w:t>
      </w:r>
      <w:r>
        <w:t>Kernfindung: Self-Management-Unterstützung war in 80% der dokumentierten Interaktionen informell und reaktiv statt proaktiv strukturiert. Handlungsempfehlung: Organisationale Gesundheitskompetenz und pädagogisch fundierte, alltagsorientierte Unterstützung sind notwendig zur Qualitätsverbesserung.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Grönland-Studie; übertragbar auf dezentralisierte und ressourcenbegrenzte Systeme in Deutschland</w:t>
      </w:r>
    </w:p>
    <w:p>
      <w:r>
        <w:rPr>
          <w:color w:val="5A7D3A"/>
          <w:sz w:val="18"/>
        </w:rPr>
        <w:t>https://pubmed.ncbi.nlm.nih.gov/42520599/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2026-09-13T06:00:00Z</dcterms:created>
  <dcterms:modified xsi:type="dcterms:W3CDTF">2026-09-13T06:00:00Z</dcterms:modified>
  <cp:category/>
</cp:coreProperties>
</file>