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01.10.2026  |  5 Studien  |  ncd.m-vf.de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Psychosomatic Belastung bei Jugendlichen mit chronischen Erkrankungen im Übergang zur Erwachsenenmedizin</w:t>
      </w:r>
    </w:p>
    <w:p>
      <w:r>
        <w:rPr>
          <w:i/>
          <w:color w:val="666666"/>
          <w:sz w:val="18"/>
        </w:rPr>
        <w:t>Choukair D et al.  ·  PLoS One  ·  30.09.2026  ·  PMID 42814714</w:t>
      </w:r>
    </w:p>
    <w:p>
      <w:r>
        <w:t>Querschnittsstudie an 92 Jugendlichen mit chronischen Erkrankungen zur Erfassung psychosozialer Belastung, Familienstruktur und Unterstützungsbedarf beim Transition-Prozess mit validierten Fragebögen.</w:t>
      </w:r>
    </w:p>
    <w:p>
      <w:r>
        <w:rPr>
          <w:b/>
        </w:rPr>
        <w:t xml:space="preserve">Ergebnis: </w:t>
      </w:r>
      <w:r>
        <w:t>39,6% moderate somatische Beschwerden, 20,6% depressive Symptome, 11,9% Angststörungssymptome; reduzierte Familienstruktur korrelierte signifikant mit höherer psychosomatischer Symptombelastung (p&lt;0,05). Psychosoziale Belastung sollte systematisch in Transition-Programme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Strukturen der Kindermedizin und Transitionsmedizin.</w:t>
      </w:r>
    </w:p>
    <w:p>
      <w:r>
        <w:rPr>
          <w:color w:val="5A7D3A"/>
          <w:sz w:val="18"/>
        </w:rPr>
        <w:t>https://pubmed.ncbi.nlm.nih.gov/42814714/</w:t>
      </w:r>
    </w:p>
    <w:p>
      <w:pPr>
        <w:pStyle w:val="Heading2"/>
      </w:pPr>
      <w:r>
        <w:t>Kostenwirksamkeit eines dezentralen Versorgungsmodells für Hepatitis B in remote Gemeinden</w:t>
      </w:r>
    </w:p>
    <w:p>
      <w:r>
        <w:rPr>
          <w:i/>
          <w:color w:val="666666"/>
          <w:sz w:val="18"/>
        </w:rPr>
        <w:t>Nguyen H et al.  ·  Med J Aust  ·  Okt. 2026  ·  PMID 42811936</w:t>
      </w:r>
    </w:p>
    <w:p>
      <w:r>
        <w:t>Retrospektive Kohortenstudie (2014-2023) von 1063 First-Nations-Personen mit chronischer Hepatitis B zur Kosten-Analyse des Hep-B-PAST-Programms versus Standard-Versorgung in Australien.</w:t>
      </w:r>
    </w:p>
    <w:p>
      <w:r>
        <w:rPr>
          <w:b/>
        </w:rPr>
        <w:t xml:space="preserve">Ergebnis: </w:t>
      </w:r>
      <w:r>
        <w:t>Mediane Jahreskosten pro Person ähnlich: Standard $639 (IQR 366–1156) vs. Hep-B-PAST $770 (IQR 400–1272), p=0,12; Mittelwerte Standard $1701 vs. $1970 (p=0,12); dezentrales Modell führte nicht zu Kostensteigerung bei verbesserter Therapie-Adhärenz.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vergleichbare öffentliche Versorgungssysteme; Dezentralisierung ist kosteneffizient.</w:t>
      </w:r>
    </w:p>
    <w:p>
      <w:r>
        <w:rPr>
          <w:color w:val="5A7D3A"/>
          <w:sz w:val="18"/>
        </w:rPr>
        <w:t>https://pubmed.ncbi.nlm.nih.gov/42811936/</w:t>
      </w:r>
    </w:p>
    <w:p>
      <w:pPr>
        <w:pStyle w:val="Heading2"/>
      </w:pPr>
      <w:r>
        <w:t>Krankheitslast nicht-übertragbarer Erkrankungen in bangladeschischen Krankenhäusern</w:t>
      </w:r>
    </w:p>
    <w:p>
      <w:r>
        <w:rPr>
          <w:i/>
          <w:color w:val="666666"/>
          <w:sz w:val="18"/>
        </w:rPr>
        <w:t>Proma SB et al.  ·  Mymensingh Med J  ·  Okt. 2026  ·  PMID 42811840</w:t>
      </w:r>
    </w:p>
    <w:p>
      <w:r>
        <w:t>Retrospektive Querschnittsanalyse von 6698 Krankenhausaufnahmen 2022 an einem Tertiärzentrum zur Erfassung der Häufigkeit, Muster und Mortalität durch nicht-übertragbare Erkrankungen.</w:t>
      </w:r>
    </w:p>
    <w:p>
      <w:r>
        <w:rPr>
          <w:b/>
        </w:rPr>
        <w:t xml:space="preserve">Ergebnis: </w:t>
      </w:r>
      <w:r>
        <w:t>42,05% aller Aufnahmen NCDs; weiblich 56,37%, männlich 43,63%; Häufigste Erkrankungen Hypertonie (33,22%), Diabetes (25,34%), Schlaganfall (17,85%), kardiovaskulär (12,14%); NCDs verursachten 88,41% aller Todesfälle (n=164), hauptsächlich kardiovaskulär, Schlaganfall, chronische Atemwegserkrankungen.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Bangladesch, Ressourcen-limitierte Versorgung; Handlungsbedarf zur Prävention und Früherkennung NCDs evident.</w:t>
      </w:r>
    </w:p>
    <w:p>
      <w:r>
        <w:rPr>
          <w:color w:val="5A7D3A"/>
          <w:sz w:val="18"/>
        </w:rPr>
        <w:t>https://pubmed.ncbi.nlm.nih.gov/42811840/</w:t>
      </w:r>
    </w:p>
    <w:p>
      <w:pPr>
        <w:pStyle w:val="Heading2"/>
      </w:pPr>
      <w:r>
        <w:t>Bewegung in die Krankenhausversorgung: Integrierung von Physiotherapie in die chronische Versorgung</w:t>
      </w:r>
    </w:p>
    <w:p>
      <w:r>
        <w:rPr>
          <w:i/>
          <w:color w:val="666666"/>
          <w:sz w:val="18"/>
        </w:rPr>
        <w:t>Barrera-Garcimartín A et al.  ·  Int J Qual Stud Health Well-being  ·  31.12.2026  ·  PMID 42808772</w:t>
      </w:r>
    </w:p>
    <w:p>
      <w:r>
        <w:t>Qualitative Fokusgruppentudie mit 8 Fachpersonen eines öffentlichen Krankenhauses in Spanien zur Rolle von körperlicher Aktivität in der chronischen Versorgung.</w:t>
      </w:r>
    </w:p>
    <w:p>
      <w:r>
        <w:rPr>
          <w:b/>
        </w:rPr>
        <w:t xml:space="preserve">Ergebnis: </w:t>
      </w:r>
      <w:r>
        <w:t>Teilnehmende beschrieben niedrige Aktivität, mangelnde Ressourcen, fehlende institutionelle Unterstützung und schwache Rahmenbedingungen als Barrieren. Als zentral identifiziert: Integration von Sportfachpersonen, Entwicklung strukturierter Programme, stärkere Collaboration mit externen Institutionen.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öffentliche Krankenhaussysteme; Umsetzungshindernisse sind System-unabhängig.</w:t>
      </w:r>
    </w:p>
    <w:p>
      <w:r>
        <w:rPr>
          <w:color w:val="5A7D3A"/>
          <w:sz w:val="18"/>
        </w:rPr>
        <w:t>https://pubmed.ncbi.nlm.nih.gov/42808772/</w:t>
      </w:r>
    </w:p>
    <w:p>
      <w:pPr>
        <w:pStyle w:val="Heading2"/>
      </w:pPr>
      <w:r>
        <w:t>Minimale klinische Relevanz der EQ-VAS bei Post-COVID: Tagesschwankungen und Mess-Standards</w:t>
      </w:r>
    </w:p>
    <w:p>
      <w:r>
        <w:rPr>
          <w:i/>
          <w:color w:val="666666"/>
          <w:sz w:val="18"/>
        </w:rPr>
        <w:t>Kopp J et al.  ·  BMJ Open  ·  25.09.2026  ·  PMID 42790915</w:t>
      </w:r>
    </w:p>
    <w:p>
      <w:r>
        <w:t>Sekundäranalyse von täglichen EQ-VAS-Werten über 7 Tage bei 153 Post-COVID-Patienten aus einem randomisierten Kontrollversuch zur Bestimmung der minimalen wichtigen Differenz (MID).</w:t>
      </w:r>
    </w:p>
    <w:p>
      <w:r>
        <w:rPr>
          <w:b/>
        </w:rPr>
        <w:t xml:space="preserve">Ergebnis: </w:t>
      </w:r>
      <w:r>
        <w:t>Baseline-Median EQ-VAS 48,7 (0-100 Skala); tageszeitliche Variabilität (Median wpSD 6,4); verteilungsbasierte MID 5,9–8,9 Punkte; ankerbasierte MID 8,96 Punkte (FACIT-Fatigue); empfohlener MID-Wert 8 Punkte für zukünftige 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 Versorgungsstrukturen; Messstandardisierung ist System-unabhängig.</w:t>
      </w:r>
    </w:p>
    <w:p>
      <w:r>
        <w:rPr>
          <w:color w:val="5A7D3A"/>
          <w:sz w:val="18"/>
        </w:rPr>
        <w:t>https://pubmed.ncbi.nlm.nih.gov/42790915/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