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06.10.2026  |  6 Studien  |  ncd.m-vf.de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Hausarztpraxen für Flüchtlinge mit Hepatitis B besser geeignet als Spezialkliniken</w:t>
      </w:r>
    </w:p>
    <w:p>
      <w:r>
        <w:rPr>
          <w:i/>
          <w:color w:val="666666"/>
          <w:sz w:val="18"/>
        </w:rPr>
        <w:t>Fakhouri A et al.  ·  Aust J Prim Health  ·  20.10.2026  ·  PMID 42833621</w:t>
      </w:r>
    </w:p>
    <w:p>
      <w:r>
        <w:t>Qualitative australische Studie (15 semi-strukturierte Interviews): Erkundung, wie Hausarztpraxen für Flüchtlinge chronische Hepatitis-B-Versorgung gestalten und wo Verbesserungen nötig sind.</w:t>
      </w:r>
    </w:p>
    <w:p>
      <w:r>
        <w:rPr>
          <w:b/>
        </w:rPr>
        <w:t xml:space="preserve">Ergebnis: </w:t>
      </w:r>
      <w:r>
        <w:t>Hausarztpraxen bieten Vorteile: Comunity-Integration, Rapport, Dolmetscher-Services. Barrieren sind Gesundheitskompetenz und Kosten. Empfehlung: Finanzierung und Schulung von Hausarztpraxen zur HBV-Versorgung würden bessere Ergebnisse für vulnerable Bevölkerung bringen.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- hohes Einkommen, andere Struktur, aber Ungleichheitsfrage universell</w:t>
      </w:r>
    </w:p>
    <w:p>
      <w:r>
        <w:rPr>
          <w:color w:val="5A7D3A"/>
          <w:sz w:val="18"/>
        </w:rPr>
        <w:t>https://pubmed.ncbi.nlm.nih.gov/42833621/</w:t>
      </w:r>
    </w:p>
    <w:p>
      <w:pPr>
        <w:pStyle w:val="Heading2"/>
      </w:pPr>
      <w:r>
        <w:t>Ein Viertel der COPD-Patienten hat Exazerbationen trotz Doppel- oder Tripeltherapie</w:t>
      </w:r>
    </w:p>
    <w:p>
      <w:r>
        <w:rPr>
          <w:i/>
          <w:color w:val="666666"/>
          <w:sz w:val="18"/>
        </w:rPr>
        <w:t>Radovanovic D et al.  ·  Int J Chron Obstruct Pulmon Dis  ·  30.09.2026  ·  PMID 42831088</w:t>
      </w:r>
    </w:p>
    <w:p>
      <w:r>
        <w:t>Italienische GULP-Kohorte (1.111 COPD-Patienten): Exploratorische Analyse zur Häufigkeit anhaltender Symptome unter optimaler Erhaltungstherapie und Identifikation von Kandidaten für Biologika.</w:t>
      </w:r>
    </w:p>
    <w:p>
      <w:r>
        <w:rPr>
          <w:b/>
        </w:rPr>
        <w:t xml:space="preserve">Ergebnis: </w:t>
      </w:r>
      <w:r>
        <w:t>Von 1.111 Patienten hatten 286 (25,7%) ≥2 moderate oder ≥1 schwere Exazerbation/Jahr trotz Doppel- oder Tripeltherapie. Davon zeigten 51–75% hohe Symptombelastung (Dyspnoe, Husten, Sputum), nur 7,2% eosinophile COPD. Dupilumab in Italien für eosinophile exazerbierende COPD zugelassen.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europäisches Sozialversicherungssystem, vergleichbare DMP-Struktur</w:t>
      </w:r>
    </w:p>
    <w:p>
      <w:r>
        <w:rPr>
          <w:color w:val="5A7D3A"/>
          <w:sz w:val="18"/>
        </w:rPr>
        <w:t>https://pubmed.ncbi.nlm.nih.gov/42831088/</w:t>
      </w:r>
    </w:p>
    <w:p>
      <w:pPr>
        <w:pStyle w:val="Heading2"/>
      </w:pPr>
      <w:r>
        <w:t>Schwere Fettleber assoziiert mit Fibrose bei chronischer Hepatitis B in Afrika</w:t>
      </w:r>
    </w:p>
    <w:p>
      <w:r>
        <w:rPr>
          <w:i/>
          <w:color w:val="666666"/>
          <w:sz w:val="18"/>
        </w:rPr>
        <w:t>Chabala FW et al.  ·  J Viral Hepat  ·  Nov. 2026  ·  PMID 42830592</w:t>
      </w:r>
    </w:p>
    <w:p>
      <w:r>
        <w:t>Multiländer-Studie (HEPSANET) mit 1.601 CHB-Patienten in sechs afrikanischen Ländern: Transiente Elastographie zeigte, dass schwere Steatose unabhängig mit erhöhtem Fibrose-Risiko verbunden war.</w:t>
      </w:r>
    </w:p>
    <w:p>
      <w:r>
        <w:rPr>
          <w:b/>
        </w:rPr>
        <w:t xml:space="preserve">Ergebnis: </w:t>
      </w:r>
      <w:r>
        <w:t>Schwere Steatose (CAP ≥280 dB/m) war mit 8,4% erhöhter Fibrose-Wahrscheinlichkeit assoziiert (95%-KI 1,9-14,9%). Milde und moderate Steatose zeigten diese Assoziation nicht. Prävalenz von Fettleber: 26,3%, davon 13,7% schwer.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andere Soziostruktur - Screening-Implikation übertragbar</w:t>
      </w:r>
    </w:p>
    <w:p>
      <w:r>
        <w:rPr>
          <w:color w:val="5A7D3A"/>
          <w:sz w:val="18"/>
        </w:rPr>
        <w:t>https://pubmed.ncbi.nlm.nih.gov/42830592/</w:t>
      </w:r>
    </w:p>
    <w:p>
      <w:pPr>
        <w:pStyle w:val="Heading2"/>
      </w:pPr>
      <w:r>
        <w:t>Bewegung reduzierte Mortalität und Leberversagen bei chronischer Hepatitis B um 11 Prozent</w:t>
      </w:r>
    </w:p>
    <w:p>
      <w:r>
        <w:rPr>
          <w:i/>
          <w:color w:val="666666"/>
          <w:sz w:val="18"/>
        </w:rPr>
        <w:t>Song BG et al.  ·  J Viral Hepat  ·  Nov. 2026  ·  PMID 42830566</w:t>
      </w:r>
    </w:p>
    <w:p>
      <w:r>
        <w:t>Südkoreanische Kohortenstudie mit 318.131 CHB-Patienten: Wer körperliche Aktivität aufnahm, hatte niedrigere Risiken für Tod und Komplikationen als körperlich Inaktive.</w:t>
      </w:r>
    </w:p>
    <w:p>
      <w:r>
        <w:rPr>
          <w:b/>
        </w:rPr>
        <w:t xml:space="preserve">Ergebnis: </w:t>
      </w:r>
      <w:r>
        <w:t>Hazard Ratio für Mortalität 0,89 (95%-KI 0,84-0,94) bei Aufnahme von Ausdaueraktivität; für Leberversagen subdistribution HR 0,94 (95%-KI 0,92-0,97) über 7,9 Jahre Nachfolge. Der Effekt war stärker in älteren, weiblichen und nicht-rauchenden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- vergleichbares Gesundheitssystem, Versicherungsdaten hochwertig</w:t>
      </w:r>
    </w:p>
    <w:p>
      <w:r>
        <w:rPr>
          <w:color w:val="5A7D3A"/>
          <w:sz w:val="18"/>
        </w:rPr>
        <w:t>https://pubmed.ncbi.nlm.nih.gov/42830566/</w:t>
      </w:r>
    </w:p>
    <w:p>
      <w:pPr>
        <w:pStyle w:val="Heading2"/>
      </w:pPr>
      <w:r>
        <w:t>Chronische Erkrankungen bei Kindern: Register unterschätzen Prävalenz um mindestens 10 Prozent</w:t>
      </w:r>
    </w:p>
    <w:p>
      <w:r>
        <w:rPr>
          <w:i/>
          <w:color w:val="666666"/>
          <w:sz w:val="18"/>
        </w:rPr>
        <w:t>Andersen A et al.  ·  Eur J Pediatr  ·  03.10.2026  ·  PMID 42828548</w:t>
      </w:r>
    </w:p>
    <w:p>
      <w:r>
        <w:t>Dänische Studie: Verglich nationale Register mit Selbstberichten auf Prävalenz chronischer Erkrankungen bei Kindern und Jugendlichen; Registerbasierte Methode erfasst nur einen Teil.</w:t>
      </w:r>
    </w:p>
    <w:p>
      <w:r>
        <w:rPr>
          <w:b/>
        </w:rPr>
        <w:t xml:space="preserve">Ergebnis: </w:t>
      </w:r>
      <w:r>
        <w:t>Register zeigten Prävalenz 9,3–22,0% je nach Alter und Geschlecht; Selbstberichte 28,4–34,2%. 14,6–15,3% der Jugendlichen mit selbstberichteter chronischer Erkrankung waren im Alltag beeinträchtigt – im Register nicht sichtbar.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- skandinavisches System, enge Datenbankqualität wie in Deutschland, Methodenfrage universal</w:t>
      </w:r>
    </w:p>
    <w:p>
      <w:r>
        <w:rPr>
          <w:color w:val="5A7D3A"/>
          <w:sz w:val="18"/>
        </w:rPr>
        <w:t>https://pubmed.ncbi.nlm.nih.gov/42828548/</w:t>
      </w:r>
    </w:p>
    <w:p>
      <w:pPr>
        <w:pStyle w:val="Heading2"/>
      </w:pPr>
      <w:r>
        <w:t>Biologika spielen zentrale Rolle in schwerem Asthma, COPD-Klassifikation vereinfacht</w:t>
      </w:r>
    </w:p>
    <w:p>
      <w:r>
        <w:rPr>
          <w:i/>
          <w:color w:val="666666"/>
          <w:sz w:val="18"/>
        </w:rPr>
        <w:t>Salah Manoh JL et al.  ·  Rev Med Suisse  ·  23.09.2026  ·  PMID 42779315</w:t>
      </w:r>
    </w:p>
    <w:p>
      <w:r>
        <w:t>Schweizer Reviewartikel (nicht empirisch): Aktuelle GOLD- und globale Guidelines zur COPD und Asthma – Vereinfachung der COPD-Stratifizierung, erweiterte Rolle von Biologika, geänderte Exazerbationsdefinition.</w:t>
      </w:r>
    </w:p>
    <w:p>
      <w:r>
        <w:rPr>
          <w:b/>
        </w:rPr>
        <w:t xml:space="preserve">Ergebnis: </w:t>
      </w:r>
      <w:r>
        <w:t>COPD wird nun in nur 3 Gruppen eingeteilt (A, B, E); eine einzelne moderate Exazerbation reicht für Hochrisiko-Kategorie E. Asthma: Biologika zentral in schwerer Form, Salbutamol-Monotherapie nicht mehr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Versicherungssystem, Leitlinien gelten auch in Deutschland</w:t>
      </w:r>
    </w:p>
    <w:p>
      <w:r>
        <w:rPr>
          <w:color w:val="5A7D3A"/>
          <w:sz w:val="18"/>
        </w:rPr>
        <w:t>https://pubmed.ncbi.nlm.nih.gov/42779315/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