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06.10.2026  |  269 Studien  |  ncd.m-vf.de</w:t>
      </w:r>
    </w:p>
    <w:p>
      <w:pPr>
        <w:pStyle w:val="Heading1"/>
      </w:pPr>
      <w:r>
        <w:t>Aufgenommen am 06.10.2026</w:t>
      </w:r>
    </w:p>
    <w:p>
      <w:pPr>
        <w:pStyle w:val="Heading2"/>
      </w:pPr>
      <w:r>
        <w:t>Hausarztpraxen für Flüchtlinge mit Hepatitis B besser geeignet als Spezialkliniken</w:t>
      </w:r>
    </w:p>
    <w:p>
      <w:r>
        <w:rPr>
          <w:i/>
          <w:color w:val="666666"/>
          <w:sz w:val="18"/>
        </w:rPr>
        <w:t>Fakhouri A et al.  ·  Aust J Prim Health  ·  20.10.2026  ·  PMID 42833621</w:t>
      </w:r>
    </w:p>
    <w:p>
      <w:r>
        <w:t>Qualitative australische Studie (15 semi-strukturierte Interviews): Erkundung, wie Hausarztpraxen für Flüchtlinge chronische Hepatitis-B-Versorgung gestalten und wo Verbesserungen nötig sind.</w:t>
      </w:r>
    </w:p>
    <w:p>
      <w:r>
        <w:rPr>
          <w:b/>
        </w:rPr>
        <w:t xml:space="preserve">Ergebnis: </w:t>
      </w:r>
      <w:r>
        <w:t>Hausarztpraxen bieten Vorteile: Comunity-Integration, Rapport, Dolmetscher-Services. Barrieren sind Gesundheitskompetenz und Kosten. Empfehlung: Finanzierung und Schulung von Hausarztpraxen zur HBV-Versorgung würden bessere Ergebnisse für vulnerable Bevölkerung bringen.</w:t>
      </w:r>
    </w:p>
    <w:p>
      <w:r>
        <w:rPr>
          <w:b/>
          <w:sz w:val="19"/>
        </w:rPr>
        <w:t xml:space="preserve">Übertragbarkeit: </w:t>
      </w:r>
      <w:r>
        <w:rPr>
          <w:sz w:val="19"/>
        </w:rPr>
        <w:t>Australien - hohes Einkommen, andere Struktur, aber Ungleichheitsfrage universell</w:t>
      </w:r>
    </w:p>
    <w:p>
      <w:r>
        <w:rPr>
          <w:color w:val="5A7D3A"/>
          <w:sz w:val="18"/>
        </w:rPr>
        <w:t>https://pubmed.ncbi.nlm.nih.gov/42833621/</w:t>
      </w:r>
    </w:p>
    <w:p>
      <w:pPr>
        <w:pStyle w:val="Heading2"/>
      </w:pPr>
      <w:r>
        <w:t>Ein Viertel der COPD-Patienten hat Exazerbationen trotz Doppel- oder Tripeltherapie</w:t>
      </w:r>
    </w:p>
    <w:p>
      <w:r>
        <w:rPr>
          <w:i/>
          <w:color w:val="666666"/>
          <w:sz w:val="18"/>
        </w:rPr>
        <w:t>Radovanovic D et al.  ·  Int J Chron Obstruct Pulmon Dis  ·  30.09.2026  ·  PMID 42831088</w:t>
      </w:r>
    </w:p>
    <w:p>
      <w:r>
        <w:t>Italienische GULP-Kohorte (1.111 COPD-Patienten): Exploratorische Analyse zur Häufigkeit anhaltender Symptome unter optimaler Erhaltungstherapie und Identifikation von Kandidaten für Biologika.</w:t>
      </w:r>
    </w:p>
    <w:p>
      <w:r>
        <w:rPr>
          <w:b/>
        </w:rPr>
        <w:t xml:space="preserve">Ergebnis: </w:t>
      </w:r>
      <w:r>
        <w:t>Von 1.111 Patienten hatten 286 (25,7%) ≥2 moderate oder ≥1 schwere Exazerbation/Jahr trotz Doppel- oder Tripeltherapie. Davon zeigten 51–75% hohe Symptombelastung (Dyspnoe, Husten, Sputum), nur 7,2% eosinophile COPD. Dupilumab in Italien für eosinophile exazerbierende COPD zugelassen.</w:t>
      </w:r>
    </w:p>
    <w:p>
      <w:r>
        <w:rPr>
          <w:b/>
          <w:sz w:val="19"/>
        </w:rPr>
        <w:t xml:space="preserve">Übertragbarkeit: </w:t>
      </w:r>
      <w:r>
        <w:rPr>
          <w:sz w:val="19"/>
        </w:rPr>
        <w:t>Italien, europäisches Sozialversicherungssystem, vergleichbare DMP-Struktur</w:t>
      </w:r>
    </w:p>
    <w:p>
      <w:r>
        <w:rPr>
          <w:color w:val="5A7D3A"/>
          <w:sz w:val="18"/>
        </w:rPr>
        <w:t>https://pubmed.ncbi.nlm.nih.gov/42831088/</w:t>
      </w:r>
    </w:p>
    <w:p>
      <w:pPr>
        <w:pStyle w:val="Heading2"/>
      </w:pPr>
      <w:r>
        <w:t>Schwere Fettleber assoziiert mit Fibrose bei chronischer Hepatitis B in Afrika</w:t>
      </w:r>
    </w:p>
    <w:p>
      <w:r>
        <w:rPr>
          <w:i/>
          <w:color w:val="666666"/>
          <w:sz w:val="18"/>
        </w:rPr>
        <w:t>Chabala FW et al.  ·  J Viral Hepat  ·  Nov. 2026  ·  PMID 42830592</w:t>
      </w:r>
    </w:p>
    <w:p>
      <w:r>
        <w:t>Multiländer-Studie (HEPSANET) mit 1.601 CHB-Patienten in sechs afrikanischen Ländern: Transiente Elastographie zeigte, dass schwere Steatose unabhängig mit erhöhtem Fibrose-Risiko verbunden war.</w:t>
      </w:r>
    </w:p>
    <w:p>
      <w:r>
        <w:rPr>
          <w:b/>
        </w:rPr>
        <w:t xml:space="preserve">Ergebnis: </w:t>
      </w:r>
      <w:r>
        <w:t>Schwere Steatose (CAP ≥280 dB/m) war mit 8,4% erhöhter Fibrose-Wahrscheinlichkeit assoziiert (95%-KI 1,9-14,9%). Milde und moderate Steatose zeigten diese Assoziation nicht. Prävalenz von Fettleber: 26,3%, davon 13,7% schwer.</w:t>
      </w:r>
    </w:p>
    <w:p>
      <w:r>
        <w:rPr>
          <w:b/>
          <w:sz w:val="19"/>
        </w:rPr>
        <w:t xml:space="preserve">Übertragbarkeit: </w:t>
      </w:r>
      <w:r>
        <w:rPr>
          <w:sz w:val="19"/>
        </w:rPr>
        <w:t>Afrika, andere Soziostruktur - Screening-Implikation übertragbar</w:t>
      </w:r>
    </w:p>
    <w:p>
      <w:r>
        <w:rPr>
          <w:color w:val="5A7D3A"/>
          <w:sz w:val="18"/>
        </w:rPr>
        <w:t>https://pubmed.ncbi.nlm.nih.gov/42830592/</w:t>
      </w:r>
    </w:p>
    <w:p>
      <w:pPr>
        <w:pStyle w:val="Heading2"/>
      </w:pPr>
      <w:r>
        <w:t>Bewegung reduzierte Mortalität und Leberversagen bei chronischer Hepatitis B um 11 Prozent</w:t>
      </w:r>
    </w:p>
    <w:p>
      <w:r>
        <w:rPr>
          <w:i/>
          <w:color w:val="666666"/>
          <w:sz w:val="18"/>
        </w:rPr>
        <w:t>Song BG et al.  ·  J Viral Hepat  ·  Nov. 2026  ·  PMID 42830566</w:t>
      </w:r>
    </w:p>
    <w:p>
      <w:r>
        <w:t>Südkoreanische Kohortenstudie mit 318.131 CHB-Patienten: Wer körperliche Aktivität aufnahm, hatte niedrigere Risiken für Tod und Komplikationen als körperlich Inaktive.</w:t>
      </w:r>
    </w:p>
    <w:p>
      <w:r>
        <w:rPr>
          <w:b/>
        </w:rPr>
        <w:t xml:space="preserve">Ergebnis: </w:t>
      </w:r>
      <w:r>
        <w:t>Hazard Ratio für Mortalität 0,89 (95%-KI 0,84-0,94) bei Aufnahme von Ausdaueraktivität; für Leberversagen subdistribution HR 0,94 (95%-KI 0,92-0,97) über 7,9 Jahre Nachfolge. Der Effekt war stärker in älteren, weiblichen und nicht-rauchenden Patienten.</w:t>
      </w:r>
    </w:p>
    <w:p>
      <w:r>
        <w:rPr>
          <w:b/>
          <w:sz w:val="19"/>
        </w:rPr>
        <w:t xml:space="preserve">Übertragbarkeit: </w:t>
      </w:r>
      <w:r>
        <w:rPr>
          <w:sz w:val="19"/>
        </w:rPr>
        <w:t>Südkorea - vergleichbares Gesundheitssystem, Versicherungsdaten hochwertig</w:t>
      </w:r>
    </w:p>
    <w:p>
      <w:r>
        <w:rPr>
          <w:color w:val="5A7D3A"/>
          <w:sz w:val="18"/>
        </w:rPr>
        <w:t>https://pubmed.ncbi.nlm.nih.gov/42830566/</w:t>
      </w:r>
    </w:p>
    <w:p>
      <w:pPr>
        <w:pStyle w:val="Heading2"/>
      </w:pPr>
      <w:r>
        <w:t>Chronische Erkrankungen bei Kindern: Register unterschätzen Prävalenz um mindestens 10 Prozent</w:t>
      </w:r>
    </w:p>
    <w:p>
      <w:r>
        <w:rPr>
          <w:i/>
          <w:color w:val="666666"/>
          <w:sz w:val="18"/>
        </w:rPr>
        <w:t>Andersen A et al.  ·  Eur J Pediatr  ·  03.10.2026  ·  PMID 42828548</w:t>
      </w:r>
    </w:p>
    <w:p>
      <w:r>
        <w:t>Dänische Studie: Verglich nationale Register mit Selbstberichten auf Prävalenz chronischer Erkrankungen bei Kindern und Jugendlichen; Registerbasierte Methode erfasst nur einen Teil.</w:t>
      </w:r>
    </w:p>
    <w:p>
      <w:r>
        <w:rPr>
          <w:b/>
        </w:rPr>
        <w:t xml:space="preserve">Ergebnis: </w:t>
      </w:r>
      <w:r>
        <w:t>Register zeigten Prävalenz 9,3–22,0% je nach Alter und Geschlecht; Selbstberichte 28,4–34,2%. 14,6–15,3% der Jugendlichen mit selbstberichteter chronischer Erkrankung waren im Alltag beeinträchtigt – im Register nicht sichtbar.</w:t>
      </w:r>
    </w:p>
    <w:p>
      <w:r>
        <w:rPr>
          <w:b/>
          <w:sz w:val="19"/>
        </w:rPr>
        <w:t xml:space="preserve">Übertragbarkeit: </w:t>
      </w:r>
      <w:r>
        <w:rPr>
          <w:sz w:val="19"/>
        </w:rPr>
        <w:t>Dänemark - skandinavisches System, enge Datenbankqualität wie in Deutschland, Methodenfrage universal</w:t>
      </w:r>
    </w:p>
    <w:p>
      <w:r>
        <w:rPr>
          <w:color w:val="5A7D3A"/>
          <w:sz w:val="18"/>
        </w:rPr>
        <w:t>https://pubmed.ncbi.nlm.nih.gov/42828548/</w:t>
      </w:r>
    </w:p>
    <w:p>
      <w:pPr>
        <w:pStyle w:val="Heading2"/>
      </w:pPr>
      <w:r>
        <w:t>Biologika spielen zentrale Rolle in schwerem Asthma, COPD-Klassifikation vereinfacht</w:t>
      </w:r>
    </w:p>
    <w:p>
      <w:r>
        <w:rPr>
          <w:i/>
          <w:color w:val="666666"/>
          <w:sz w:val="18"/>
        </w:rPr>
        <w:t>Salah Manoh JL et al.  ·  Rev Med Suisse  ·  23.09.2026  ·  PMID 42779315</w:t>
      </w:r>
    </w:p>
    <w:p>
      <w:r>
        <w:t>Schweizer Reviewartikel (nicht empirisch): Aktuelle GOLD- und globale Guidelines zur COPD und Asthma – Vereinfachung der COPD-Stratifizierung, erweiterte Rolle von Biologika, geänderte Exazerbationsdefinition.</w:t>
      </w:r>
    </w:p>
    <w:p>
      <w:r>
        <w:rPr>
          <w:b/>
        </w:rPr>
        <w:t xml:space="preserve">Ergebnis: </w:t>
      </w:r>
      <w:r>
        <w:t>COPD wird nun in nur 3 Gruppen eingeteilt (A, B, E); eine einzelne moderate Exazerbation reicht für Hochrisiko-Kategorie E. Asthma: Biologika zentral in schwerer Form, Salbutamol-Monotherapie nicht mehr empfohlen.</w:t>
      </w:r>
    </w:p>
    <w:p>
      <w:r>
        <w:rPr>
          <w:b/>
          <w:sz w:val="19"/>
        </w:rPr>
        <w:t xml:space="preserve">Übertragbarkeit: </w:t>
      </w:r>
      <w:r>
        <w:rPr>
          <w:sz w:val="19"/>
        </w:rPr>
        <w:t>Schweiz, vergleichbares Versicherungssystem, Leitlinien gelten auch in Deutschland</w:t>
      </w:r>
    </w:p>
    <w:p>
      <w:r>
        <w:rPr>
          <w:color w:val="5A7D3A"/>
          <w:sz w:val="18"/>
        </w:rPr>
        <w:t>https://pubmed.ncbi.nlm.nih.gov/42779315/</w:t>
      </w:r>
    </w:p>
    <w:p>
      <w:pPr>
        <w:pStyle w:val="Heading1"/>
      </w:pPr>
      <w:r>
        <w:t>Aufgenommen am 05.10.2026</w:t>
      </w:r>
    </w:p>
    <w:p>
      <w:pPr>
        <w:pStyle w:val="Heading2"/>
      </w:pPr>
      <w:r>
        <w:t>Glucose Disposal Rate assoziiert mit chronischer Nierenkrankheit bei älteren Diabetikern</w:t>
      </w:r>
    </w:p>
    <w:p>
      <w:r>
        <w:rPr>
          <w:i/>
          <w:color w:val="666666"/>
          <w:sz w:val="18"/>
        </w:rPr>
        <w:t>Chen X et al.  ·  Clin Interv Aging  ·  28.09.2026  ·  PMID 42829537</w:t>
      </w:r>
    </w:p>
    <w:p>
      <w:r>
        <w:t>Querschnittsstudie mit 713 älteren (≥60 J.) Typ-2-Diabetes-Patienten aus Zhejiang, China; CKD nach eGFR oder UACR definiert.</w:t>
      </w:r>
    </w:p>
    <w:p>
      <w:r>
        <w:rPr>
          <w:b/>
        </w:rPr>
        <w:t xml:space="preserve">Ergebnis: </w:t>
      </w:r>
      <w:r>
        <w:t>Pro 1-Unit eGDR-Anstieg: OR 0,78 (95%-KI 0,70–0,86) für CKD. Höchstes vs. niedrigstes Tertil: OR 0,31 (95%-KI 0,20–0,48). Linear inverse Beziehung (RCS p&gt;0,05). eGDR inversiv mit UACR (ρ=−0,277, p&lt;0,001), nicht mit eGFR. AUC 0,65 – Diskriminationsfähigkeit bescheiden; prospektive Studien nötig.</w:t>
      </w:r>
    </w:p>
    <w:p>
      <w:r>
        <w:rPr>
          <w:b/>
          <w:sz w:val="19"/>
        </w:rPr>
        <w:t xml:space="preserve">Übertragbarkeit: </w:t>
      </w:r>
      <w:r>
        <w:rPr>
          <w:sz w:val="19"/>
        </w:rPr>
        <w:t>China – Mechanismus für deutsches DMP-System bedingt übertragbar</w:t>
      </w:r>
    </w:p>
    <w:p>
      <w:r>
        <w:rPr>
          <w:color w:val="5A7D3A"/>
          <w:sz w:val="18"/>
        </w:rPr>
        <w:t>https://pubmed.ncbi.nlm.nih.gov/42829537/</w:t>
      </w:r>
    </w:p>
    <w:p>
      <w:pPr>
        <w:pStyle w:val="Heading2"/>
      </w:pPr>
      <w:r>
        <w:t>COPD erhöht Sturz- und Osteoporoserisiko deutlich</w:t>
      </w:r>
    </w:p>
    <w:p>
      <w:r>
        <w:rPr>
          <w:i/>
          <w:color w:val="666666"/>
          <w:sz w:val="18"/>
        </w:rPr>
        <w:t>Liu P et al.  ·  Int J Chron Obstruct Pulmon Dis  ·  28.09.2026  ·  PMID 42827947</w:t>
      </w:r>
    </w:p>
    <w:p>
      <w:r>
        <w:t>Kohortenstudie mit 474.669 UK-Biobank-Teilnehmern untersuchte die Assoziation von COPD mit Stürzen und Osteoporose über 12 Jahre.</w:t>
      </w:r>
    </w:p>
    <w:p>
      <w:r>
        <w:rPr>
          <w:b/>
        </w:rPr>
        <w:t xml:space="preserve">Ergebnis: </w:t>
      </w:r>
      <w:r>
        <w:t>COPD war assoziiert mit höherem Sturzrisiko (HR 1,51; 95%-KI 1,45–1,58) und Osteoporoserisiko (HR 2,37; 95%-KI 2,22–2,53). Rauchen modifizierte die Sturzassoziation (aktuelle Raucher HR 1,77 vs. Niemals-Raucher HR 1,37). Die Befunde zeigen bedeutsame Mehrfacherkrankungen bei COPD.</w:t>
      </w:r>
    </w:p>
    <w:p>
      <w:r>
        <w:rPr>
          <w:b/>
          <w:sz w:val="19"/>
        </w:rPr>
        <w:t xml:space="preserve">Übertragbarkeit: </w:t>
      </w:r>
      <w:r>
        <w:rPr>
          <w:sz w:val="19"/>
        </w:rPr>
        <w:t>UK-Biobank mit vergleichbar strukturiertem Gesundheitssystem</w:t>
      </w:r>
    </w:p>
    <w:p>
      <w:r>
        <w:rPr>
          <w:color w:val="5A7D3A"/>
          <w:sz w:val="18"/>
        </w:rPr>
        <w:t>https://pubmed.ncbi.nlm.nih.gov/42827947/</w:t>
      </w:r>
    </w:p>
    <w:p>
      <w:pPr>
        <w:pStyle w:val="Heading2"/>
      </w:pPr>
      <w:r>
        <w:t>SGLT2-Inhibitoren bei Diabetes mit chronischer Nierenkrankheit: Meta-Analyse</w:t>
      </w:r>
    </w:p>
    <w:p>
      <w:r>
        <w:rPr>
          <w:i/>
          <w:color w:val="666666"/>
          <w:sz w:val="18"/>
        </w:rPr>
        <w:t>Shi X et al.  ·  Medicine (Baltimore)  ·  02.10.2026  ·  PMID 42826278</w:t>
      </w:r>
    </w:p>
    <w:p>
      <w:r>
        <w:t>Systematische Übersicht und Meta-Analyse von 17 RCTs mit 29.192 Patienten mit Diabetes und CKD zur Wirksamkeit von SGLT2-Inhibitoren.</w:t>
      </w:r>
    </w:p>
    <w:p>
      <w:r>
        <w:rPr>
          <w:b/>
        </w:rPr>
        <w:t xml:space="preserve">Ergebnis: </w:t>
      </w:r>
      <w:r>
        <w:t>SGLT2-Inhibitoren reduzierten HbA1c (−0,40 %), Körpergewicht (−1,36 kg) und Blutdruck (−2,98 mmHg systolisch); eGFR und Albuminurie neutral kurzfristig (p&gt;0,05). Volumendepletion-Ereignisse erhöht (RR 1,36; 95%-KI 1,16–1,59). Kardiorenal-protektive Effekte langfristig dokumentiert, Monitoring essentiell.</w:t>
      </w:r>
    </w:p>
    <w:p>
      <w:r>
        <w:rPr>
          <w:b/>
          <w:sz w:val="19"/>
        </w:rPr>
        <w:t xml:space="preserve">Übertragbarkeit: </w:t>
      </w:r>
      <w:r>
        <w:rPr>
          <w:sz w:val="19"/>
        </w:rPr>
        <w:t>Europäische und deutsche Registerstudien zur SGLT2-Anwendung vorhanden</w:t>
      </w:r>
    </w:p>
    <w:p>
      <w:r>
        <w:rPr>
          <w:color w:val="5A7D3A"/>
          <w:sz w:val="18"/>
        </w:rPr>
        <w:t>https://pubmed.ncbi.nlm.nih.gov/42826278/</w:t>
      </w:r>
    </w:p>
    <w:p>
      <w:pPr>
        <w:pStyle w:val="Heading2"/>
      </w:pPr>
      <w:r>
        <w:t>SIRI-Index prognostiziert Mortalität bei COPD-Exazerbation</w:t>
      </w:r>
    </w:p>
    <w:p>
      <w:r>
        <w:rPr>
          <w:i/>
          <w:color w:val="666666"/>
          <w:sz w:val="18"/>
        </w:rPr>
        <w:t>Bai Y  ·  Medicine (Baltimore)  ·  02.10.2026  ·  PMID 42826271</w:t>
      </w:r>
    </w:p>
    <w:p>
      <w:r>
        <w:t>Retrospektive Kohortenanalyse aus MIMIC-III-Datenbank: 426 AECOPD-Patienten; 30-Tage-Mortalität 26,6 %.</w:t>
      </w:r>
    </w:p>
    <w:p>
      <w:r>
        <w:rPr>
          <w:b/>
        </w:rPr>
        <w:t xml:space="preserve">Ergebnis: </w:t>
      </w:r>
      <w:r>
        <w:t>SIRI (Systemische Inflammations-Response-Index) war unabhängiger Risikofaktor für 30-Tage-Mortalität (HR 1,743; 95%-KI 1,169–2,598; p=0,006). Optimaler Schwellwert 10,56 × 10⁹/L. AUC 0,612 besser als WBC/Neutrophile (0,584/0,557), ähnlich SOFA (0,619). SIRI könnte Triage und Prognose in der Akutversorgung lenken.</w:t>
      </w:r>
    </w:p>
    <w:p>
      <w:r>
        <w:rPr>
          <w:b/>
          <w:sz w:val="19"/>
        </w:rPr>
        <w:t xml:space="preserve">Übertragbarkeit: </w:t>
      </w:r>
      <w:r>
        <w:rPr>
          <w:sz w:val="19"/>
        </w:rPr>
        <w:t>Intensivmedizinische Datenbanken in Deutschland ähnlich verfügbar</w:t>
      </w:r>
    </w:p>
    <w:p>
      <w:r>
        <w:rPr>
          <w:color w:val="5A7D3A"/>
          <w:sz w:val="18"/>
        </w:rPr>
        <w:t>https://pubmed.ncbi.nlm.nih.gov/42826271/</w:t>
      </w:r>
    </w:p>
    <w:p>
      <w:pPr>
        <w:pStyle w:val="Heading2"/>
      </w:pPr>
      <w:r>
        <w:t>Nebulisiertes Furosemid plus Bronchodilatatoren senkt Symptome und Entzündung bei COPD-Exazerbation</w:t>
      </w:r>
    </w:p>
    <w:p>
      <w:r>
        <w:rPr>
          <w:i/>
          <w:color w:val="666666"/>
          <w:sz w:val="18"/>
        </w:rPr>
        <w:t>Behi M et al.  ·  Iran J Allergy Asthma Immunol  ·  12.08.2026  ·  PMID 42825900</w:t>
      </w:r>
    </w:p>
    <w:p>
      <w:r>
        <w:t>Randomisierte kontrollierte Studie mit 92 hospitalisierten COPD-Exazerbationspatienten verglich Salbutamol-Ipratropium allein versus mit Furosemid (20 mg).</w:t>
      </w:r>
    </w:p>
    <w:p>
      <w:r>
        <w:rPr>
          <w:b/>
        </w:rPr>
        <w:t xml:space="preserve">Ergebnis: </w:t>
      </w:r>
      <w:r>
        <w:t>Interventionsgruppe zeigte signifikante Verbesserungen: mMRC- und CAT-Scores abgesunken, FEV₁/FVC-Ratio erhöht, IL-6 und IL-8 abgesunken (p&lt;0,05), höhere PaO₂ und niedrigere PaCO₂. Keine Nebenwirkungen berichtet. Adjuvante Therapie verbesserte Lungenfunktion und reduzierte Systementzündung.</w:t>
      </w:r>
    </w:p>
    <w:p>
      <w:r>
        <w:rPr>
          <w:b/>
          <w:sz w:val="19"/>
        </w:rPr>
        <w:t xml:space="preserve">Übertragbarkeit: </w:t>
      </w:r>
      <w:r>
        <w:rPr>
          <w:sz w:val="19"/>
        </w:rPr>
        <w:t>Iran – Machbarkeit für strukturierte Inhalationstherapieprogramme prüfen</w:t>
      </w:r>
    </w:p>
    <w:p>
      <w:r>
        <w:rPr>
          <w:color w:val="5A7D3A"/>
          <w:sz w:val="18"/>
        </w:rPr>
        <w:t>https://pubmed.ncbi.nlm.nih.gov/42825900/</w:t>
      </w:r>
    </w:p>
    <w:p>
      <w:pPr>
        <w:pStyle w:val="Heading2"/>
      </w:pPr>
      <w:r>
        <w:t>Unreife Neutrophilen und erhöhte Myeloperoxidase bei CKD mit kardiovaskulären Komorbiditäten</w:t>
      </w:r>
    </w:p>
    <w:p>
      <w:r>
        <w:rPr>
          <w:i/>
          <w:color w:val="666666"/>
          <w:sz w:val="18"/>
        </w:rPr>
        <w:t>Vondenhoff S et al.  ·  Acta Physiol (Oxf)  ·  Sept. 2026  ·  PMID 42613304</w:t>
      </w:r>
    </w:p>
    <w:p>
      <w:r>
        <w:t>Vergleichende Flow-Cytometrie-Studie an zwei unabhängigen Kohorten männlicher CKD-Patienten (moderat bis fortgeschritten) versus gesunde Kontrollen.</w:t>
      </w:r>
    </w:p>
    <w:p>
      <w:r>
        <w:rPr>
          <w:b/>
        </w:rPr>
        <w:t xml:space="preserve">Ergebnis: </w:t>
      </w:r>
      <w:r>
        <w:t>CKD-Patienten zeigten reduzierte CD10-Expression auf Neutrophilen und erhöhte Plasma-Myeloperoxidase unabhängig von Entzündungsgrad oder NT-proBNP (p&lt;0,001). Unreife Neutrophilen-Phänotyp war kardiorenal-übergreifend konsistent, könnte zum erhöhten kardiovaskulären Risiko beitragen.</w:t>
      </w:r>
    </w:p>
    <w:p>
      <w:r>
        <w:rPr>
          <w:b/>
          <w:sz w:val="19"/>
        </w:rPr>
        <w:t xml:space="preserve">Übertragbarkeit: </w:t>
      </w:r>
      <w:r>
        <w:rPr>
          <w:sz w:val="19"/>
        </w:rPr>
        <w:t>Deutsche Krankenhaus-Daten zur Neutrophilen-Phenotypisierung verfügbar</w:t>
      </w:r>
    </w:p>
    <w:p>
      <w:r>
        <w:rPr>
          <w:color w:val="5A7D3A"/>
          <w:sz w:val="18"/>
        </w:rPr>
        <w:t>https://pubmed.ncbi.nlm.nih.gov/42613304/</w:t>
      </w:r>
    </w:p>
    <w:p>
      <w:pPr>
        <w:pStyle w:val="Heading1"/>
      </w:pPr>
      <w:r>
        <w:t>Aufgenommen am 04.10.2026</w:t>
      </w:r>
    </w:p>
    <w:p>
      <w:pPr>
        <w:pStyle w:val="Heading2"/>
      </w:pPr>
      <w:r>
        <w:t>Integriertes NCD-Screening in HIV- und COVID-Kliniken verbessert Früherkennung um 74 %</w:t>
      </w:r>
    </w:p>
    <w:p>
      <w:r>
        <w:rPr>
          <w:i/>
          <w:color w:val="666666"/>
          <w:sz w:val="18"/>
        </w:rPr>
        <w:t>Jithoo N et al.  ·  Front Public Health  ·  17.09.2026  ·  PMID 42824930</w:t>
      </w:r>
    </w:p>
    <w:p>
      <w:r>
        <w:t>Südafrika: Pilotprojekt zur Integration von Screening auf chronische Erkrankungen (Nierenerkrankung, Übergewicht, Dyslipidämie) in bestehende HIV- und COVID-19-Impfkliniken bei 461 Teilnehmern; Prävalenz neuer Diagnosen und Versorgungsgaps untersucht.</w:t>
      </w:r>
    </w:p>
    <w:p>
      <w:r>
        <w:rPr>
          <w:b/>
        </w:rPr>
        <w:t xml:space="preserve">Ergebnis: </w:t>
      </w:r>
      <w:r>
        <w:t>73,9 % der Teilnehmer erhielten neue NCD-Diagnosen: Nierenerkrankung (31,7 %), Adipositas (28,9 %), Dyslipidämie (25,8 %). Modifizierbare kardiovaskuläre Risikofaktoren waren weit verbreitet: Adipositas (63,9 %), Alkoholkonsum (50 %). Integriertes Screening erwies sich als machbar und bot Gelegenheit für frühe Intervention.</w:t>
      </w:r>
    </w:p>
    <w:p>
      <w:r>
        <w:rPr>
          <w:b/>
          <w:sz w:val="19"/>
        </w:rPr>
        <w:t xml:space="preserve">Übertragbarkeit: </w:t>
      </w:r>
      <w:r>
        <w:rPr>
          <w:sz w:val="19"/>
        </w:rPr>
        <w:t>Ressourcenbegrenzte Länder, ähnliche Gesundheitssystem-Herausforderungen wie LMIC</w:t>
      </w:r>
    </w:p>
    <w:p>
      <w:r>
        <w:rPr>
          <w:color w:val="5A7D3A"/>
          <w:sz w:val="18"/>
        </w:rPr>
        <w:t>https://pubmed.ncbi.nlm.nih.gov/42824930/</w:t>
      </w:r>
    </w:p>
    <w:p>
      <w:pPr>
        <w:pStyle w:val="Heading2"/>
      </w:pPr>
      <w:r>
        <w:t>Untergewicht vorhersagt Nierenerkrankung bei Typ-2-Diabetes besser als Adipositas</w:t>
      </w:r>
    </w:p>
    <w:p>
      <w:r>
        <w:rPr>
          <w:i/>
          <w:color w:val="666666"/>
          <w:sz w:val="18"/>
        </w:rPr>
        <w:t>Chung SM et al.  ·  Front Endocrinol (Lausanne)  ·  17.09.2026  ·  PMID 42823990</w:t>
      </w:r>
    </w:p>
    <w:p>
      <w:r>
        <w:t>Südkorea: Nationale Kohortenstudie (1.824.317 Erwachsene ≥40 Jahre mit Typ-2-Diabetes): Assoziation zwischen BMI, Taillenumfang und Inzidenz von Nierenerkrankung (definiert nach altersgerechten eGFR-Schwellwerten) über 4 Jahre Follow-up, stratifiziert nach Alter und Geschlecht.</w:t>
      </w:r>
    </w:p>
    <w:p>
      <w:r>
        <w:rPr>
          <w:b/>
        </w:rPr>
        <w:t xml:space="preserve">Ergebnis: </w:t>
      </w:r>
      <w:r>
        <w:t>CKD-Inzidenz: 2,8 % (Untergewicht), 2,3 % (keine Adipositas), 2,9 % (Übergewicht). Untergewicht mit höherem CKD-Risiko als Übergewicht assoziiert (OR 1,41 [95%-KI 1,29–1,54] vs. OR 1,03 [1,01–1,05]). Alters-/Geschlechts-stratifiziert: Untergewicht durchgängig erhöhtes Risiko, bes. mittelalte Männer; Übergewicht nur bei Frauen mit erhöhtem Risiko. Befund erklärt bisherige Inkonsistenzen in Adipositas-CKD-Assoziationen.</w:t>
      </w:r>
    </w:p>
    <w:p>
      <w:r>
        <w:rPr>
          <w:b/>
          <w:sz w:val="19"/>
        </w:rPr>
        <w:t xml:space="preserve">Übertragbarkeit: </w:t>
      </w:r>
      <w:r>
        <w:rPr>
          <w:sz w:val="19"/>
        </w:rPr>
        <w:t>Südkorea, großes Register; Adipositas-Paradoxon relevant für stratifizierte Prävention, aber regionales Modell unklar</w:t>
      </w:r>
    </w:p>
    <w:p>
      <w:r>
        <w:rPr>
          <w:color w:val="5A7D3A"/>
          <w:sz w:val="18"/>
        </w:rPr>
        <w:t>https://pubmed.ncbi.nlm.nih.gov/42823990/</w:t>
      </w:r>
    </w:p>
    <w:p>
      <w:pPr>
        <w:pStyle w:val="Heading2"/>
      </w:pPr>
      <w:r>
        <w:t>Klinische Phänotypisierung identifiziert Hochrisiko-COPD-Patienten mit raschem FEV1-Verlust</w:t>
      </w:r>
    </w:p>
    <w:p>
      <w:r>
        <w:rPr>
          <w:i/>
          <w:color w:val="666666"/>
          <w:sz w:val="18"/>
        </w:rPr>
        <w:t>Yang Z et al.  ·  Ann Med  ·  01.10.2026  ·  PMID 42817919</w:t>
      </w:r>
    </w:p>
    <w:p>
      <w:r>
        <w:t>Chinesische Kohortenstudie (38.863 COPD-Patienten, 1.215 mit Verlaufsparametern): Latent-Class-Analyse zur Identifikation klinischer Phänotypen; Machine Learning-Modell zur Vorhersage raschen Lungenfunktionsabbaus (FEV1-Abfall ≥40 mL/Jahr oder &gt;1,5% predicted).</w:t>
      </w:r>
    </w:p>
    <w:p>
      <w:r>
        <w:rPr>
          <w:b/>
        </w:rPr>
        <w:t xml:space="preserve">Ergebnis: </w:t>
      </w:r>
      <w:r>
        <w:t>Drei Phänotypen identifiziert: Phänotyp 1 (25,8 %, GOLD Stadium 2, nicht-rauchende Frauen), Phänotyp 2 (44,8 %, GOLD Stadium 1, rauchende Männer), Phänotyp 3 (29,4 %, GOLD Stadium 3, intensive Raucher). Phänotyp 2 zeigte höchste Verfall-Rate (55,8 %). Das CatBoost-Modell erreichte AUC 0,712; bei Schwellenwert 0,365: Sensitivität 95,5 %, negativer Vorhersagewert 86,4 %. Sechs einfache Prädiktoren: Region, Brennstofftyp, Einkommensstufe, Pfeifen, Hüftumfang, Basis-FEV1.</w:t>
      </w:r>
    </w:p>
    <w:p>
      <w:r>
        <w:rPr>
          <w:b/>
          <w:sz w:val="19"/>
        </w:rPr>
        <w:t xml:space="preserve">Übertragbarkeit: </w:t>
      </w:r>
      <w:r>
        <w:rPr>
          <w:sz w:val="19"/>
        </w:rPr>
        <w:t>China, großes Register; Phänotypisierung für Zielgruppendefinition relevant, Übertragbarkeit auf deutsche Phänotypen unklar</w:t>
      </w:r>
    </w:p>
    <w:p>
      <w:r>
        <w:rPr>
          <w:color w:val="5A7D3A"/>
          <w:sz w:val="18"/>
        </w:rPr>
        <w:t>https://pubmed.ncbi.nlm.nih.gov/42817919/</w:t>
      </w:r>
    </w:p>
    <w:p>
      <w:pPr>
        <w:pStyle w:val="Heading2"/>
      </w:pPr>
      <w:r>
        <w:t>Leitliniengerechte Antibiotika senken 30-Tage-Komplikationen bei COPD-Exazerbationen</w:t>
      </w:r>
    </w:p>
    <w:p>
      <w:r>
        <w:rPr>
          <w:i/>
          <w:color w:val="666666"/>
          <w:sz w:val="18"/>
        </w:rPr>
        <w:t>Perales-Muñoz R et al.  ·  Rev Esp Quimioter  ·  21.09.2026  ·  PMID 42768888</w:t>
      </w:r>
    </w:p>
    <w:p>
      <w:r>
        <w:t>Spanische Notaufnahme-Registerstudie an 4.136 COPD-Exazerbations-Episoden: Antibiotika-Auswahl nach nationalen Empfehlungen vs. Fehlauswahl und deren Assoziation mit Mortalität, Rehospitalisierung, Rezidiiv und Notfall-Revisiten.</w:t>
      </w:r>
    </w:p>
    <w:p>
      <w:r>
        <w:rPr>
          <w:b/>
        </w:rPr>
        <w:t xml:space="preserve">Ergebnis: </w:t>
      </w:r>
      <w:r>
        <w:t>Von 1.736 Patienten mit Entlassung aus der Notaufnahme erhielten 987 (56,9 %) Antibiotika; 158 (16,0 %) bekamen inadäquate Therapie. Inadäquate Behandlung korrelierte mit höherer 30-Tage-Morbidität (20,9 % vs. 13,3 %, p=0,019). In der multivariablen Analyse war leitliniengerechte Therapie der einzige modifizierbare Faktor mit signifikant reduziertem Ereignisrisiko (adjustierte RR 0,59; 95%-KI 0,41–0,85; p=0,004). Zugleich waren vorherige Exazerbationen (RR 1,80) und mittelschwere Exazerbationen (RR 1,52) mit höherem Risiko assoziiert.</w:t>
      </w:r>
    </w:p>
    <w:p>
      <w:r>
        <w:rPr>
          <w:b/>
          <w:sz w:val="19"/>
        </w:rPr>
        <w:t xml:space="preserve">Übertragbarkeit: </w:t>
      </w:r>
      <w:r>
        <w:rPr>
          <w:sz w:val="19"/>
        </w:rPr>
        <w:t>Spanische Notaufnahmedaten, vergleichbare Behandlungsprotokolle europäischer Systeme</w:t>
      </w:r>
    </w:p>
    <w:p>
      <w:r>
        <w:rPr>
          <w:color w:val="5A7D3A"/>
          <w:sz w:val="18"/>
        </w:rPr>
        <w:t>https://pubmed.ncbi.nlm.nih.gov/42768888/</w:t>
      </w:r>
    </w:p>
    <w:p>
      <w:pPr>
        <w:pStyle w:val="Heading2"/>
      </w:pPr>
      <w:r>
        <w:t>Dynamisches Risiko-Scoring vorhersagt CLL-Progression nach Limited-Duration-Therapie besser</w:t>
      </w:r>
    </w:p>
    <w:p>
      <w:r>
        <w:rPr>
          <w:i/>
          <w:color w:val="666666"/>
          <w:sz w:val="18"/>
        </w:rPr>
        <w:t>Al-Sawaf O et al.  ·  J Clin Oncol  ·  27.08.2026  ·  PMID 42659576</w:t>
      </w:r>
    </w:p>
    <w:p>
      <w:r>
        <w:t>Deutsche multizentrische Kohortenstudie zu chronisch-lymphatischer Leukämie: Entwicklung und Validierung eines verfeinerten kontinuierlichen Risikoindex (CIRI2-CLL) mit messbaren Resterkrankungen (MRD) zur Vorhersage von progressionsfreiem Überleben nach zeitlich begrenzter Targetted Therapy.</w:t>
      </w:r>
    </w:p>
    <w:p>
      <w:r>
        <w:rPr>
          <w:b/>
        </w:rPr>
        <w:t xml:space="preserve">Ergebnis: </w:t>
      </w:r>
      <w:r>
        <w:t>CIRI2-CLL zeigte gute Kalibrierung (ca. 5 % Unterschied zwischen beobachteter und vorhergesagter Progressionswahrscheinlichkeit). Überlegene Performance vs. einzelne Indizes (C-Statistiken 0,82–0,98 an allen Zeitpunkten), FEV-Vorhersage um 14–37 % verbessert. Risk-Stratifikation in drei Gruppen: 3-Jahres-PFS von 100,0 % (niedrig), 70,2 % (mittel), 10,8 % (hoch). Performance für Gesamtüberleben bestätigt.</w:t>
      </w:r>
    </w:p>
    <w:p>
      <w:r>
        <w:rPr>
          <w:b/>
          <w:sz w:val="19"/>
        </w:rPr>
        <w:t xml:space="preserve">Übertragbarkeit: </w:t>
      </w:r>
      <w:r>
        <w:rPr>
          <w:sz w:val="19"/>
        </w:rPr>
        <w:t>Deutschland/DACH, multizentrisch; CLL-spezifisch, aber Methode der MRD-Integration für andere Chroniker relevant</w:t>
      </w:r>
    </w:p>
    <w:p>
      <w:r>
        <w:rPr>
          <w:color w:val="5A7D3A"/>
          <w:sz w:val="18"/>
        </w:rPr>
        <w:t>https://pubmed.ncbi.nlm.nih.gov/42659576/</w:t>
      </w:r>
    </w:p>
    <w:p>
      <w:pPr>
        <w:pStyle w:val="Heading2"/>
      </w:pPr>
      <w:r>
        <w:t>HBsAg-Schnelltest-Positivierungszeit schätzt Viruslast und erleichtert POC-Diagnostik</w:t>
      </w:r>
    </w:p>
    <w:p>
      <w:r>
        <w:rPr>
          <w:i/>
          <w:color w:val="666666"/>
          <w:sz w:val="18"/>
        </w:rPr>
        <w:t>Asmamaw A et al.  ·  Aliment Pharmacol Ther  ·  06.08.2026  ·  PMID 42558028</w:t>
      </w:r>
    </w:p>
    <w:p>
      <w:r>
        <w:t>Multizentrische Proof-of-Concept-Studie (Spanien, Äthiopien): Prüfung, ob die Positivierungszeit eines Schnelltests für Hepatitis-B-Oberflächenantigen (HBsAg) ein Surrogat für quantitatives HBsAg und HBV-DNA-Aktivität ist; Paarvergleiche Kapillar- vs. Venöses Blut mit qHBsAg und PCR.</w:t>
      </w:r>
    </w:p>
    <w:p>
      <w:r>
        <w:rPr>
          <w:b/>
        </w:rPr>
        <w:t xml:space="preserve">Ergebnis: </w:t>
      </w:r>
      <w:r>
        <w:t>513 HBsAg-positive Personen analysiert. Positivierungszeit korrelierte invers mit qHBsAg (Spanien r=−0,749, Äthiopien r=−0,374; p&lt;0,001 beide). Keine Assoziation mit HBV-DNA. Diskriminationsfähigkeit für HBsAg &lt;1000 IU/mL: Spanien AUROC 0,86, Äthiopien AUROC 0,65; für &lt;100 IU/mL: AUROC 0,96 und 0,77. Gesunde und mit ausgeheilter Infektion: durchweg negativ.</w:t>
      </w:r>
    </w:p>
    <w:p>
      <w:r>
        <w:rPr>
          <w:b/>
          <w:sz w:val="19"/>
        </w:rPr>
        <w:t xml:space="preserve">Übertragbarkeit: </w:t>
      </w:r>
      <w:r>
        <w:rPr>
          <w:sz w:val="19"/>
        </w:rPr>
        <w:t>Spanien/Äthiopien; POC-Test für ressourcenlimitierte Länder, Relevanz für deutsche POC-Diagnostik begrenzt</w:t>
      </w:r>
    </w:p>
    <w:p>
      <w:r>
        <w:rPr>
          <w:color w:val="5A7D3A"/>
          <w:sz w:val="18"/>
        </w:rPr>
        <w:t>https://pubmed.ncbi.nlm.nih.gov/42558028/</w:t>
      </w:r>
    </w:p>
    <w:p>
      <w:pPr>
        <w:pStyle w:val="Heading1"/>
      </w:pPr>
      <w:r>
        <w:t>Aufgenommen am 03.10.2026</w:t>
      </w:r>
    </w:p>
    <w:p>
      <w:pPr>
        <w:pStyle w:val="Heading2"/>
      </w:pPr>
      <w:r>
        <w:t>Depression senkte das Risiko für Mehrfacherkrankung: Remission assoziiert mit niedrigerem Kardiometabolen-Risiko</w:t>
      </w:r>
    </w:p>
    <w:p>
      <w:r>
        <w:rPr>
          <w:i/>
          <w:color w:val="666666"/>
          <w:sz w:val="18"/>
        </w:rPr>
        <w:t>Yao M et al.  ·  J Glob Health  ·  02.10.2026  ·  PMID 42825401</w:t>
      </w:r>
    </w:p>
    <w:p>
      <w:r>
        <w:t>Prospektive Kohortenstudie mit 51.416 Teilnehmern aus China, USA und Europa untersuchte, ob langfristige depressive Belastung (gemessen durch Verlauf und kumulative Scores) mit neuaufgetretener Mehrfacherkrankung (Herz-Kreislauf und Diabetes) assoziiert ist.</w:t>
      </w:r>
    </w:p>
    <w:p>
      <w:r>
        <w:rPr>
          <w:b/>
        </w:rPr>
        <w:t xml:space="preserve">Ergebnis: </w:t>
      </w:r>
      <w:r>
        <w:t>Depressionsfortschritt erhöhte CMM-Risiko: China HR 1,47 (95%-CI 1,00–2,17), USA HR 1,33 (1,01–1,74), Europa HR 1,46 (1,26–1,69). Depressionsremission reduzierte Risiko: China HR 0,56 (0,36–0,87), Europa HR 0,76 (0,63–0,92). Frauen stärker betroffen in USA und Europa.</w:t>
      </w:r>
    </w:p>
    <w:p>
      <w:r>
        <w:rPr>
          <w:b/>
          <w:sz w:val="19"/>
        </w:rPr>
        <w:t xml:space="preserve">Übertragbarkeit: </w:t>
      </w:r>
      <w:r>
        <w:rPr>
          <w:sz w:val="19"/>
        </w:rPr>
        <w:t>Internationale Kohorte mit vergleichbarem Design; deutsches System ohne direkte Abbildung, aber Mehrfacherkrankungen-Prävention zentral für DMPs</w:t>
      </w:r>
    </w:p>
    <w:p>
      <w:r>
        <w:rPr>
          <w:color w:val="5A7D3A"/>
          <w:sz w:val="18"/>
        </w:rPr>
        <w:t>https://pubmed.ncbi.nlm.nih.gov/42825401/</w:t>
      </w:r>
    </w:p>
    <w:p>
      <w:pPr>
        <w:pStyle w:val="Heading2"/>
      </w:pPr>
      <w:r>
        <w:t>Peer-Support-Programme für chronische Nierenerkrankung: Systemische Unterstützung und Engagement zentral</w:t>
      </w:r>
    </w:p>
    <w:p>
      <w:r>
        <w:rPr>
          <w:i/>
          <w:color w:val="666666"/>
          <w:sz w:val="18"/>
        </w:rPr>
        <w:t>Faravan A et al.  ·  J Ren Care  ·  Dez. 2026  ·  PMID 42820648</w:t>
      </w:r>
    </w:p>
    <w:p>
      <w:r>
        <w:t>Qualitative Metasynthese von 15 Studien zu Facilitators von Peer-Support-Programmen für Patienten mit chronischer Nierenerkrankung.</w:t>
      </w:r>
    </w:p>
    <w:p>
      <w:r>
        <w:rPr>
          <w:b/>
        </w:rPr>
        <w:t xml:space="preserve">Ergebnis: </w:t>
      </w:r>
      <w:r>
        <w:t>Drei Hauptfacilitators identifiziert: (1) supportive Organisationskultur im Gesundheitssystem, (2) tiefe peer-Verbindungen und gutes rapport, (3) engagierte und motivierte Peer-Supporter und -Empfänger. Erfolgreiche Programme erfordern Interaktion zwischen organisationaler Unterstützung, sinnvoller Peer-Beziehung und aktiver Partizipation.</w:t>
      </w:r>
    </w:p>
    <w:p>
      <w:r>
        <w:rPr>
          <w:b/>
          <w:sz w:val="19"/>
        </w:rPr>
        <w:t xml:space="preserve">Übertragbarkeit: </w:t>
      </w:r>
      <w:r>
        <w:rPr>
          <w:sz w:val="19"/>
        </w:rPr>
        <w:t>Überwiegend europäische und englischsprachige Studien; Peer-Support-Ansätze in Deutschland (Selbsthilfe, DMP-Strukturen) unmittelbar anwendbar</w:t>
      </w:r>
    </w:p>
    <w:p>
      <w:r>
        <w:rPr>
          <w:color w:val="5A7D3A"/>
          <w:sz w:val="18"/>
        </w:rPr>
        <w:t>https://pubmed.ncbi.nlm.nih.gov/42820648/</w:t>
      </w:r>
    </w:p>
    <w:p>
      <w:pPr>
        <w:pStyle w:val="Heading2"/>
      </w:pPr>
      <w:r>
        <w:t>GLP-1-Rezeptor-Agonisten schützen die Niere bei chronischer Nierenerkrankung und Diabetes</w:t>
      </w:r>
    </w:p>
    <w:p>
      <w:r>
        <w:rPr>
          <w:i/>
          <w:color w:val="666666"/>
          <w:sz w:val="18"/>
        </w:rPr>
        <w:t>Boeckhaus J et al.  ·  Clin Sci (Lond)  ·  14.10.2026  ·  PMID 42820470</w:t>
      </w:r>
    </w:p>
    <w:p>
      <w:r>
        <w:t>Übersichtsarbeit zur Evidenz für Nephroprotektivität von GLP-1 Agonisten bei Patienten mit Typ-2-Diabetes und chronischer Nierenerkrankung jenseits von Glukosekontrolle.</w:t>
      </w:r>
    </w:p>
    <w:p>
      <w:r>
        <w:rPr>
          <w:b/>
        </w:rPr>
        <w:t xml:space="preserve">Ergebnis: </w:t>
      </w:r>
      <w:r>
        <w:t>GLP-1-RA reduzieren eGFR-Abfall, albuminurie und kardiovaskuläre Ereignisse durch anti-inflammatorische und anti-fibrotische Mechanismen. Effekte teilweise unabhängig von Gewichtsreduktion. Sicherheitsprofil vergleichbar mit Standard; potenzielle neue Indikation auch ohne Diabetes bei CKD.</w:t>
      </w:r>
    </w:p>
    <w:p>
      <w:r>
        <w:rPr>
          <w:b/>
          <w:sz w:val="19"/>
        </w:rPr>
        <w:t xml:space="preserve">Übertragbarkeit: </w:t>
      </w:r>
      <w:r>
        <w:rPr>
          <w:sz w:val="19"/>
        </w:rPr>
        <w:t>Wirkmechanismus-Review ohne Versorgungsdaten; Evidenz aus RCTs übertragbar auf deutsches System</w:t>
      </w:r>
    </w:p>
    <w:p>
      <w:r>
        <w:rPr>
          <w:color w:val="5A7D3A"/>
          <w:sz w:val="18"/>
        </w:rPr>
        <w:t>https://pubmed.ncbi.nlm.nih.gov/42820470/</w:t>
      </w:r>
    </w:p>
    <w:p>
      <w:pPr>
        <w:pStyle w:val="Heading2"/>
      </w:pPr>
      <w:r>
        <w:t>Actualisiertes WHO-Modul für Mundgesundheit in Überwachungssystemen für nicht übertragbare Erkrankungen</w:t>
      </w:r>
    </w:p>
    <w:p>
      <w:r>
        <w:rPr>
          <w:i/>
          <w:color w:val="666666"/>
          <w:sz w:val="18"/>
        </w:rPr>
        <w:t>Rendell N et al.  ·  Bull World Health Organ  ·  01.10.2026  ·  PMID 42820175</w:t>
      </w:r>
    </w:p>
    <w:p>
      <w:r>
        <w:t>WHO präsentiert überarbeitetes Modul für STEPS-Surveillance (Überwachung von Risikofaktoren) mit klinischer Untersuchungskomponente für Mundgesundheit, die von geschultem Nicht-Zahnarzt-Personal durchführbar ist.</w:t>
      </w:r>
    </w:p>
    <w:p>
      <w:r>
        <w:rPr>
          <w:b/>
        </w:rPr>
        <w:t xml:space="preserve">Ergebnis: </w:t>
      </w:r>
      <w:r>
        <w:t>Neues Modul integriert aktualisierte Selbstangaben und klinische Bewertung statt nur Wahrnehmungsangaben. Praktisch und skalierbar für Länder ohne zahnärztliche Kapazität, unterstützt Integration von Mundgesundheit in Strategien zur universellen Gesundheitsversorgung.</w:t>
      </w:r>
    </w:p>
    <w:p>
      <w:r>
        <w:rPr>
          <w:b/>
          <w:sz w:val="19"/>
        </w:rPr>
        <w:t xml:space="preserve">Übertragbarkeit: </w:t>
      </w:r>
      <w:r>
        <w:rPr>
          <w:sz w:val="19"/>
        </w:rPr>
        <w:t>WHO-Standard für alle Länder; direkt auf deutsches RKI-Surveillance-System übertragbar</w:t>
      </w:r>
    </w:p>
    <w:p>
      <w:r>
        <w:rPr>
          <w:color w:val="5A7D3A"/>
          <w:sz w:val="18"/>
        </w:rPr>
        <w:t>https://pubmed.ncbi.nlm.nih.gov/42820175/</w:t>
      </w:r>
    </w:p>
    <w:p>
      <w:pPr>
        <w:pStyle w:val="Heading2"/>
      </w:pPr>
      <w:r>
        <w:t>Krankenhausinfektionen bei Kindern mit Sepsis zeigten höhere Sterblichkeit als ambulant erworbene Infektionen</w:t>
      </w:r>
    </w:p>
    <w:p>
      <w:r>
        <w:rPr>
          <w:i/>
          <w:color w:val="666666"/>
          <w:sz w:val="18"/>
        </w:rPr>
        <w:t>Ravichandran N et al.  ·  Eur J Pediatr  ·  19.09.2026  ·  PMID 42763313</w:t>
      </w:r>
    </w:p>
    <w:p>
      <w:r>
        <w:t>Retrospektive nationale Kohortenstudie zur Epidemiologie pädiatrischer Sepsis in Irland 2020–2025 mit Analyse von Krankheitsverlauf, Multimorbidität und Outcomes.</w:t>
      </w:r>
    </w:p>
    <w:p>
      <w:r>
        <w:rPr>
          <w:b/>
        </w:rPr>
        <w:t xml:space="preserve">Ergebnis: </w:t>
      </w:r>
      <w:r>
        <w:t>4.442 Sepsis-Aufnahmen: 30,7% nosokomial, 69,3% ambulant. Nosokomiale Sepsis: 84,0% Intensivaufnahmen vs. 32,3%, Sterblichkeit 7,6% vs. 1,8% (p&lt;0,001). Komorbidität assoziiert mit kritischem Verlauf (aOR neonatal 2,66; nicht-neonatal 4,88), aber schwere Verläufe auch ohne dokumentierte Komorbiditäten.</w:t>
      </w:r>
    </w:p>
    <w:p>
      <w:r>
        <w:rPr>
          <w:b/>
          <w:sz w:val="19"/>
        </w:rPr>
        <w:t xml:space="preserve">Übertragbarkeit: </w:t>
      </w:r>
      <w:r>
        <w:rPr>
          <w:sz w:val="19"/>
        </w:rPr>
        <w:t>Europäische Klinikdaten; vergleichbar mit deutschem Krankenhausmanagementsystem für Infektionsprävention</w:t>
      </w:r>
    </w:p>
    <w:p>
      <w:r>
        <w:rPr>
          <w:color w:val="5A7D3A"/>
          <w:sz w:val="18"/>
        </w:rPr>
        <w:t>https://pubmed.ncbi.nlm.nih.gov/42763313/</w:t>
      </w:r>
    </w:p>
    <w:p>
      <w:pPr>
        <w:pStyle w:val="Heading2"/>
      </w:pPr>
      <w:r>
        <w:t>Sterblichkeitsüberwachung mit multiplen Todesursachen zur Verfolgung chronischer Erkrankungen in der COVID-19-Ära</w:t>
      </w:r>
    </w:p>
    <w:p>
      <w:r>
        <w:rPr>
          <w:i/>
          <w:color w:val="666666"/>
          <w:sz w:val="18"/>
        </w:rPr>
        <w:t>Jones J  ·  Ann Epidemiol  ·  15.09.2026  ·  PMID 42744417</w:t>
      </w:r>
    </w:p>
    <w:p>
      <w:r>
        <w:t>Educational Module zu Mortalitäts-Surveillance-Methoden, das sich auf einen bereits publizierten Artikel zur Nutzung von Mehrfach-Todesursachen-Daten konzentriert (Referenz: Durán et al., Ann Epidemiol 2026;113:23-29).</w:t>
      </w:r>
    </w:p>
    <w:p>
      <w:r>
        <w:rPr>
          <w:b/>
        </w:rPr>
        <w:t xml:space="preserve">Ergebnis: </w:t>
      </w:r>
      <w:r>
        <w:t>Modul demonstriert Nutzen von Mehrfach-Todesursachen-Kodierung zur Erfassung von Trends chronischer Erkrankungen; Fallbeispiel Schweiz COVID-19-Pandemie zeigt, wie Überwachungsmethoden Versorgungsmuster offenbaren.</w:t>
      </w:r>
    </w:p>
    <w:p>
      <w:r>
        <w:rPr>
          <w:b/>
          <w:sz w:val="19"/>
        </w:rPr>
        <w:t xml:space="preserve">Übertragbarkeit: </w:t>
      </w:r>
      <w:r>
        <w:rPr>
          <w:sz w:val="19"/>
        </w:rPr>
        <w:t>Schweiz mit ähnlichem System wie Deutschland; Mortalitäts-Surveillance-Design direkt auf deutsches Todesbescheinigungssystem übertragbar</w:t>
      </w:r>
    </w:p>
    <w:p>
      <w:r>
        <w:rPr>
          <w:color w:val="5A7D3A"/>
          <w:sz w:val="18"/>
        </w:rPr>
        <w:t>https://pubmed.ncbi.nlm.nih.gov/42744417/</w:t>
      </w:r>
    </w:p>
    <w:p>
      <w:pPr>
        <w:pStyle w:val="Heading2"/>
      </w:pPr>
      <w:r>
        <w:t>COPD ist zu heterogen für Single-Trial-Zulassungen: Mehrfach-Studien-Evidenz erforderlich</w:t>
      </w:r>
    </w:p>
    <w:p>
      <w:r>
        <w:rPr>
          <w:i/>
          <w:color w:val="666666"/>
          <w:sz w:val="18"/>
        </w:rPr>
        <w:t>Cazzola M et al.  ·  Lung  ·  31.07.2026  ·  PMID 42536190</w:t>
      </w:r>
    </w:p>
    <w:p>
      <w:r>
        <w:t>Expertenpapier zur FDA-Proposal, einzelne RCTs als Standard für COPD-Medikamentenzulassung zu akzeptieren; erörtert Heterogenität, Effektgrößen und Generalisierbarkeit.</w:t>
      </w:r>
    </w:p>
    <w:p>
      <w:r>
        <w:rPr>
          <w:b/>
        </w:rPr>
        <w:t xml:space="preserve">Ergebnis: </w:t>
      </w:r>
      <w:r>
        <w:t>COPD zeigt variable Trajektorien, modest treatment effects, limitierte validierte Biomarker. Single RCTs risikieren Type-I-Fehler und begrenzte Übertragbarkeit durch restriktive Einschlusskriterien. Empfehlung: mindestens zwei unabhängige Studien bei CKD oder äquivalente Post-Marketing-Validierung erforderlich.</w:t>
      </w:r>
    </w:p>
    <w:p>
      <w:r>
        <w:rPr>
          <w:b/>
          <w:sz w:val="19"/>
        </w:rPr>
        <w:t xml:space="preserve">Übertragbarkeit: </w:t>
      </w:r>
      <w:r>
        <w:rPr>
          <w:sz w:val="19"/>
        </w:rPr>
        <w:t>COPD-Versorgung international vergleichbar; Argument für robuste Evidenzstandards in allen Gesundheitssystemen relevant</w:t>
      </w:r>
    </w:p>
    <w:p>
      <w:r>
        <w:rPr>
          <w:color w:val="5A7D3A"/>
          <w:sz w:val="18"/>
        </w:rPr>
        <w:t>https://pubmed.ncbi.nlm.nih.gov/42536190/</w:t>
      </w:r>
    </w:p>
    <w:p>
      <w:pPr>
        <w:pStyle w:val="Heading1"/>
      </w:pPr>
      <w:r>
        <w:t>Aufgenommen am 02.10.2026</w:t>
      </w:r>
    </w:p>
    <w:p>
      <w:pPr>
        <w:pStyle w:val="Heading2"/>
      </w:pPr>
      <w:r>
        <w:t>Peritoneal-Dialyse-Peritonitis: Nomogramm zur Vorhersage von Peritonitifreiheit</w:t>
      </w:r>
    </w:p>
    <w:p>
      <w:r>
        <w:rPr>
          <w:i/>
          <w:color w:val="666666"/>
          <w:sz w:val="18"/>
        </w:rPr>
        <w:t>Tian Z et al.  ·  Ren Fail  ·  01.10.2026  ·  PMID 42823121</w:t>
      </w:r>
    </w:p>
    <w:p>
      <w:r>
        <w:t>Retrospektive Kohortenstudie entwickelte und validierte ein Cox-Nomogramm zur Vorhersage der Peritonitis-freien Überlebenszeit bei peritonealer Dialyse (372 Patienten, 26,3 Monate Nachverfolgung).</w:t>
      </w:r>
    </w:p>
    <w:p>
      <w:r>
        <w:rPr>
          <w:b/>
        </w:rPr>
        <w:t xml:space="preserve">Ergebnis: </w:t>
      </w:r>
      <w:r>
        <w:t>Über Median 26,3 Monate: 35,4% Peritonitis-Ereignisse (Training), 30,4% (Validierung). Neun unabhängige Prädiktoren identifiziert (u.a. Bildung, BMI, Albumin, Kalzium, Phosphor). C-Index 0,707; ROC-AUC bei 6/12/24 Monaten: 75,8%/77,5%/69,7% (Training) bzw. 77,7%/63,8%/58,4% (Validierung). Modell zeigt moderate Diskrimination und befriedigende Kalibration.</w:t>
      </w:r>
    </w:p>
    <w:p>
      <w:r>
        <w:rPr>
          <w:b/>
          <w:sz w:val="19"/>
        </w:rPr>
        <w:t xml:space="preserve">Übertragbarkeit: </w:t>
      </w:r>
      <w:r>
        <w:rPr>
          <w:sz w:val="19"/>
        </w:rPr>
        <w:t>China, klinisch routinemäßig erhobene Parameter, externe Validierung vor Routineeinsatz erforderlich.</w:t>
      </w:r>
    </w:p>
    <w:p>
      <w:r>
        <w:rPr>
          <w:color w:val="5A7D3A"/>
          <w:sz w:val="18"/>
        </w:rPr>
        <w:t>https://pubmed.ncbi.nlm.nih.gov/42823121/</w:t>
      </w:r>
    </w:p>
    <w:p>
      <w:pPr>
        <w:pStyle w:val="Heading2"/>
      </w:pPr>
      <w:r>
        <w:t>Bewegungsmangel verursacht 2% der Krankheitslast in der Schweiz</w:t>
      </w:r>
    </w:p>
    <w:p>
      <w:r>
        <w:rPr>
          <w:i/>
          <w:color w:val="666666"/>
          <w:sz w:val="18"/>
        </w:rPr>
        <w:t>Güntert L et al.  ·  Swiss Med Wkly  ·  24.09.2026  ·  PMID 42821881</w:t>
      </w:r>
    </w:p>
    <w:p>
      <w:r>
        <w:t>Bevölkerungsgestützte Modellierungsstudie quantifizierte die durch körperliche Inaktivität verursachte Krankheitslast (YLD und YLL) in der Schweiz 2022 nach Sprachregionen.</w:t>
      </w:r>
    </w:p>
    <w:p>
      <w:r>
        <w:rPr>
          <w:b/>
        </w:rPr>
        <w:t xml:space="preserve">Ergebnis: </w:t>
      </w:r>
      <w:r>
        <w:t>Physische Inaktivität führte zu 227,08 YLD und 424,23 YLL pro 100.000 Personen &gt;20 Jahren (2% der DALYs insgesamt). Italienisch- und französischsprachige Regionen zeigten erheblich höhere Raten als deutschsprachige Regionen. Depression (93,38 YLD) und Herzkoronarerkrankung (132,12 YLL) waren Hauptkontributoren; Frauen waren stärker belastet als Männer.</w:t>
      </w:r>
    </w:p>
    <w:p>
      <w:r>
        <w:rPr>
          <w:b/>
          <w:sz w:val="19"/>
        </w:rPr>
        <w:t xml:space="preserve">Übertragbarkeit: </w:t>
      </w:r>
      <w:r>
        <w:rPr>
          <w:sz w:val="19"/>
        </w:rPr>
        <w:t>Schweizer Bevölkerungsdaten, ähnliche Struktur und Prävention wie im deutschsprachigen Raum.</w:t>
      </w:r>
    </w:p>
    <w:p>
      <w:r>
        <w:rPr>
          <w:color w:val="5A7D3A"/>
          <w:sz w:val="18"/>
        </w:rPr>
        <w:t>https://pubmed.ncbi.nlm.nih.gov/42821881/</w:t>
      </w:r>
    </w:p>
    <w:p>
      <w:pPr>
        <w:pStyle w:val="Heading2"/>
      </w:pPr>
      <w:r>
        <w:t>Antidiabetika und COPD-Exazerbationen: Netzwerk-Metaanalyse bei Typ-2-Diabetes</w:t>
      </w:r>
    </w:p>
    <w:p>
      <w:r>
        <w:rPr>
          <w:i/>
          <w:color w:val="666666"/>
          <w:sz w:val="18"/>
        </w:rPr>
        <w:t>Shabil M et al.  ·  Diab Vasc Dis Res  ·  01.10.2026  ·  PMID 42821775</w:t>
      </w:r>
    </w:p>
    <w:p>
      <w:r>
        <w:t>Systematische Übersicht mit Netzwerk-Metaanalyse evaluierte Effekte verschiedener Antidiabetika auf COPD-Exazerbationen bei Patienten mit T2DM (13 Beobachtungsstudien, 755.206 Teilnehmer).</w:t>
      </w:r>
    </w:p>
    <w:p>
      <w:r>
        <w:rPr>
          <w:b/>
        </w:rPr>
        <w:t xml:space="preserve">Ergebnis: </w:t>
      </w:r>
      <w:r>
        <w:t>Im Vergleich zu Sulfonylharnstoffen: SGLT-2-Inhibitoren zeigten tiefste COPD-Exazerbationsrate (RR 0,71; 95% CI 0,66–0,77), gefolgt von GLP-1-Agonisten (RR 0,77; 95% CI 0,71–0,84). Metformin neutral (RR 0,89), DPP-4-Inhibitoren (RR 1,05) und Meglitinide ohne klaren Nutzen. Ähnliche Befunde für schwere Exazerbationen.</w:t>
      </w:r>
    </w:p>
    <w:p>
      <w:r>
        <w:rPr>
          <w:b/>
          <w:sz w:val="19"/>
        </w:rPr>
        <w:t xml:space="preserve">Übertragbarkeit: </w:t>
      </w:r>
      <w:r>
        <w:rPr>
          <w:sz w:val="19"/>
        </w:rPr>
        <w:t>Internationale Beobachtungsdaten, Effektstärken unabhängig von Versorgungssystem.</w:t>
      </w:r>
    </w:p>
    <w:p>
      <w:r>
        <w:rPr>
          <w:color w:val="5A7D3A"/>
          <w:sz w:val="18"/>
        </w:rPr>
        <w:t>https://pubmed.ncbi.nlm.nih.gov/42821775/</w:t>
      </w:r>
    </w:p>
    <w:p>
      <w:pPr>
        <w:pStyle w:val="Heading2"/>
      </w:pPr>
      <w:r>
        <w:t>Rauchentwöhnung bei COPD: Klinik-Zuweisung verbesserte Abstinenzquote deutlich</w:t>
      </w:r>
    </w:p>
    <w:p>
      <w:r>
        <w:rPr>
          <w:i/>
          <w:color w:val="666666"/>
          <w:sz w:val="18"/>
        </w:rPr>
        <w:t>Marım F et al.  ·  Int J Chron Obstruct Pulmon Dis  ·  26.09.2026  ·  PMID 42820089</w:t>
      </w:r>
    </w:p>
    <w:p>
      <w:r>
        <w:t>Subgruppenanalyse einer multizentrischen RCT untersuchte Faktoren, die mit 1-Jahres-Rauchentwöhnung bei COPD-Patienten assoziiert sind (Vergleich: sofortige Klinik-Zuweisung vs. Standard-Versorgung).</w:t>
      </w:r>
    </w:p>
    <w:p>
      <w:r>
        <w:rPr>
          <w:b/>
        </w:rPr>
        <w:t xml:space="preserve">Ergebnis: </w:t>
      </w:r>
      <w:r>
        <w:t>Von 172 Patienten quit 32 (18,6%): 24 von 93 (25,8%) mit sofortiger Zuweisung vs. 8 von 79 (10,1%) mit Standardversorgung (p=0,010). Im multivariablen Modell: Standardversorgung senkte Erfolgschancen (OR 0,25; 95% CI 0,09–0,64); Fehlen von Komorbiditäten (OR 2,64) und &gt;1 exazerbationsbedingte Hospitalisierung (OR 9,32) erhöhten sie. Strukturierte Versorgungspfade sind zentral.</w:t>
      </w:r>
    </w:p>
    <w:p>
      <w:r>
        <w:rPr>
          <w:b/>
          <w:sz w:val="19"/>
        </w:rPr>
        <w:t xml:space="preserve">Übertragbarkeit: </w:t>
      </w:r>
      <w:r>
        <w:rPr>
          <w:sz w:val="19"/>
        </w:rPr>
        <w:t>Türkische Multizenterstudie, aber Versorgungsprinzipien (Koordination, Strukturierung) auf Deutschland übertragbar.</w:t>
      </w:r>
    </w:p>
    <w:p>
      <w:r>
        <w:rPr>
          <w:color w:val="5A7D3A"/>
          <w:sz w:val="18"/>
        </w:rPr>
        <w:t>https://pubmed.ncbi.nlm.nih.gov/42820089/</w:t>
      </w:r>
    </w:p>
    <w:p>
      <w:pPr>
        <w:pStyle w:val="Heading2"/>
      </w:pPr>
      <w:r>
        <w:t>Gicht-Akutbehandlung bei Nierenkrankheit: Anakinra versus Steroide</w:t>
      </w:r>
    </w:p>
    <w:p>
      <w:r>
        <w:rPr>
          <w:i/>
          <w:color w:val="666666"/>
          <w:sz w:val="18"/>
        </w:rPr>
        <w:t>Balasubramaniam G et al.  ·  BMJ Open  ·  30.09.2026  ·  PMID 42816092</w:t>
      </w:r>
    </w:p>
    <w:p>
      <w:r>
        <w:t>Feasibility-Studie testete Durchführbarkeit einer doppelblinden RCT von Anakinra versus Methylprednisolon bei Gicht-Anfällen in chronischer Nierenkrankheit (eGFR &lt;60).</w:t>
      </w:r>
    </w:p>
    <w:p>
      <w:r>
        <w:rPr>
          <w:b/>
        </w:rPr>
        <w:t xml:space="preserve">Ergebnis: </w:t>
      </w:r>
      <w:r>
        <w:t>21 Patienten randomisiert, 17 behandelt. Schmerzreduktion nach 7 Tagen: 46,8 von 100 auf visueller Analogskala. Anakinra zeigte Trend zu schnellerem Schmerzrückgang. Machbarkeit demonstriert; Unter-Rekrutierung war Hauptproblem. Empfehlung für optimierte Fall-Findung in der Gemeinschaft vor definitivem Trial.</w:t>
      </w:r>
    </w:p>
    <w:p>
      <w:r>
        <w:rPr>
          <w:b/>
          <w:sz w:val="19"/>
        </w:rPr>
        <w:t xml:space="preserve">Übertragbarkeit: </w:t>
      </w:r>
      <w:r>
        <w:rPr>
          <w:sz w:val="19"/>
        </w:rPr>
        <w:t>UK-Sekundärversorger, transferierbar auf multimorbide ältere Patienten in Deutschland.</w:t>
      </w:r>
    </w:p>
    <w:p>
      <w:r>
        <w:rPr>
          <w:color w:val="5A7D3A"/>
          <w:sz w:val="18"/>
        </w:rPr>
        <w:t>https://pubmed.ncbi.nlm.nih.gov/42816092/</w:t>
      </w:r>
    </w:p>
    <w:p>
      <w:pPr>
        <w:pStyle w:val="Heading2"/>
      </w:pPr>
      <w:r>
        <w:t>Sarcopenie bei Mehrfacherkrankungen: europäische Leitlinie mit praktischen Empfehlungen</w:t>
      </w:r>
    </w:p>
    <w:p>
      <w:r>
        <w:rPr>
          <w:i/>
          <w:color w:val="666666"/>
          <w:sz w:val="18"/>
        </w:rPr>
        <w:t>Bernabeu-Wittel M et al.  ·  Eur J Intern Med  ·  13.08.2026  ·  PMID 42595648</w:t>
      </w:r>
    </w:p>
    <w:p>
      <w:r>
        <w:t>EFIM-adaptierte Leitlinie für Identifikation und Management von Sarcopenie bei Patienten mit Mehrfacherkrankungen, basierend auf kritischer Bewertung bestehender Guidelines.</w:t>
      </w:r>
    </w:p>
    <w:p>
      <w:r>
        <w:rPr>
          <w:b/>
        </w:rPr>
        <w:t xml:space="preserve">Ergebnis: </w:t>
      </w:r>
      <w:r>
        <w:t>37 Empfehlungen (30 strong, 7 weak): Proaktives Screening ab 65 Jahren und bei jüngeren mit Risikofaktoren; Handgriffkraft als Eintrittspunkt; flexible diagnostische Wege; individualisierte multimodale Interventionen. 8 auf hoher, 12 auf moderater, 17 auf niedriger Evidenz oder Konsens. Adressiert iatrogene Risiken (Corticosteroide, GLP-1-Agonisten).</w:t>
      </w:r>
    </w:p>
    <w:p>
      <w:r>
        <w:rPr>
          <w:b/>
          <w:sz w:val="19"/>
        </w:rPr>
        <w:t xml:space="preserve">Übertragbarkeit: </w:t>
      </w:r>
      <w:r>
        <w:rPr>
          <w:sz w:val="19"/>
        </w:rPr>
        <w:t>Europäische Innere Medizin, direkt auf deutsches Versorgungssystem übertragbar.</w:t>
      </w:r>
    </w:p>
    <w:p>
      <w:r>
        <w:rPr>
          <w:color w:val="5A7D3A"/>
          <w:sz w:val="18"/>
        </w:rPr>
        <w:t>https://pubmed.ncbi.nlm.nih.gov/42595648/</w:t>
      </w:r>
    </w:p>
    <w:p>
      <w:pPr>
        <w:pStyle w:val="Heading1"/>
      </w:pPr>
      <w:r>
        <w:t>Aufgenommen am 01.10.2026</w:t>
      </w:r>
    </w:p>
    <w:p>
      <w:pPr>
        <w:pStyle w:val="Heading2"/>
      </w:pPr>
      <w:r>
        <w:t>Psychosomatic Belastung bei Jugendlichen mit chronischen Erkrankungen im Übergang zur Erwachsenenmedizin</w:t>
      </w:r>
    </w:p>
    <w:p>
      <w:r>
        <w:rPr>
          <w:i/>
          <w:color w:val="666666"/>
          <w:sz w:val="18"/>
        </w:rPr>
        <w:t>Choukair D et al.  ·  PLoS One  ·  30.09.2026  ·  PMID 42814714</w:t>
      </w:r>
    </w:p>
    <w:p>
      <w:r>
        <w:t>Querschnittsstudie an 92 Jugendlichen mit chronischen Erkrankungen zur Erfassung psychosozialer Belastung, Familienstruktur und Unterstützungsbedarf beim Transition-Prozess mit validierten Fragebögen.</w:t>
      </w:r>
    </w:p>
    <w:p>
      <w:r>
        <w:rPr>
          <w:b/>
        </w:rPr>
        <w:t xml:space="preserve">Ergebnis: </w:t>
      </w:r>
      <w:r>
        <w:t>39,6% moderate somatische Beschwerden, 20,6% depressive Symptome, 11,9% Angststörungssymptome; reduzierte Familienstruktur korrelierte signifikant mit höherer psychosomatischer Symptombelastung (p&lt;0,05). Psychosoziale Belastung sollte systematisch in Transition-Programme integriert werden.</w:t>
      </w:r>
    </w:p>
    <w:p>
      <w:r>
        <w:rPr>
          <w:b/>
          <w:sz w:val="19"/>
        </w:rPr>
        <w:t xml:space="preserve">Übertragbarkeit: </w:t>
      </w:r>
      <w:r>
        <w:rPr>
          <w:sz w:val="19"/>
        </w:rPr>
        <w:t>Deutschland, vergleichbare Strukturen der Kindermedizin und Transitionsmedizin.</w:t>
      </w:r>
    </w:p>
    <w:p>
      <w:r>
        <w:rPr>
          <w:color w:val="5A7D3A"/>
          <w:sz w:val="18"/>
        </w:rPr>
        <w:t>https://pubmed.ncbi.nlm.nih.gov/42814714/</w:t>
      </w:r>
    </w:p>
    <w:p>
      <w:pPr>
        <w:pStyle w:val="Heading2"/>
      </w:pPr>
      <w:r>
        <w:t>Kostenwirksamkeit eines dezentralen Versorgungsmodells für Hepatitis B in remote Gemeinden</w:t>
      </w:r>
    </w:p>
    <w:p>
      <w:r>
        <w:rPr>
          <w:i/>
          <w:color w:val="666666"/>
          <w:sz w:val="18"/>
        </w:rPr>
        <w:t>Nguyen H et al.  ·  Med J Aust  ·  Okt. 2026  ·  PMID 42811936</w:t>
      </w:r>
    </w:p>
    <w:p>
      <w:r>
        <w:t>Retrospektive Kohortenstudie (2014-2023) von 1063 First-Nations-Personen mit chronischer Hepatitis B zur Kosten-Analyse des Hep-B-PAST-Programms versus Standard-Versorgung in Australien.</w:t>
      </w:r>
    </w:p>
    <w:p>
      <w:r>
        <w:rPr>
          <w:b/>
        </w:rPr>
        <w:t xml:space="preserve">Ergebnis: </w:t>
      </w:r>
      <w:r>
        <w:t>Mediane Jahreskosten pro Person ähnlich: Standard $639 (IQR 366–1156) vs. Hep-B-PAST $770 (IQR 400–1272), p=0,12; Mittelwerte Standard $1701 vs. $1970 (p=0,12); dezentrales Modell führte nicht zu Kostensteigerung bei verbesserter Therapie-Adhärenz.</w:t>
      </w:r>
    </w:p>
    <w:p>
      <w:r>
        <w:rPr>
          <w:b/>
          <w:sz w:val="19"/>
        </w:rPr>
        <w:t xml:space="preserve">Übertragbarkeit: </w:t>
      </w:r>
      <w:r>
        <w:rPr>
          <w:sz w:val="19"/>
        </w:rPr>
        <w:t>Australien, vergleichbare öffentliche Versorgungssysteme; Dezentralisierung ist kosteneffizient.</w:t>
      </w:r>
    </w:p>
    <w:p>
      <w:r>
        <w:rPr>
          <w:color w:val="5A7D3A"/>
          <w:sz w:val="18"/>
        </w:rPr>
        <w:t>https://pubmed.ncbi.nlm.nih.gov/42811936/</w:t>
      </w:r>
    </w:p>
    <w:p>
      <w:pPr>
        <w:pStyle w:val="Heading2"/>
      </w:pPr>
      <w:r>
        <w:t>Krankheitslast nicht-übertragbarer Erkrankungen in bangladeschischen Krankenhäusern</w:t>
      </w:r>
    </w:p>
    <w:p>
      <w:r>
        <w:rPr>
          <w:i/>
          <w:color w:val="666666"/>
          <w:sz w:val="18"/>
        </w:rPr>
        <w:t>Proma SB et al.  ·  Mymensingh Med J  ·  Okt. 2026  ·  PMID 42811840</w:t>
      </w:r>
    </w:p>
    <w:p>
      <w:r>
        <w:t>Retrospektive Querschnittsanalyse von 6698 Krankenhausaufnahmen 2022 an einem Tertiärzentrum zur Erfassung der Häufigkeit, Muster und Mortalität durch nicht-übertragbare Erkrankungen.</w:t>
      </w:r>
    </w:p>
    <w:p>
      <w:r>
        <w:rPr>
          <w:b/>
        </w:rPr>
        <w:t xml:space="preserve">Ergebnis: </w:t>
      </w:r>
      <w:r>
        <w:t>42,05% aller Aufnahmen NCDs; weiblich 56,37%, männlich 43,63%; Häufigste Erkrankungen Hypertonie (33,22%), Diabetes (25,34%), Schlaganfall (17,85%), kardiovaskulär (12,14%); NCDs verursachten 88,41% aller Todesfälle (n=164), hauptsächlich kardiovaskulär, Schlaganfall, chronische Atemwegserkrankungen.</w:t>
      </w:r>
    </w:p>
    <w:p>
      <w:r>
        <w:rPr>
          <w:b/>
          <w:sz w:val="19"/>
        </w:rPr>
        <w:t xml:space="preserve">Übertragbarkeit: </w:t>
      </w:r>
      <w:r>
        <w:rPr>
          <w:sz w:val="19"/>
        </w:rPr>
        <w:t>Bangladesch, Ressourcen-limitierte Versorgung; Handlungsbedarf zur Prävention und Früherkennung NCDs evident.</w:t>
      </w:r>
    </w:p>
    <w:p>
      <w:r>
        <w:rPr>
          <w:color w:val="5A7D3A"/>
          <w:sz w:val="18"/>
        </w:rPr>
        <w:t>https://pubmed.ncbi.nlm.nih.gov/42811840/</w:t>
      </w:r>
    </w:p>
    <w:p>
      <w:pPr>
        <w:pStyle w:val="Heading2"/>
      </w:pPr>
      <w:r>
        <w:t>Bewegung in die Krankenhausversorgung: Integrierung von Physiotherapie in die chronische Versorgung</w:t>
      </w:r>
    </w:p>
    <w:p>
      <w:r>
        <w:rPr>
          <w:i/>
          <w:color w:val="666666"/>
          <w:sz w:val="18"/>
        </w:rPr>
        <w:t>Barrera-Garcimartín A et al.  ·  Int J Qual Stud Health Well-being  ·  31.12.2026  ·  PMID 42808772</w:t>
      </w:r>
    </w:p>
    <w:p>
      <w:r>
        <w:t>Qualitative Fokusgruppentudie mit 8 Fachpersonen eines öffentlichen Krankenhauses in Spanien zur Rolle von körperlicher Aktivität in der chronischen Versorgung.</w:t>
      </w:r>
    </w:p>
    <w:p>
      <w:r>
        <w:rPr>
          <w:b/>
        </w:rPr>
        <w:t xml:space="preserve">Ergebnis: </w:t>
      </w:r>
      <w:r>
        <w:t>Teilnehmende beschrieben niedrige Aktivität, mangelnde Ressourcen, fehlende institutionelle Unterstützung und schwache Rahmenbedingungen als Barrieren. Als zentral identifiziert: Integration von Sportfachpersonen, Entwicklung strukturierter Programme, stärkere Collaboration mit externen Institutionen.</w:t>
      </w:r>
    </w:p>
    <w:p>
      <w:r>
        <w:rPr>
          <w:b/>
          <w:sz w:val="19"/>
        </w:rPr>
        <w:t xml:space="preserve">Übertragbarkeit: </w:t>
      </w:r>
      <w:r>
        <w:rPr>
          <w:sz w:val="19"/>
        </w:rPr>
        <w:t>Spanien, öffentliche Krankenhaussysteme; Umsetzungshindernisse sind System-unabhängig.</w:t>
      </w:r>
    </w:p>
    <w:p>
      <w:r>
        <w:rPr>
          <w:color w:val="5A7D3A"/>
          <w:sz w:val="18"/>
        </w:rPr>
        <w:t>https://pubmed.ncbi.nlm.nih.gov/42808772/</w:t>
      </w:r>
    </w:p>
    <w:p>
      <w:pPr>
        <w:pStyle w:val="Heading2"/>
      </w:pPr>
      <w:r>
        <w:t>Minimale klinische Relevanz der EQ-VAS bei Post-COVID: Tagesschwankungen und Mess-Standards</w:t>
      </w:r>
    </w:p>
    <w:p>
      <w:r>
        <w:rPr>
          <w:i/>
          <w:color w:val="666666"/>
          <w:sz w:val="18"/>
        </w:rPr>
        <w:t>Kopp J et al.  ·  BMJ Open  ·  25.09.2026  ·  PMID 42790915</w:t>
      </w:r>
    </w:p>
    <w:p>
      <w:r>
        <w:t>Sekundäranalyse von täglichen EQ-VAS-Werten über 7 Tage bei 153 Post-COVID-Patienten aus einem randomisierten Kontrollversuch zur Bestimmung der minimalen wichtigen Differenz (MID).</w:t>
      </w:r>
    </w:p>
    <w:p>
      <w:r>
        <w:rPr>
          <w:b/>
        </w:rPr>
        <w:t xml:space="preserve">Ergebnis: </w:t>
      </w:r>
      <w:r>
        <w:t>Baseline-Median EQ-VAS 48,7 (0-100 Skala); tageszeitliche Variabilität (Median wpSD 6,4); verteilungsbasierte MID 5,9–8,9 Punkte; ankerbasierte MID 8,96 Punkte (FACIT-Fatigue); empfohlener MID-Wert 8 Punkte für zukünftige Studien.</w:t>
      </w:r>
    </w:p>
    <w:p>
      <w:r>
        <w:rPr>
          <w:b/>
          <w:sz w:val="19"/>
        </w:rPr>
        <w:t xml:space="preserve">Übertragbarkeit: </w:t>
      </w:r>
      <w:r>
        <w:rPr>
          <w:sz w:val="19"/>
        </w:rPr>
        <w:t>Schweiz, vergleichbare Versorgungsstrukturen; Messstandardisierung ist System-unabhängig.</w:t>
      </w:r>
    </w:p>
    <w:p>
      <w:r>
        <w:rPr>
          <w:color w:val="5A7D3A"/>
          <w:sz w:val="18"/>
        </w:rPr>
        <w:t>https://pubmed.ncbi.nlm.nih.gov/42790915/</w:t>
      </w:r>
    </w:p>
    <w:p>
      <w:pPr>
        <w:pStyle w:val="Heading1"/>
      </w:pPr>
      <w:r>
        <w:t>Aufgenommen am 30.09.2026</w:t>
      </w:r>
    </w:p>
    <w:p>
      <w:pPr>
        <w:pStyle w:val="Heading2"/>
      </w:pPr>
      <w:r>
        <w:t>Diagnostische Verzögerung bei POTS-Syndrom: 3 Jahre Median, massive Beeinträchtigung</w:t>
      </w:r>
    </w:p>
    <w:p>
      <w:r>
        <w:rPr>
          <w:i/>
          <w:color w:val="666666"/>
          <w:sz w:val="18"/>
        </w:rPr>
        <w:t>Seeley MC et al.  ·  BMJ Open  ·  29.09.2026  ·  PMID 42810796</w:t>
      </w:r>
    </w:p>
    <w:p>
      <w:r>
        <w:t>Beobachtungskohorte mit 500 Patienten mit bestätigtem Postural-Orthostatic-Tachycardia-Syndrom (POTS) aus australischer Registry dokumentierte Symptombürde, diagnostische Verzögerung und Funktionsbeeinträchtigung.</w:t>
      </w:r>
    </w:p>
    <w:p>
      <w:r>
        <w:rPr>
          <w:b/>
        </w:rPr>
        <w:t xml:space="preserve">Ergebnis: </w:t>
      </w:r>
      <w:r>
        <w:t>Mediane diagnostische Verzögerung 3,0 Jahre (IQR 9,0), 25,5% hatten ≥10 Jahre Verzögerung. Trotz jungen Alters (Durchschnitt 31,3 Jahre) und hoher Bildung: 22% arbeitslos oder könnten nicht zur Schule gehen. Infektion war der häufigste Auslöser (39,4%). Höhere autonome Symptombelastung korrelierte mit mehr Fatigue (FSS 56,0 vs. 48,0; p&lt;0,001), Magen-Darm-Symptomen (GCSI 1,60 vs. 0,89; p&lt;0,001) und schlechterer Lebensqualität (EQ-5D 0,547 vs. 0,717; p&lt;0,001).</w:t>
      </w:r>
    </w:p>
    <w:p>
      <w:r>
        <w:rPr>
          <w:b/>
          <w:sz w:val="19"/>
        </w:rPr>
        <w:t xml:space="preserve">Übertragbarkeit: </w:t>
      </w:r>
      <w:r>
        <w:rPr>
          <w:sz w:val="19"/>
        </w:rPr>
        <w:t>Australien, vergleichbare Primärversorgungsstrukturen, ähnlicher Versorgungsauftrag</w:t>
      </w:r>
    </w:p>
    <w:p>
      <w:r>
        <w:rPr>
          <w:color w:val="5A7D3A"/>
          <w:sz w:val="18"/>
        </w:rPr>
        <w:t>https://pubmed.ncbi.nlm.nih.gov/42810796/</w:t>
      </w:r>
    </w:p>
    <w:p>
      <w:pPr>
        <w:pStyle w:val="Heading2"/>
      </w:pPr>
      <w:r>
        <w:t>Mehrfacherkrankung in Alltag und Versorgung: Qualitative Studie zu komplexer Multimorbidität in Dänemark</w:t>
      </w:r>
    </w:p>
    <w:p>
      <w:r>
        <w:rPr>
          <w:i/>
          <w:color w:val="666666"/>
          <w:sz w:val="18"/>
        </w:rPr>
        <w:t>Poulsen AG et al.  ·  Prim Health Care Res Dev  ·  29.09.2026  ·  PMID 42808657</w:t>
      </w:r>
    </w:p>
    <w:p>
      <w:r>
        <w:t>Qualitative Interviews mit 8 Patienten mit komplexer Multimorbidität zeigten, dass diese Patienten trotz mehrerer Diagnosen keine Kontinuität über alle Erkrankungen hinweg erwarten, sondern wünschen sich spezialisierte Betreuung pro Fachgebiet und einen professionellen Lotsen – häufig den Hausarzt – als Unterstützung.</w:t>
      </w:r>
    </w:p>
    <w:p>
      <w:r>
        <w:rPr>
          <w:b/>
        </w:rPr>
        <w:t xml:space="preserve">Ergebnis: </w:t>
      </w:r>
      <w:r>
        <w:t>Kernfindung: Patienten verfolgen aktiv Bewältigungsstrategien zwischen medizinischen Empfehlungen und persönlichen Prioritäten. Ein Ansprechpartner (oft der Hausarzt) war ein signifikanter Unterstützungsfaktor. Die Ergebnisse unterstreichen die Notwendigkeit einer patientenzentrierten Versorgung, die individuelle Ressourcen anerkennt.</w:t>
      </w:r>
    </w:p>
    <w:p>
      <w:r>
        <w:rPr>
          <w:b/>
          <w:sz w:val="19"/>
        </w:rPr>
        <w:t xml:space="preserve">Übertragbarkeit: </w:t>
      </w:r>
      <w:r>
        <w:rPr>
          <w:sz w:val="19"/>
        </w:rPr>
        <w:t>Dänemark, vergleichbares Primärarztsystem mit Gatekeeper-Funktion</w:t>
      </w:r>
    </w:p>
    <w:p>
      <w:r>
        <w:rPr>
          <w:color w:val="5A7D3A"/>
          <w:sz w:val="18"/>
        </w:rPr>
        <w:t>https://pubmed.ncbi.nlm.nih.gov/42808657/</w:t>
      </w:r>
    </w:p>
    <w:p>
      <w:pPr>
        <w:pStyle w:val="Heading2"/>
      </w:pPr>
      <w:r>
        <w:t>Post-COVID-19-Symptome bei Asthma und COPD: Risikofaktoren identifiziert</w:t>
      </w:r>
    </w:p>
    <w:p>
      <w:r>
        <w:rPr>
          <w:i/>
          <w:color w:val="666666"/>
          <w:sz w:val="18"/>
        </w:rPr>
        <w:t>Andreason A et al.  ·  NPJ Prim Care Respir Med  ·  29.09.2026  ·  PMID 42805994</w:t>
      </w:r>
    </w:p>
    <w:p>
      <w:r>
        <w:t>Querschnittstudie mit 494 Patienten mit bestätigter COVID-19-Infektion aus dem schwedischen PRAXIS-Register untersuchte Häufigkeit und Risikofaktoren für persistierende Symptome bei Asthma oder COPD.</w:t>
      </w:r>
    </w:p>
    <w:p>
      <w:r>
        <w:rPr>
          <w:b/>
        </w:rPr>
        <w:t xml:space="preserve">Ergebnis: </w:t>
      </w:r>
      <w:r>
        <w:t>59% (289/494) berichteten Post-COVID-19-Symptome. Unabhängige Risikofaktoren: schwere akute Infektion (aOR 8,91), höheres Alter (aOR 1,25 pro Jahr), weibliches Geschlecht (aOR 1,52), Adipositas (aOR 2,24), Angststörung/Depression (aOR 1,79) und chronischer Schmerz (aOR 3,61). Patienten mit Asthma/COPD hatten höhere Prävalenz persistierender Symptome als andere Populationen.</w:t>
      </w:r>
    </w:p>
    <w:p>
      <w:r>
        <w:rPr>
          <w:b/>
          <w:sz w:val="19"/>
        </w:rPr>
        <w:t xml:space="preserve">Übertragbarkeit: </w:t>
      </w:r>
      <w:r>
        <w:rPr>
          <w:sz w:val="19"/>
        </w:rPr>
        <w:t>Schweden, europäisches Primärversorgungssystem, vergleichbare Dokumentation</w:t>
      </w:r>
    </w:p>
    <w:p>
      <w:r>
        <w:rPr>
          <w:color w:val="5A7D3A"/>
          <w:sz w:val="18"/>
        </w:rPr>
        <w:t>https://pubmed.ncbi.nlm.nih.gov/42805994/</w:t>
      </w:r>
    </w:p>
    <w:p>
      <w:pPr>
        <w:pStyle w:val="Heading2"/>
      </w:pPr>
      <w:r>
        <w:t>Spezialistisch versorgte chronische Erkrankungen im Primärarztsystem: Analyse deutscher Kassendaten</w:t>
      </w:r>
    </w:p>
    <w:p>
      <w:r>
        <w:rPr>
          <w:i/>
          <w:color w:val="666666"/>
          <w:sz w:val="18"/>
        </w:rPr>
        <w:t>Mangiapane S et al.  ·  Bundesgesundheitsblatt Gesundheitsforschung Gesundheitsschutz  ·  08.09.2026  ·  PMID 42709072</w:t>
      </w:r>
    </w:p>
    <w:p>
      <w:r>
        <w:t>Analyse von bundesweiten Abrechnungsdaten für 2024 identifizierte 173 Diagnosegruppen mit hoher fachärztlicher Versorgungsrelevanz, um zu prüfen, welche chronischen Erkrankungen primärärztlich von Spezialisten koordiniert werden könnten.</w:t>
      </w:r>
    </w:p>
    <w:p>
      <w:r>
        <w:rPr>
          <w:b/>
        </w:rPr>
        <w:t xml:space="preserve">Ergebnis: </w:t>
      </w:r>
      <w:r>
        <w:t>Bei Patienten mit Nierenfunktionsstörung (N25) höchster fachärztlicher Anteil: 83% erhielten nephrologische Behandlung, Nephrologen verantwortlich für 77% krankheitsspezifischer Fälle, aber nur 37% aller Behandlungstage. Bei allen fünf exemplarisch analysierten Indikationen (F33, G35, K51, M05, N25) entfielen 43–55% aller Behandlungstage auf Hausärzte, 92–97% der Patienten wurden hausärztlich versorgt. Schlussfolgerung: Spezialistisch geleitete primärärztliche Versorgung würde umfassende fachübergreifende Koordination erfordern, die wahrscheinlich nur für Einzelfälle realistisch ist.</w:t>
      </w:r>
    </w:p>
    <w:p>
      <w:r>
        <w:rPr>
          <w:b/>
          <w:sz w:val="19"/>
        </w:rPr>
        <w:t xml:space="preserve">Übertragbarkeit: </w:t>
      </w:r>
      <w:r>
        <w:rPr>
          <w:sz w:val="19"/>
        </w:rPr>
        <w:t>Deutschland, eigene Kassendaten, Struktur des Versicherungssystems identisch</w:t>
      </w:r>
    </w:p>
    <w:p>
      <w:r>
        <w:rPr>
          <w:color w:val="5A7D3A"/>
          <w:sz w:val="18"/>
        </w:rPr>
        <w:t>https://pubmed.ncbi.nlm.nih.gov/42709072/</w:t>
      </w:r>
    </w:p>
    <w:p>
      <w:pPr>
        <w:pStyle w:val="Heading2"/>
      </w:pPr>
      <w:r>
        <w:t>Steatose bei chronischer Hepatitis B: 42% Prävalenz bei vulnerablen Patienten, HBeAg protektiv, T2DM risikosteigernd</w:t>
      </w:r>
    </w:p>
    <w:p>
      <w:r>
        <w:rPr>
          <w:i/>
          <w:color w:val="666666"/>
          <w:sz w:val="18"/>
        </w:rPr>
        <w:t>Trifan A et al.  ·  J Gastrointestin Liver Dis  ·  29.08.2026  ·  PMID 42667659</w:t>
      </w:r>
    </w:p>
    <w:p>
      <w:r>
        <w:t>Prospektive Querschnittsstudie mit 1.970 Patienten mit chronischer Hepatitis B aus Screening-Programm in Rumänien (LIVE(RO)2) identifizierte metabolische Risikofaktoren für hepatische Steatose mittels kontrollierter Dämpfungsparameter (CAP).</w:t>
      </w:r>
    </w:p>
    <w:p>
      <w:r>
        <w:rPr>
          <w:b/>
        </w:rPr>
        <w:t xml:space="preserve">Ergebnis: </w:t>
      </w:r>
      <w:r>
        <w:t>Steatose-Prävalenz 42,2% bei vulnerablen (sozial benachteiligten) Patienten vs. 26,4% bei nicht-vulnerablen. Vulnerable Patienten hatten höhere Prävalenz von T2DM (11,5%), Hypertonie (41,3%) und Übergewicht (71,3%). HBeAg-Positivität war protektiv gegen Steatose (aOR 0,397), aber erhöhte Zirrhose-Risiko um Faktor 6. Schwere Fibrose (≥F3): 17,1% bei vulnerablen vs. 9,7% bei nicht-vulnerablen.</w:t>
      </w:r>
    </w:p>
    <w:p>
      <w:r>
        <w:rPr>
          <w:b/>
          <w:sz w:val="19"/>
        </w:rPr>
        <w:t xml:space="preserve">Übertragbarkeit: </w:t>
      </w:r>
      <w:r>
        <w:rPr>
          <w:sz w:val="19"/>
        </w:rPr>
        <w:t>Rumänien, Länder Südosteuropas, Primärversorgungsdaten, Struktur ähnlich mitteleuro­päischen Systemen</w:t>
      </w:r>
    </w:p>
    <w:p>
      <w:r>
        <w:rPr>
          <w:color w:val="5A7D3A"/>
          <w:sz w:val="18"/>
        </w:rPr>
        <w:t>https://pubmed.ncbi.nlm.nih.gov/42667659/</w:t>
      </w:r>
    </w:p>
    <w:p>
      <w:pPr>
        <w:pStyle w:val="Heading2"/>
      </w:pPr>
      <w:r>
        <w:t>Point-of-Care-Ultraschall in Zambia erkennt Zirrhose mit moderater Genauigkeit</w:t>
      </w:r>
    </w:p>
    <w:p>
      <w:r>
        <w:rPr>
          <w:i/>
          <w:color w:val="666666"/>
          <w:sz w:val="18"/>
        </w:rPr>
        <w:t>Bertoni C et al.  ·  J Viral Hepat  ·  Sept. 2026  ·  PMID 42547938</w:t>
      </w:r>
    </w:p>
    <w:p>
      <w:r>
        <w:t>Machbarkeitsstudie mit 197 Patienten mit chronischer Hepatitis B ± HIV in Zambia testete, ob trainierte nicht-radiologische Fachkräfte ein vereinfachtes Ultraschallprotokoll (PUSH) zur Erkennung von Fibrose, Zirrhose und HCC einsetzen können.</w:t>
      </w:r>
    </w:p>
    <w:p>
      <w:r>
        <w:rPr>
          <w:b/>
        </w:rPr>
        <w:t xml:space="preserve">Ergebnis: </w:t>
      </w:r>
      <w:r>
        <w:t>Nach kurzer Schulung: PUSH zeigte niedrige Genauigkeit für signifikante Fibrose (Sensitivität 8,3%, Spezifität 100%, AUROC 0,54), moderate Genauigkeit für Zirrhose (Sensitivität 60,9%, Spezifität 97,7%, AUROC 0,79) und höhere Genauigkeit für Leberläsionen verdächtig auf HCC (Sensitivität 85,7%, Spezifität 98,4%, AUROC 0,92). Schlussfolgerung: Frontline-Fachkräfte können PUSH für Zirrhose und Leberläsionen nutzen, wenn Labor- und Elastographiesysteme fehlen.</w:t>
      </w:r>
    </w:p>
    <w:p>
      <w:r>
        <w:rPr>
          <w:b/>
          <w:sz w:val="19"/>
        </w:rPr>
        <w:t xml:space="preserve">Übertragbarkeit: </w:t>
      </w:r>
      <w:r>
        <w:rPr>
          <w:sz w:val="19"/>
        </w:rPr>
        <w:t>Ressourcenarm-Setting, Übertragbarkeit auf Deutschland gering, aber Methodische Relevanz für Versorgung ohne hochwertige Labordiagnostik</w:t>
      </w:r>
    </w:p>
    <w:p>
      <w:r>
        <w:rPr>
          <w:color w:val="5A7D3A"/>
          <w:sz w:val="18"/>
        </w:rPr>
        <w:t>https://pubmed.ncbi.nlm.nih.gov/42547938/</w:t>
      </w:r>
    </w:p>
    <w:p>
      <w:pPr>
        <w:pStyle w:val="Heading1"/>
      </w:pPr>
      <w:r>
        <w:t>Aufgenommen am 29.09.2026</w:t>
      </w:r>
    </w:p>
    <w:p>
      <w:pPr>
        <w:pStyle w:val="Heading2"/>
      </w:pPr>
      <w:r>
        <w:t>Sarcopenie bei chronischer Nierenkrankheit: 28 % Prävalenz bei ESRD, assoziiert mit Metabolik und Frailty</w:t>
      </w:r>
    </w:p>
    <w:p>
      <w:r>
        <w:rPr>
          <w:i/>
          <w:color w:val="666666"/>
          <w:sz w:val="18"/>
        </w:rPr>
        <w:t>Agidew MM et al.  ·  BMJ Open  ·  28.09.2026  ·  PMID 42805656</w:t>
      </w:r>
    </w:p>
    <w:p>
      <w:r>
        <w:t>Querschnittstudie aus Äthiopien zu Sarcopenie-Prävalenz und Risikofaktoren bei erwachsenen CKD-Patienten (n=120) in einer nephrologischen Klinik, mit fokus auf ESRD-Differenzierung.</w:t>
      </w:r>
    </w:p>
    <w:p>
      <w:r>
        <w:rPr>
          <w:b/>
        </w:rPr>
        <w:t xml:space="preserve">Ergebnis: </w:t>
      </w:r>
      <w:r>
        <w:t>Sarcopenie-Prävalenz war signifikant höher bei ESRD als ohne ESRD (28,3 % vs. 10,0 %; p=0,01). Unabhängige Prädiktoren waren niedriges HDL, erhöhtes Triglycerid, Hyperglykämie, Hypertonie und Frailty. Korrelationen mit Nierenfunktion (r=−0,291; p=0,001) und oxidativem Stress bestätigt.</w:t>
      </w:r>
    </w:p>
    <w:p>
      <w:r>
        <w:rPr>
          <w:b/>
          <w:sz w:val="19"/>
        </w:rPr>
        <w:t xml:space="preserve">Übertragbarkeit: </w:t>
      </w:r>
      <w:r>
        <w:rPr>
          <w:sz w:val="19"/>
        </w:rPr>
        <w:t>Äthiopien, aber CKD-Komplikationen global, Screening-Empfehlungen übertragbar</w:t>
      </w:r>
    </w:p>
    <w:p>
      <w:r>
        <w:rPr>
          <w:color w:val="5A7D3A"/>
          <w:sz w:val="18"/>
        </w:rPr>
        <w:t>https://pubmed.ncbi.nlm.nih.gov/42805656/</w:t>
      </w:r>
    </w:p>
    <w:p>
      <w:pPr>
        <w:pStyle w:val="Heading2"/>
      </w:pPr>
      <w:r>
        <w:t>Nierentransplantate von Spendern mit Diabetes: 5-Jahres-Funktion nach Matchingvergleich unbedenklich</w:t>
      </w:r>
    </w:p>
    <w:p>
      <w:r>
        <w:rPr>
          <w:i/>
          <w:color w:val="666666"/>
          <w:sz w:val="18"/>
        </w:rPr>
        <w:t>Colella-Santos M et al.  ·  Clin Transplant  ·  Okt. 2026  ·  PMID 42804549</w:t>
      </w:r>
    </w:p>
    <w:p>
      <w:r>
        <w:t>Retrospektive brasilianische Kohortenstudie zu 5-Jahres-Nierenfunktion und Transplantat-Überleben nach Nierentransplantation mit verstorbenen Spendern mit oder ohne Diabetes mellitus (n=3.058), mit Propensity-Score-Matching.</w:t>
      </w:r>
    </w:p>
    <w:p>
      <w:r>
        <w:rPr>
          <w:b/>
        </w:rPr>
        <w:t xml:space="preserve">Ergebnis: </w:t>
      </w:r>
      <w:r>
        <w:t>Nach Matching unterschieden sich eGFR über 5 Jahre, eGFR-Steigung und zensiertes Transplantat-Überleben nicht zwischen Spendern mit und ohne Diabetes. Pre-implantations-Biopsien zeigten selten Diabetes-assoziierte glomeruläre Läsionen; keine Banff-Parameter sagten eGFR&lt;30 oder Transplantatverlust voraus (alle p&gt;0,05).</w:t>
      </w:r>
    </w:p>
    <w:p>
      <w:r>
        <w:rPr>
          <w:b/>
          <w:sz w:val="19"/>
        </w:rPr>
        <w:t xml:space="preserve">Übertragbarkeit: </w:t>
      </w:r>
      <w:r>
        <w:rPr>
          <w:sz w:val="19"/>
        </w:rPr>
        <w:t>Brasilien, aber Organallokation und Transplantat-Qualitätskriterien überträglich</w:t>
      </w:r>
    </w:p>
    <w:p>
      <w:r>
        <w:rPr>
          <w:color w:val="5A7D3A"/>
          <w:sz w:val="18"/>
        </w:rPr>
        <w:t>https://pubmed.ncbi.nlm.nih.gov/42804549/</w:t>
      </w:r>
    </w:p>
    <w:p>
      <w:pPr>
        <w:pStyle w:val="Heading2"/>
      </w:pPr>
      <w:r>
        <w:t>Ältere mit konservativer Nierenfunktions-Erhaltung lehnen Dialyse ab – Nephrologie stellt sie selten bereit</w:t>
      </w:r>
    </w:p>
    <w:p>
      <w:r>
        <w:rPr>
          <w:i/>
          <w:color w:val="666666"/>
          <w:sz w:val="18"/>
        </w:rPr>
        <w:t>Geiger MP et al.  ·  JAMA Netw Open  ·  01.09.2026  ·  PMID 42804203</w:t>
      </w:r>
    </w:p>
    <w:p>
      <w:r>
        <w:t>Qualitative Sekundäranalyse von Klinikakten aus zwei US-RCTs (CKD-EDU und DIAL-SDM, 2019–2024) zur Entscheidungsfindung von älteren (≥75 Jahren) mit ESRD bezüglich konservativer Nierenbehandlung ohne Dialyse.</w:t>
      </w:r>
    </w:p>
    <w:p>
      <w:r>
        <w:rPr>
          <w:b/>
        </w:rPr>
        <w:t xml:space="preserve">Ergebnis: </w:t>
      </w:r>
      <w:r>
        <w:t>35 von 118 Patienten (mittl. Alter 82 J.) wählten konservative Behandlung. Gründe: Vermeidung von Dialyse-Belastung zur Qualitätserhaltung, schlechte Gesundheit, Beobachtung von Dialyse-Folgen bei Angehörigen, Schutz vor Übermedikalisierung am Lebensende. Nephrologists hinterfragten häufig zielkonkordante Entscheidungen, initiierten selten Advance-Care-Planning.</w:t>
      </w:r>
    </w:p>
    <w:p>
      <w:r>
        <w:rPr>
          <w:b/>
          <w:sz w:val="19"/>
        </w:rPr>
        <w:t xml:space="preserve">Übertragbarkeit: </w:t>
      </w:r>
      <w:r>
        <w:rPr>
          <w:sz w:val="19"/>
        </w:rPr>
        <w:t>USA, aber Shared Decision Making und Palliativversorgung international relevant</w:t>
      </w:r>
    </w:p>
    <w:p>
      <w:r>
        <w:rPr>
          <w:color w:val="5A7D3A"/>
          <w:sz w:val="18"/>
        </w:rPr>
        <w:t>https://pubmed.ncbi.nlm.nih.gov/42804203/</w:t>
      </w:r>
    </w:p>
    <w:p>
      <w:pPr>
        <w:pStyle w:val="Heading2"/>
      </w:pPr>
      <w:r>
        <w:t>Therapietreue senkt HCC-Inzidenz bei Hepatitis-B-Zirrhose um 23 %</w:t>
      </w:r>
    </w:p>
    <w:p>
      <w:r>
        <w:rPr>
          <w:i/>
          <w:color w:val="666666"/>
          <w:sz w:val="18"/>
        </w:rPr>
        <w:t>Shin YE et al.  ·  J Med Virol  ·  Okt. 2026  ·  PMID 42803662</w:t>
      </w:r>
    </w:p>
    <w:p>
      <w:r>
        <w:t>Kohortenstudie mit südkoreanischen Abrechnungsdaten zur Assoziation zwischen Therapietreue (Medikamentenpossession-Ratio ≥90 %) bei Nukleosid-Analoga-Therapie und Hepatozellulären Karzinom-Risiko bei chronischer Hepatitis B.</w:t>
      </w:r>
    </w:p>
    <w:p>
      <w:r>
        <w:rPr>
          <w:b/>
        </w:rPr>
        <w:t xml:space="preserve">Ergebnis: </w:t>
      </w:r>
      <w:r>
        <w:t>Bei Patienten mit Claims-definierter Zirrhose zeigte hohe Therapietreue eine 34 % niedrigere HCC-Inzidenz als geringe Treue (32,92 vs. 49,59 pro 1000 Personenjahre; IR-Ratio 0,66; 95%-KI 0,57–0,78), in multivariaten Cox-Regressionen bestätigt (HR 0,77; 95%-KI 0,66–0,90).</w:t>
      </w:r>
    </w:p>
    <w:p>
      <w:r>
        <w:rPr>
          <w:b/>
          <w:sz w:val="19"/>
        </w:rPr>
        <w:t xml:space="preserve">Übertragbarkeit: </w:t>
      </w:r>
      <w:r>
        <w:rPr>
          <w:sz w:val="19"/>
        </w:rPr>
        <w:t>Südkorea, nationales Versicherungssystem vergleichbar mit Deutschland</w:t>
      </w:r>
    </w:p>
    <w:p>
      <w:r>
        <w:rPr>
          <w:color w:val="5A7D3A"/>
          <w:sz w:val="18"/>
        </w:rPr>
        <w:t>https://pubmed.ncbi.nlm.nih.gov/42803662/</w:t>
      </w:r>
    </w:p>
    <w:p>
      <w:pPr>
        <w:pStyle w:val="Heading2"/>
      </w:pPr>
      <w:r>
        <w:t>Automatische Peritonealdialyse senkt Restfunktion schneller als CAPD</w:t>
      </w:r>
    </w:p>
    <w:p>
      <w:r>
        <w:rPr>
          <w:i/>
          <w:color w:val="666666"/>
          <w:sz w:val="18"/>
        </w:rPr>
        <w:t>Sun L et al.  ·  Ren Fail  ·  27.09.2026  ·  PMID 42802590</w:t>
      </w:r>
    </w:p>
    <w:p>
      <w:r>
        <w:t>Retrospektive chinesische Kohortenstudie zu Nierenrestfunktion (RKF) bei Peritonealdialyse-Patienten mit Neudiagnose ESKD, vergleichend nach Modalität (APD vs. CAPD).</w:t>
      </w:r>
    </w:p>
    <w:p>
      <w:r>
        <w:rPr>
          <w:b/>
        </w:rPr>
        <w:t xml:space="preserve">Ergebnis: </w:t>
      </w:r>
      <w:r>
        <w:t>Nach 6 Monaten Peritonealdialyse zeigte die APD-Gruppe signifikant niedrigere RKF (1,9±1,6 vs. 3,0±1,7 mL/min/1,73 m²; p=0,043) und schnelleren mittleren RKF-Rückgang (−6,6±2,5 vs. −4,3±2,3 mL/min/1,73 m²/Jahr; p=0,002). In multivariater Regression war APD unabhängig mit beschleunigtem RKF-Rückgang assoziiert (β=0,93; p=0,004).</w:t>
      </w:r>
    </w:p>
    <w:p>
      <w:r>
        <w:rPr>
          <w:b/>
          <w:sz w:val="19"/>
        </w:rPr>
        <w:t xml:space="preserve">Übertragbarkeit: </w:t>
      </w:r>
      <w:r>
        <w:rPr>
          <w:sz w:val="19"/>
        </w:rPr>
        <w:t>China, aber Nierenersatzverfahren und Organschutz universal relevant</w:t>
      </w:r>
    </w:p>
    <w:p>
      <w:r>
        <w:rPr>
          <w:color w:val="5A7D3A"/>
          <w:sz w:val="18"/>
        </w:rPr>
        <w:t>https://pubmed.ncbi.nlm.nih.gov/42802590/</w:t>
      </w:r>
    </w:p>
    <w:p>
      <w:pPr>
        <w:pStyle w:val="Heading2"/>
      </w:pPr>
      <w:r>
        <w:t>Direkt-wirkende Antivirale sind sicher bei Hepatitis-C-Patienten mit Hypertonie</w:t>
      </w:r>
    </w:p>
    <w:p>
      <w:r>
        <w:rPr>
          <w:i/>
          <w:color w:val="666666"/>
          <w:sz w:val="18"/>
        </w:rPr>
        <w:t>Brzdęk M et al.  ·  Viruses  ·  12.07.2026  ·  PMID 42515615</w:t>
      </w:r>
    </w:p>
    <w:p>
      <w:r>
        <w:t>Retrospektive Kohortenstudie von 2015–2023 aus Polen zu Sicherheit und Wirksamkeit direkt-wirkender Antiviraler (DAA) bei HCV-infizierten Patienten mit arterieller Hypertonie.</w:t>
      </w:r>
    </w:p>
    <w:p>
      <w:r>
        <w:rPr>
          <w:b/>
        </w:rPr>
        <w:t xml:space="preserve">Ergebnis: </w:t>
      </w:r>
      <w:r>
        <w:t>Von 18.968 DAA-behandelten HCV-Patienten hatten 5.976 Hypertonie. Anhaltendes virologisches Ansprechen (SVR) war hoch und vergleichbar zwischen Hypertonie- und Nicht-Hypertonie-Gruppe (94,8 % vs. 94,2 % ITT-Analyse, 97,6 % vs. 97,6 % per-Protokoll). Hypertonie war nicht unabhängig mit Therapieversagen assoziiert (OR 0,87; 95%-KI 0,69–1,10).</w:t>
      </w:r>
    </w:p>
    <w:p>
      <w:r>
        <w:rPr>
          <w:b/>
          <w:sz w:val="19"/>
        </w:rPr>
        <w:t xml:space="preserve">Übertragbarkeit: </w:t>
      </w:r>
      <w:r>
        <w:rPr>
          <w:sz w:val="19"/>
        </w:rPr>
        <w:t>Polen, Struktur und Kostenträgermodell europäisch vergleichbar</w:t>
      </w:r>
    </w:p>
    <w:p>
      <w:r>
        <w:rPr>
          <w:color w:val="5A7D3A"/>
          <w:sz w:val="18"/>
        </w:rPr>
        <w:t>https://pubmed.ncbi.nlm.nih.gov/42515615/</w:t>
      </w:r>
    </w:p>
    <w:p>
      <w:pPr>
        <w:pStyle w:val="Heading1"/>
      </w:pPr>
      <w:r>
        <w:t>Aufgenommen am 28.09.2026</w:t>
      </w:r>
    </w:p>
    <w:p>
      <w:pPr>
        <w:pStyle w:val="Heading2"/>
      </w:pPr>
      <w:r>
        <w:t>Strukturierte COPD-Versorgung senkte Sterblichkeit nach akuter Exazerbation um 36 %</w:t>
      </w:r>
    </w:p>
    <w:p>
      <w:r>
        <w:rPr>
          <w:i/>
          <w:color w:val="666666"/>
          <w:sz w:val="18"/>
        </w:rPr>
        <w:t>Flury JS et al.  ·  Swiss Med Wkly  ·  31.08.2026  ·  PMID 42801453</w:t>
      </w:r>
    </w:p>
    <w:p>
      <w:r>
        <w:t>Retrospektive Kohorte von 1.855 Patienten mit akuter COPD-Exazerbation: Wer vor Hospitalisierung langwirkende inhalative Therapie erhielt, hatte deutlich bessere 1-Jahres-Überlebenschancen.</w:t>
      </w:r>
    </w:p>
    <w:p>
      <w:r>
        <w:rPr>
          <w:b/>
        </w:rPr>
        <w:t xml:space="preserve">Ergebnis: </w:t>
      </w:r>
      <w:r>
        <w:t>15,9 % Mortalität ohne Vortherapie vs. 10,1 % mit Vortherapie (adjustierte HR 1,95; 95%-KI 1,48–2,56; p&lt;0,001). Diagnostische und therapeutische Lücken waren erheblich: 50,6 % fehlte GOLD-Spirometrie-Staging, 82,6 % fehlte Risikostratifizierung.</w:t>
      </w:r>
    </w:p>
    <w:p>
      <w:r>
        <w:rPr>
          <w:b/>
          <w:sz w:val="19"/>
        </w:rPr>
        <w:t xml:space="preserve">Übertragbarkeit: </w:t>
      </w:r>
      <w:r>
        <w:rPr>
          <w:sz w:val="19"/>
        </w:rPr>
        <w:t>Schweiz, sekundäres Krankenhaus, vergleichbar mit deutscher Dokumentationspraxis und Strukturen.</w:t>
      </w:r>
    </w:p>
    <w:p>
      <w:r>
        <w:rPr>
          <w:color w:val="5A7D3A"/>
          <w:sz w:val="18"/>
        </w:rPr>
        <w:t>https://pubmed.ncbi.nlm.nih.gov/42801453/</w:t>
      </w:r>
    </w:p>
    <w:p>
      <w:pPr>
        <w:pStyle w:val="Heading2"/>
      </w:pPr>
      <w:r>
        <w:t>Natrium-Bikarbonat verbesserte Lebensqualität nicht bei CKD mit metabolischer Azidose</w:t>
      </w:r>
    </w:p>
    <w:p>
      <w:r>
        <w:rPr>
          <w:i/>
          <w:color w:val="666666"/>
          <w:sz w:val="18"/>
        </w:rPr>
        <w:t>Chan JYM et al.  ·  Qual Life Res  ·  27.09.2026  ·  PMID 42801387</w:t>
      </w:r>
    </w:p>
    <w:p>
      <w:r>
        <w:t>Pragmatische 18-Monats-RCT in Malaysia: 74 Patienten mit CKD Stadium 3–4 und metabolischer Azidose randomisiert zu Natrium-Bikarbonat (Tablette/Lösung) oder Standardbetreuung; Lebensqualität mittels KDQOL-36 und EQ-VAS gemessen.</w:t>
      </w:r>
    </w:p>
    <w:p>
      <w:r>
        <w:rPr>
          <w:b/>
        </w:rPr>
        <w:t xml:space="preserve">Ergebnis: </w:t>
      </w:r>
      <w:r>
        <w:t>Natrium-Bikarbonat erhöhte Serum-Bikarbonat initial, aber nur 1/3 erreichte Zielbereich 22–26 mmol/L. KDQOL-36- und EQ-VAS-Scores verbesserten sich nicht signifikant. CKD-Progression war unabhängig mit niedrigerer Lebensqualität assoziiert. Keine signifikanten Unterschiede in Blutdruck, Körpergewicht oder Hospitalisierungen.</w:t>
      </w:r>
    </w:p>
    <w:p>
      <w:r>
        <w:rPr>
          <w:b/>
          <w:sz w:val="19"/>
        </w:rPr>
        <w:t xml:space="preserve">Übertragbarkeit: </w:t>
      </w:r>
      <w:r>
        <w:rPr>
          <w:sz w:val="19"/>
        </w:rPr>
        <w:t>Malaysia, Primäre Versorgung, zeigt, dass Laborwerte nicht automatisch Patientenbefinden verbessern.</w:t>
      </w:r>
    </w:p>
    <w:p>
      <w:r>
        <w:rPr>
          <w:color w:val="5A7D3A"/>
          <w:sz w:val="18"/>
        </w:rPr>
        <w:t>https://pubmed.ncbi.nlm.nih.gov/42801387/</w:t>
      </w:r>
    </w:p>
    <w:p>
      <w:pPr>
        <w:pStyle w:val="Heading2"/>
      </w:pPr>
      <w:r>
        <w:t>Depression und Angst bei COPD-Patienten: Großflächig unterdiagnostiziert und untertherapiert</w:t>
      </w:r>
    </w:p>
    <w:p>
      <w:r>
        <w:rPr>
          <w:i/>
          <w:color w:val="666666"/>
          <w:sz w:val="18"/>
        </w:rPr>
        <w:t>Valiulis T et al.  ·  Int J Chron Obstruct Pulmon Dis  ·  22.09.2026  ·  PMID 42801175</w:t>
      </w:r>
    </w:p>
    <w:p>
      <w:r>
        <w:t>Landesweite Sekundärdatenanalyse aus Litauen mit 64.246 COPD-Patienten zur Häufigkeit psychiatrischer Komorbiditäten und deren Behandlung.</w:t>
      </w:r>
    </w:p>
    <w:p>
      <w:r>
        <w:rPr>
          <w:b/>
        </w:rPr>
        <w:t xml:space="preserve">Ergebnis: </w:t>
      </w:r>
      <w:r>
        <w:t>18,1 % hatte diagnostizierte psychiatrische Störung (26,8 % Frauen vs. 12,1 % Männer; adjustierte OR 2,40; p&lt;0,001). Angststörungen 15,0 %, depressive Störungen 4,6 %. 61,9 % der betroffenen Patienten erhielten Psychopharmaka, davon 89,9 % Anxiolytika. Hausärzte verschrieben 10,66-fach häufiger Anxiolytika als Psychiater.</w:t>
      </w:r>
    </w:p>
    <w:p>
      <w:r>
        <w:rPr>
          <w:b/>
          <w:sz w:val="19"/>
        </w:rPr>
        <w:t xml:space="preserve">Übertragbarkeit: </w:t>
      </w:r>
      <w:r>
        <w:rPr>
          <w:sz w:val="19"/>
        </w:rPr>
        <w:t>Litauen, Primäre Versorgung, zeigt Versorgungslücke auch in europäischen Gesundheitssystemen.</w:t>
      </w:r>
    </w:p>
    <w:p>
      <w:r>
        <w:rPr>
          <w:color w:val="5A7D3A"/>
          <w:sz w:val="18"/>
        </w:rPr>
        <w:t>https://pubmed.ncbi.nlm.nih.gov/42801175/</w:t>
      </w:r>
    </w:p>
    <w:p>
      <w:pPr>
        <w:pStyle w:val="Heading2"/>
      </w:pPr>
      <w:r>
        <w:t>Multidimensionale COPD-Phänotypen lassen sich clustern, benötigen aber externe Validierung</w:t>
      </w:r>
    </w:p>
    <w:p>
      <w:r>
        <w:rPr>
          <w:i/>
          <w:color w:val="666666"/>
          <w:sz w:val="18"/>
        </w:rPr>
        <w:t>Portacci A et al.  ·  Medicina (Kaunas)  ·  29.08.2026  ·  PMID 42796263</w:t>
      </w:r>
    </w:p>
    <w:p>
      <w:r>
        <w:t>Explorative Querschnittsstudie mit 161 COPD-Patienten: Unüberwachte Clusteranalyse (PAM) auf klinische, funktionelle, radiologische und Labordaten zur Identifikation von Phänotyp-Subgruppen.</w:t>
      </w:r>
    </w:p>
    <w:p>
      <w:r>
        <w:rPr>
          <w:b/>
        </w:rPr>
        <w:t xml:space="preserve">Ergebnis: </w:t>
      </w:r>
      <w:r>
        <w:t>Zwei-Cluster-Lösung hatte höchste Silhouetten-Breite (0,184), aber geringe Trennung. Cluster 1 (n=78): höhere Symptom- und Exazerbationslast, schlechtere Lungenfunktion, stärkere statische Hyperinflation, kürzere 6-Minuten-Gehstrecke, häufiger Emphysem. Bootstrap-Resampling zeigte interne Stabilität, externe Validierung aber erforderlich. Nur LAMA/LABA/ICS-Einsatz unterschied sich signifikant zwischen Clustern.</w:t>
      </w:r>
    </w:p>
    <w:p>
      <w:r>
        <w:rPr>
          <w:b/>
          <w:sz w:val="19"/>
        </w:rPr>
        <w:t xml:space="preserve">Übertragbarkeit: </w:t>
      </w:r>
      <w:r>
        <w:rPr>
          <w:sz w:val="19"/>
        </w:rPr>
        <w:t>Italien, Sekundärversorgung; explorativ, externe Validierung ausstehend.</w:t>
      </w:r>
    </w:p>
    <w:p>
      <w:r>
        <w:rPr>
          <w:color w:val="5A7D3A"/>
          <w:sz w:val="18"/>
        </w:rPr>
        <w:t>https://pubmed.ncbi.nlm.nih.gov/42796263/</w:t>
      </w:r>
    </w:p>
    <w:p>
      <w:pPr>
        <w:pStyle w:val="Heading2"/>
      </w:pPr>
      <w:r>
        <w:t>RDW sagt 1-Jahres-Mortalität bei CKD mit Hypertonie voraus – praktisch anwendbar</w:t>
      </w:r>
    </w:p>
    <w:p>
      <w:r>
        <w:rPr>
          <w:i/>
          <w:color w:val="666666"/>
          <w:sz w:val="18"/>
        </w:rPr>
        <w:t>Li L et al.  ·  BMC Cardiovasc Disord  ·  08.08.2026  ·  PMID 42791552</w:t>
      </w:r>
    </w:p>
    <w:p>
      <w:r>
        <w:t>Retrospektive Kohorte von 6.731 ICU-Patienten mit hypertensiver CKD aus MIMIC-IV: Assoziation von Blutbild-Parametern (RDW, HRR, RPR) mit 1-Jahres-Mortalität mittels Cox-Regression und ROC-Analysen.</w:t>
      </w:r>
    </w:p>
    <w:p>
      <w:r>
        <w:rPr>
          <w:b/>
        </w:rPr>
        <w:t xml:space="preserve">Ergebnis: </w:t>
      </w:r>
      <w:r>
        <w:t>37,2 % (2.505/6.731) starben innerhalb eines Jahres. Erhöhtes RDW assoziiert mit erhöhtem Mortalitätsrisiko (HR 1,19; 95%-KI 1,16–1,21; p&lt;0,001). AUC für RDW 0,668, für HRR 0,600. RDW verbesserte Vorhersageleistung etablierter Risikomodelle; Subgruppen-Interaktionen mit CRRT-Einsatz und CKD-Stadium nachgewiesen.</w:t>
      </w:r>
    </w:p>
    <w:p>
      <w:r>
        <w:rPr>
          <w:b/>
          <w:sz w:val="19"/>
        </w:rPr>
        <w:t xml:space="preserve">Übertragbarkeit: </w:t>
      </w:r>
      <w:r>
        <w:rPr>
          <w:sz w:val="19"/>
        </w:rPr>
        <w:t>MIMIC-IV-Datenbank (USA), aber einfache Laborparameter ohne Kostensperre übertragbar.</w:t>
      </w:r>
    </w:p>
    <w:p>
      <w:r>
        <w:rPr>
          <w:color w:val="5A7D3A"/>
          <w:sz w:val="18"/>
        </w:rPr>
        <w:t>https://pubmed.ncbi.nlm.nih.gov/42791552/</w:t>
      </w:r>
    </w:p>
    <w:p>
      <w:pPr>
        <w:pStyle w:val="Heading2"/>
      </w:pPr>
      <w:r>
        <w:t>Kindliche Traumata verdoppeln Multimorbidität im Alter – Dosis-Wirkungs-Beziehung nachgewiesen</w:t>
      </w:r>
    </w:p>
    <w:p>
      <w:r>
        <w:rPr>
          <w:i/>
          <w:color w:val="666666"/>
          <w:sz w:val="18"/>
        </w:rPr>
        <w:t>Ahmed A et al.  ·  PLoS One  ·  25.09.2026  ·  PMID 42789523</w:t>
      </w:r>
    </w:p>
    <w:p>
      <w:r>
        <w:t>Querschnittsstudie mit 734 Nigeranern ≥60 Jahren: Kumulative adverse Kindheitserlebnisse (ACEs) und deren Assoziation mit Multimorbidität (≥2 chronische Erkrankungen).</w:t>
      </w:r>
    </w:p>
    <w:p>
      <w:r>
        <w:rPr>
          <w:b/>
        </w:rPr>
        <w:t xml:space="preserve">Ergebnis: </w:t>
      </w:r>
      <w:r>
        <w:t>68,4 % berichteten ≥4 ACEs. Multimorbidität bei 38,4 % (≥3 Erkrankungen). Unadjustierte OR für ≥4 ACEs: 67,14 (95%-KI 9,25–487,04). Nach Adjustierung (Alter, Geschlecht, Haushaltsgröße) OR 15,58 (95%-KI 1,33–182,21). Klare Dosis-Wirkungs-Beziehung nachgewiesen.</w:t>
      </w:r>
    </w:p>
    <w:p>
      <w:r>
        <w:rPr>
          <w:b/>
          <w:sz w:val="19"/>
        </w:rPr>
        <w:t xml:space="preserve">Übertragbarkeit: </w:t>
      </w:r>
      <w:r>
        <w:rPr>
          <w:sz w:val="19"/>
        </w:rPr>
        <w:t>Nigeria, aber Lebensverlauf-Mechanismus transkulturell relevant; zeigt Ungleichheit als Untersuchungsgegenstand.</w:t>
      </w:r>
    </w:p>
    <w:p>
      <w:r>
        <w:rPr>
          <w:color w:val="5A7D3A"/>
          <w:sz w:val="18"/>
        </w:rPr>
        <w:t>https://pubmed.ncbi.nlm.nih.gov/42789523/</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2026-10-06T06:00:00Z</dcterms:created>
  <dcterms:modified xsi:type="dcterms:W3CDTF">2026-10-06T06:00:00Z</dcterms:modified>
  <cp:category/>
</cp:coreProperties>
</file>