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07.09.2026  |  6 Studien  |  ncd.m-vf.de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Mehrfacherkrankung reduziert Ansprechen auf Urticaria-Therapie um 50%</w:t>
      </w:r>
    </w:p>
    <w:p>
      <w:r>
        <w:rPr>
          <w:i/>
          <w:color w:val="666666"/>
          <w:sz w:val="18"/>
        </w:rPr>
        <w:t>Lapi F et al.  ·  Eur J Dermatol  ·  01.08.2026  ·  PMID 42702025</w:t>
      </w:r>
    </w:p>
    <w:p>
      <w:r>
        <w:t>Italienische Hausarztdaten von 7018 Patienten mit chronischer spontaner Urtikaria zeigten, welche Faktoren zum Therapieversagen führen.</w:t>
      </w:r>
    </w:p>
    <w:p>
      <w:r>
        <w:rPr>
          <w:b/>
        </w:rPr>
        <w:t xml:space="preserve">Ergebnis: </w:t>
      </w:r>
      <w:r>
        <w:t>50% der Patienten sprachen nicht auf H1-Antihistamine und/oder Steroide an. Risikofaktoren für Therapieversagen: Alter über 55 Jahre, Autoimmunthyreoiditis, Asthma/COPD, Allergien und Immunsuppressiva (HR 1,52). Patienten mit Therapieversagen wurden 52% häufiger an Fachärzte überwiesen.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Primärversorgungsstruktur, großes epidemiologisches Register</w:t>
      </w:r>
    </w:p>
    <w:p>
      <w:r>
        <w:rPr>
          <w:color w:val="5A7D3A"/>
          <w:sz w:val="18"/>
        </w:rPr>
        <w:t>https://pubmed.ncbi.nlm.nih.gov/42702025/</w:t>
      </w:r>
    </w:p>
    <w:p>
      <w:pPr>
        <w:pStyle w:val="Heading2"/>
      </w:pPr>
      <w:r>
        <w:t>Web-gestützte Bewegungsintervention erhöht Aktivität bei COPD um 1410 Schritte pro Tag</w:t>
      </w:r>
    </w:p>
    <w:p>
      <w:r>
        <w:rPr>
          <w:i/>
          <w:color w:val="666666"/>
          <w:sz w:val="18"/>
        </w:rPr>
        <w:t>Bamonti PM et al.  ·  Int J Chron Obstruct Pulmon Dis  ·  01.09.2026  ·  PMID 42701779</w:t>
      </w:r>
    </w:p>
    <w:p>
      <w:r>
        <w:t>Randomisierte US-Studie mit 109 COPD-Patienten testete webgestützte Pedometer-Intervention zur Steigerung von Menge und Intensität physischer Aktivität.</w:t>
      </w:r>
    </w:p>
    <w:p>
      <w:r>
        <w:rPr>
          <w:b/>
        </w:rPr>
        <w:t xml:space="preserve">Ergebnis: </w:t>
      </w:r>
      <w:r>
        <w:t>Interventionsgruppe erhöhte durchschnittliche tägliche Schritte um 1410 mehr als Kontrolle (p=0,005). Übergänge von unteraktiv zu aktiv: 41% in der Interventionsgruppe (p=0,001 within-group). Einhaltung war über 12 Wochen gut, mit positiven Bewertungen für Vertrauen und Vergnügen.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Sicherheitsaspekte und Effektivität übertragbar, aber Umsetzung in Deutschland anders</w:t>
      </w:r>
    </w:p>
    <w:p>
      <w:r>
        <w:rPr>
          <w:color w:val="5A7D3A"/>
          <w:sz w:val="18"/>
        </w:rPr>
        <w:t>https://pubmed.ncbi.nlm.nih.gov/42701779/</w:t>
      </w:r>
    </w:p>
    <w:p>
      <w:pPr>
        <w:pStyle w:val="Heading2"/>
      </w:pPr>
      <w:r>
        <w:t>Zentrale Adipositas verdoppelt Mortalitätsrisiko bei chronischer Nierenerkrankung</w:t>
      </w:r>
    </w:p>
    <w:p>
      <w:r>
        <w:rPr>
          <w:i/>
          <w:color w:val="666666"/>
          <w:sz w:val="18"/>
        </w:rPr>
        <w:t>Zhou H et al.  ·  Medicine (Baltimore)  ·  04.09.2026  ·  PMID 42700084</w:t>
      </w:r>
    </w:p>
    <w:p>
      <w:r>
        <w:t>US-NHANES-Kohortenstudie mit 5582 CKD-Patienten (1999-2018) untersuchte, ob das weight-adjusted waist index (WWI) mit Gesamt- und kardiovaskulärer Mortalität assoziiert ist.</w:t>
      </w:r>
    </w:p>
    <w:p>
      <w:r>
        <w:rPr>
          <w:b/>
        </w:rPr>
        <w:t xml:space="preserve">Ergebnis: </w:t>
      </w:r>
      <w:r>
        <w:t>Erhöhtes WWI assoziiert mit höherem Gesamtmortalitätsrisiko (aHR 1,17, 95% CI 1,09-1,26, p&lt;0,001) und kardiovaskulärem Mortalitätsrisiko (aHR 1,24, 95% CI 1,09-1,41, p=0,001). Lineare positive Beziehung zu beiden Outcomes. Neutrophilen-Lymphozyten-Verhältnis vermittelte 6,66% des Effekts auf Gesamtmortalität.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zentrale Adipositas als Risikofaktor in allen Systemen relevant</w:t>
      </w:r>
    </w:p>
    <w:p>
      <w:r>
        <w:rPr>
          <w:color w:val="5A7D3A"/>
          <w:sz w:val="18"/>
        </w:rPr>
        <w:t>https://pubmed.ncbi.nlm.nih.gov/42700084/</w:t>
      </w:r>
    </w:p>
    <w:p>
      <w:pPr>
        <w:pStyle w:val="Heading2"/>
      </w:pPr>
      <w:r>
        <w:t>Minimalausstattungs-Zirkeltraining erreicht 72% trainings-wirksamer Intensität bei Atemwegserkrankungen</w:t>
      </w:r>
    </w:p>
    <w:p>
      <w:r>
        <w:rPr>
          <w:i/>
          <w:color w:val="666666"/>
          <w:sz w:val="18"/>
        </w:rPr>
        <w:t>Mellerick CR et al.  ·  Chron Respir Dis  ·  04.09.2026  ·  PMID 42696318</w:t>
      </w:r>
    </w:p>
    <w:p>
      <w:r>
        <w:t>Australische Studie mit 18 Patienten mit chronischen Atemwegserkrankungen evaluierte, ob Zirkeltraining ohne großes Equipment erforderliche Trainingsintensität (≥60% VO2peak) erreicht.</w:t>
      </w:r>
    </w:p>
    <w:p>
      <w:r>
        <w:rPr>
          <w:b/>
        </w:rPr>
        <w:t xml:space="preserve">Ergebnis: </w:t>
      </w:r>
      <w:r>
        <w:t>Durchschnittlich 72% (21%) der Sitzung erreichte ≥60% VO2peak; 40 [32-47] Minuten über diesem Schwellwert. 83% (15/18) erreichten Zielintensität für ≥30 Minuten. Teilnehmer berichteten hohe Bewertungen für Vertrauen, Komfort und Vergnügen.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Rehabilitationsstruktur, aber Übertragbarkeit auf DMP-System zu prüfen</w:t>
      </w:r>
    </w:p>
    <w:p>
      <w:r>
        <w:rPr>
          <w:color w:val="5A7D3A"/>
          <w:sz w:val="18"/>
        </w:rPr>
        <w:t>https://pubmed.ncbi.nlm.nih.gov/42696318/</w:t>
      </w:r>
    </w:p>
    <w:p>
      <w:pPr>
        <w:pStyle w:val="Heading2"/>
      </w:pPr>
      <w:r>
        <w:t>Soziale Isolation erhöht Sedentarität bei schwerem COPD um 1,5 Stunden täglich</w:t>
      </w:r>
    </w:p>
    <w:p>
      <w:r>
        <w:rPr>
          <w:i/>
          <w:color w:val="666666"/>
          <w:sz w:val="18"/>
        </w:rPr>
        <w:t>Harding S et al.  ·  COPD  ·  02.08.2026  ·  PMID 42695939</w:t>
      </w:r>
    </w:p>
    <w:p>
      <w:r>
        <w:t>UK-Biobank-Studie mit 1558 COPD-Patienten untersuchte, wie Deprivation und Isolation mit Bewegungsmangel assoziiert sind.</w:t>
      </w:r>
    </w:p>
    <w:p>
      <w:r>
        <w:rPr>
          <w:b/>
        </w:rPr>
        <w:t xml:space="preserve">Ergebnis: </w:t>
      </w:r>
      <w:r>
        <w:t>Sedentarität stieg mit Schweregrad (GOLD 4 vs. GOLD 1: +19% pro Tag). Soziale Isolation führte zu zusätzlich 1,5 h Sedentarität täglich in schwererem COPD (GOLD 3-4, p=0,004). Deprivation wirkte stärker bei milder 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Versicherungssystem und epidemiologische Datenqualität</w:t>
      </w:r>
    </w:p>
    <w:p>
      <w:r>
        <w:rPr>
          <w:color w:val="5A7D3A"/>
          <w:sz w:val="18"/>
        </w:rPr>
        <w:t>https://pubmed.ncbi.nlm.nih.gov/42695939/</w:t>
      </w:r>
    </w:p>
    <w:p>
      <w:pPr>
        <w:pStyle w:val="Heading2"/>
      </w:pPr>
      <w:r>
        <w:t>Chronische Nierenschädigung bei 42% der Kinder nach Ifosfamid-Chemotherapie</w:t>
      </w:r>
    </w:p>
    <w:p>
      <w:r>
        <w:rPr>
          <w:i/>
          <w:color w:val="666666"/>
          <w:sz w:val="18"/>
        </w:rPr>
        <w:t>Pitlo L et al.  ·  Cancer Med  ·  Sept. 2026  ·  PMID 42670233</w:t>
      </w:r>
    </w:p>
    <w:p>
      <w:r>
        <w:t>Niederländische Kohorte von 292 Kindern untersuchte Häufigkeit und Determinanten chronischer Nierenerkrankung in den ersten 5 Jahren nach Ifosfamid-Chemotherapie.</w:t>
      </w:r>
    </w:p>
    <w:p>
      <w:r>
        <w:rPr>
          <w:b/>
        </w:rPr>
        <w:t xml:space="preserve">Ergebnis: </w:t>
      </w:r>
      <w:r>
        <w:t>Prävalenz chronischer Nierenschädigung: 42,1% (123/292 Patienten); 29 Patienten mit Risiko für Nierenversagen (eGFR &lt;60). Risikofaktoren: Ifosfamid-Dosis 30-59,9 g/m² (HR 1,95) oder &gt;60 g/m² (HR 4,09), Alter bei Diagnose (HR 1,12 pro Jahr), ≥2 akute Nierenversagen während Therapie (HR 3,81).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Gesundheitssystem und Dokumentationsstandards</w:t>
      </w:r>
    </w:p>
    <w:p>
      <w:r>
        <w:rPr>
          <w:color w:val="5A7D3A"/>
          <w:sz w:val="18"/>
        </w:rPr>
        <w:t>https://pubmed.ncbi.nlm.nih.gov/42670233/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