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Nicht uebertragbare Krankheiten</w:t>
      </w:r>
    </w:p>
    <w:p>
      <w:r>
        <w:rPr>
          <w:i/>
          <w:color w:val="666666"/>
          <w:sz w:val="18"/>
        </w:rPr>
        <w:t>Stand: 07.09.2026  |  92 Studien  |  ncd.m-vf.de</w:t>
      </w:r>
    </w:p>
    <w:p>
      <w:pPr>
        <w:pStyle w:val="Heading1"/>
      </w:pPr>
      <w:r>
        <w:t>Aufgenommen am 07.09.2026</w:t>
      </w:r>
    </w:p>
    <w:p>
      <w:pPr>
        <w:pStyle w:val="Heading2"/>
      </w:pPr>
      <w:r>
        <w:t>Mehrfacherkrankung reduziert Ansprechen auf Urticaria-Therapie um 50%</w:t>
      </w:r>
    </w:p>
    <w:p>
      <w:r>
        <w:rPr>
          <w:i/>
          <w:color w:val="666666"/>
          <w:sz w:val="18"/>
        </w:rPr>
        <w:t>Lapi F et al.  ·  Eur J Dermatol  ·  01.08.2026  ·  PMID 42702025</w:t>
      </w:r>
    </w:p>
    <w:p>
      <w:r>
        <w:t>Italienische Hausarztdaten von 7018 Patienten mit chronischer spontaner Urtikaria zeigten, welche Faktoren zum Therapieversagen führen.</w:t>
      </w:r>
    </w:p>
    <w:p>
      <w:r>
        <w:rPr>
          <w:b/>
        </w:rPr>
        <w:t xml:space="preserve">Ergebnis: </w:t>
      </w:r>
      <w:r>
        <w:t>50% der Patienten sprachen nicht auf H1-Antihistamine und/oder Steroide an. Risikofaktoren für Therapieversagen: Alter über 55 Jahre, Autoimmunthyreoiditis, Asthma/COPD, Allergien und Immunsuppressiva (HR 1,52). Patienten mit Therapieversagen wurden 52% häufiger an Fachärzte überwiesen.</w:t>
      </w:r>
    </w:p>
    <w:p>
      <w:r>
        <w:rPr>
          <w:b/>
          <w:sz w:val="19"/>
        </w:rPr>
        <w:t xml:space="preserve">Übertragbarkeit: </w:t>
      </w:r>
      <w:r>
        <w:rPr>
          <w:sz w:val="19"/>
        </w:rPr>
        <w:t>Italien, vergleichbare Primärversorgungsstruktur, großes epidemiologisches Register</w:t>
      </w:r>
    </w:p>
    <w:p>
      <w:r>
        <w:rPr>
          <w:color w:val="5A7D3A"/>
          <w:sz w:val="18"/>
        </w:rPr>
        <w:t>https://pubmed.ncbi.nlm.nih.gov/42702025/</w:t>
      </w:r>
    </w:p>
    <w:p>
      <w:pPr>
        <w:pStyle w:val="Heading2"/>
      </w:pPr>
      <w:r>
        <w:t>Web-gestützte Bewegungsintervention erhöht Aktivität bei COPD um 1410 Schritte pro Tag</w:t>
      </w:r>
    </w:p>
    <w:p>
      <w:r>
        <w:rPr>
          <w:i/>
          <w:color w:val="666666"/>
          <w:sz w:val="18"/>
        </w:rPr>
        <w:t>Bamonti PM et al.  ·  Int J Chron Obstruct Pulmon Dis  ·  01.09.2026  ·  PMID 42701779</w:t>
      </w:r>
    </w:p>
    <w:p>
      <w:r>
        <w:t>Randomisierte US-Studie mit 109 COPD-Patienten testete webgestützte Pedometer-Intervention zur Steigerung von Menge und Intensität physischer Aktivität.</w:t>
      </w:r>
    </w:p>
    <w:p>
      <w:r>
        <w:rPr>
          <w:b/>
        </w:rPr>
        <w:t xml:space="preserve">Ergebnis: </w:t>
      </w:r>
      <w:r>
        <w:t>Interventionsgruppe erhöhte durchschnittliche tägliche Schritte um 1410 mehr als Kontrolle (p=0,005). Übergänge von unteraktiv zu aktiv: 41% in der Interventionsgruppe (p=0,001 within-group). Einhaltung war über 12 Wochen gut, mit positiven Bewertungen für Vertrauen und Vergnügen.</w:t>
      </w:r>
    </w:p>
    <w:p>
      <w:r>
        <w:rPr>
          <w:b/>
          <w:sz w:val="19"/>
        </w:rPr>
        <w:t xml:space="preserve">Übertragbarkeit: </w:t>
      </w:r>
      <w:r>
        <w:rPr>
          <w:sz w:val="19"/>
        </w:rPr>
        <w:t>USA, Sicherheitsaspekte und Effektivität übertragbar, aber Umsetzung in Deutschland anders</w:t>
      </w:r>
    </w:p>
    <w:p>
      <w:r>
        <w:rPr>
          <w:color w:val="5A7D3A"/>
          <w:sz w:val="18"/>
        </w:rPr>
        <w:t>https://pubmed.ncbi.nlm.nih.gov/42701779/</w:t>
      </w:r>
    </w:p>
    <w:p>
      <w:pPr>
        <w:pStyle w:val="Heading2"/>
      </w:pPr>
      <w:r>
        <w:t>Zentrale Adipositas verdoppelt Mortalitätsrisiko bei chronischer Nierenerkrankung</w:t>
      </w:r>
    </w:p>
    <w:p>
      <w:r>
        <w:rPr>
          <w:i/>
          <w:color w:val="666666"/>
          <w:sz w:val="18"/>
        </w:rPr>
        <w:t>Zhou H et al.  ·  Medicine (Baltimore)  ·  04.09.2026  ·  PMID 42700084</w:t>
      </w:r>
    </w:p>
    <w:p>
      <w:r>
        <w:t>US-NHANES-Kohortenstudie mit 5582 CKD-Patienten (1999-2018) untersuchte, ob das weight-adjusted waist index (WWI) mit Gesamt- und kardiovaskulärer Mortalität assoziiert ist.</w:t>
      </w:r>
    </w:p>
    <w:p>
      <w:r>
        <w:rPr>
          <w:b/>
        </w:rPr>
        <w:t xml:space="preserve">Ergebnis: </w:t>
      </w:r>
      <w:r>
        <w:t>Erhöhtes WWI assoziiert mit höherem Gesamtmortalitätsrisiko (aHR 1,17, 95% CI 1,09-1,26, p&lt;0,001) und kardiovaskulärem Mortalitätsrisiko (aHR 1,24, 95% CI 1,09-1,41, p=0,001). Lineare positive Beziehung zu beiden Outcomes. Neutrophilen-Lymphozyten-Verhältnis vermittelte 6,66% des Effekts auf Gesamtmortalität.</w:t>
      </w:r>
    </w:p>
    <w:p>
      <w:r>
        <w:rPr>
          <w:b/>
          <w:sz w:val="19"/>
        </w:rPr>
        <w:t xml:space="preserve">Übertragbarkeit: </w:t>
      </w:r>
      <w:r>
        <w:rPr>
          <w:sz w:val="19"/>
        </w:rPr>
        <w:t>USA-Daten, aber zentrale Adipositas als Risikofaktor in allen Systemen relevant</w:t>
      </w:r>
    </w:p>
    <w:p>
      <w:r>
        <w:rPr>
          <w:color w:val="5A7D3A"/>
          <w:sz w:val="18"/>
        </w:rPr>
        <w:t>https://pubmed.ncbi.nlm.nih.gov/42700084/</w:t>
      </w:r>
    </w:p>
    <w:p>
      <w:pPr>
        <w:pStyle w:val="Heading2"/>
      </w:pPr>
      <w:r>
        <w:t>Minimalausstattungs-Zirkeltraining erreicht 72% trainings-wirksamer Intensität bei Atemwegserkrankungen</w:t>
      </w:r>
    </w:p>
    <w:p>
      <w:r>
        <w:rPr>
          <w:i/>
          <w:color w:val="666666"/>
          <w:sz w:val="18"/>
        </w:rPr>
        <w:t>Mellerick CR et al.  ·  Chron Respir Dis  ·  04.09.2026  ·  PMID 42696318</w:t>
      </w:r>
    </w:p>
    <w:p>
      <w:r>
        <w:t>Australische Studie mit 18 Patienten mit chronischen Atemwegserkrankungen evaluierte, ob Zirkeltraining ohne großes Equipment erforderliche Trainingsintensität (≥60% VO2peak) erreicht.</w:t>
      </w:r>
    </w:p>
    <w:p>
      <w:r>
        <w:rPr>
          <w:b/>
        </w:rPr>
        <w:t xml:space="preserve">Ergebnis: </w:t>
      </w:r>
      <w:r>
        <w:t>Durchschnittlich 72% (21%) der Sitzung erreichte ≥60% VO2peak; 40 [32-47] Minuten über diesem Schwellwert. 83% (15/18) erreichten Zielintensität für ≥30 Minuten. Teilnehmer berichteten hohe Bewertungen für Vertrauen, Komfort und Vergnügen.</w:t>
      </w:r>
    </w:p>
    <w:p>
      <w:r>
        <w:rPr>
          <w:b/>
          <w:sz w:val="19"/>
        </w:rPr>
        <w:t xml:space="preserve">Übertragbarkeit: </w:t>
      </w:r>
      <w:r>
        <w:rPr>
          <w:sz w:val="19"/>
        </w:rPr>
        <w:t>Australien, vergleichbare Rehabilitationsstruktur, aber Übertragbarkeit auf DMP-System zu prüfen</w:t>
      </w:r>
    </w:p>
    <w:p>
      <w:r>
        <w:rPr>
          <w:color w:val="5A7D3A"/>
          <w:sz w:val="18"/>
        </w:rPr>
        <w:t>https://pubmed.ncbi.nlm.nih.gov/42696318/</w:t>
      </w:r>
    </w:p>
    <w:p>
      <w:pPr>
        <w:pStyle w:val="Heading2"/>
      </w:pPr>
      <w:r>
        <w:t>Soziale Isolation erhöht Sedentarität bei schwerem COPD um 1,5 Stunden täglich</w:t>
      </w:r>
    </w:p>
    <w:p>
      <w:r>
        <w:rPr>
          <w:i/>
          <w:color w:val="666666"/>
          <w:sz w:val="18"/>
        </w:rPr>
        <w:t>Harding S et al.  ·  COPD  ·  02.08.2026  ·  PMID 42695939</w:t>
      </w:r>
    </w:p>
    <w:p>
      <w:r>
        <w:t>UK-Biobank-Studie mit 1558 COPD-Patienten untersuchte, wie Deprivation und Isolation mit Bewegungsmangel assoziiert sind.</w:t>
      </w:r>
    </w:p>
    <w:p>
      <w:r>
        <w:rPr>
          <w:b/>
        </w:rPr>
        <w:t xml:space="preserve">Ergebnis: </w:t>
      </w:r>
      <w:r>
        <w:t>Sedentarität stieg mit Schweregrad (GOLD 4 vs. GOLD 1: +19% pro Tag). Soziale Isolation führte zu zusätzlich 1,5 h Sedentarität täglich in schwererem COPD (GOLD 3-4, p=0,004). Deprivation wirkte stärker bei milder Erkrankung.</w:t>
      </w:r>
    </w:p>
    <w:p>
      <w:r>
        <w:rPr>
          <w:b/>
          <w:sz w:val="19"/>
        </w:rPr>
        <w:t xml:space="preserve">Übertragbarkeit: </w:t>
      </w:r>
      <w:r>
        <w:rPr>
          <w:sz w:val="19"/>
        </w:rPr>
        <w:t>Großbritannien, vergleichbares Versicherungssystem und epidemiologische Datenqualität</w:t>
      </w:r>
    </w:p>
    <w:p>
      <w:r>
        <w:rPr>
          <w:color w:val="5A7D3A"/>
          <w:sz w:val="18"/>
        </w:rPr>
        <w:t>https://pubmed.ncbi.nlm.nih.gov/42695939/</w:t>
      </w:r>
    </w:p>
    <w:p>
      <w:pPr>
        <w:pStyle w:val="Heading2"/>
      </w:pPr>
      <w:r>
        <w:t>Chronische Nierenschädigung bei 42% der Kinder nach Ifosfamid-Chemotherapie</w:t>
      </w:r>
    </w:p>
    <w:p>
      <w:r>
        <w:rPr>
          <w:i/>
          <w:color w:val="666666"/>
          <w:sz w:val="18"/>
        </w:rPr>
        <w:t>Pitlo L et al.  ·  Cancer Med  ·  Sept. 2026  ·  PMID 42670233</w:t>
      </w:r>
    </w:p>
    <w:p>
      <w:r>
        <w:t>Niederländische Kohorte von 292 Kindern untersuchte Häufigkeit und Determinanten chronischer Nierenerkrankung in den ersten 5 Jahren nach Ifosfamid-Chemotherapie.</w:t>
      </w:r>
    </w:p>
    <w:p>
      <w:r>
        <w:rPr>
          <w:b/>
        </w:rPr>
        <w:t xml:space="preserve">Ergebnis: </w:t>
      </w:r>
      <w:r>
        <w:t>Prävalenz chronischer Nierenschädigung: 42,1% (123/292 Patienten); 29 Patienten mit Risiko für Nierenversagen (eGFR &lt;60). Risikofaktoren: Ifosfamid-Dosis 30-59,9 g/m² (HR 1,95) oder &gt;60 g/m² (HR 4,09), Alter bei Diagnose (HR 1,12 pro Jahr), ≥2 akute Nierenversagen während Therapie (HR 3,81).</w:t>
      </w:r>
    </w:p>
    <w:p>
      <w:r>
        <w:rPr>
          <w:b/>
          <w:sz w:val="19"/>
        </w:rPr>
        <w:t xml:space="preserve">Übertragbarkeit: </w:t>
      </w:r>
      <w:r>
        <w:rPr>
          <w:sz w:val="19"/>
        </w:rPr>
        <w:t>Niederlande, vergleichbares Gesundheitssystem und Dokumentationsstandards</w:t>
      </w:r>
    </w:p>
    <w:p>
      <w:r>
        <w:rPr>
          <w:color w:val="5A7D3A"/>
          <w:sz w:val="18"/>
        </w:rPr>
        <w:t>https://pubmed.ncbi.nlm.nih.gov/42670233/</w:t>
      </w:r>
    </w:p>
    <w:p>
      <w:pPr>
        <w:pStyle w:val="Heading1"/>
      </w:pPr>
      <w:r>
        <w:t>Aufgenommen am 06.09.2026</w:t>
      </w:r>
    </w:p>
    <w:p>
      <w:pPr>
        <w:pStyle w:val="Heading2"/>
      </w:pPr>
      <w:r>
        <w:t>Probiotikum Lactobacillus plantarum stabilisiert Nierenfunktion bei CKD Stadium 3-4</w:t>
      </w:r>
    </w:p>
    <w:p>
      <w:r>
        <w:rPr>
          <w:i/>
          <w:color w:val="666666"/>
          <w:sz w:val="18"/>
        </w:rPr>
        <w:t>Saleh SE et al.  ·  Sci Rep  ·  04.09.2026  ·  PMID 42697907</w:t>
      </w:r>
    </w:p>
    <w:p>
      <w:r>
        <w:t>Doppelblinde, randomisierte, placebokontrollierte Studie an 72 Patienten mit CKD Stadium 3-4 (keine Hämodialyse) über 6 Monate: Lactobacillus plantarum 10¹⁰ CFU täglich versus Placebo, primärer Endpunkt Änderung der eGFR.</w:t>
      </w:r>
    </w:p>
    <w:p>
      <w:r>
        <w:rPr>
          <w:b/>
        </w:rPr>
        <w:t xml:space="preserve">Ergebnis: </w:t>
      </w:r>
      <w:r>
        <w:t>Probiotika-Gruppe zeigte signifikanten eGFR-Anstieg, Placebo-Gruppe Rückgang; 0 Probiotika-Patienten versus 8,6% Placebo zeigten CKD-Progression. Effekt war unabhängig von Diabetesstatus und CKD-Stadium. Kein signifikanter Unterschied in Indoxyl-Sulfat-Spiegeln zwischen den Gruppen.</w:t>
      </w:r>
    </w:p>
    <w:p>
      <w:r>
        <w:rPr>
          <w:b/>
          <w:sz w:val="19"/>
        </w:rPr>
        <w:t xml:space="preserve">Übertragbarkeit: </w:t>
      </w:r>
      <w:r>
        <w:rPr>
          <w:sz w:val="19"/>
        </w:rPr>
        <w:t>Ägyptisches Zentrum, Mechanismus unabhängig von Region, weitere Validierung nötig</w:t>
      </w:r>
    </w:p>
    <w:p>
      <w:r>
        <w:rPr>
          <w:color w:val="5A7D3A"/>
          <w:sz w:val="18"/>
        </w:rPr>
        <w:t>https://pubmed.ncbi.nlm.nih.gov/42697907/</w:t>
      </w:r>
    </w:p>
    <w:p>
      <w:pPr>
        <w:pStyle w:val="Heading2"/>
      </w:pPr>
      <w:r>
        <w:t>Antikoagulation bei Vorhofflimmern mit CKD Stadium 4-5: Apixaban senkt Schlaganfälle</w:t>
      </w:r>
    </w:p>
    <w:p>
      <w:r>
        <w:rPr>
          <w:i/>
          <w:color w:val="666666"/>
          <w:sz w:val="18"/>
        </w:rPr>
        <w:t>Chen Q et al.  ·  JAMA Netw Open  ·  01.09.2026  ·  PMID 42696280</w:t>
      </w:r>
    </w:p>
    <w:p>
      <w:r>
        <w:t>Retrospektive Kohortenstudie mit Zieltriallemulation an 42.052 Medicare- und Optum-Versicherten mit Vorhofflimmern und CKD Stadium 4-5 ohne Dialyse (Jan 2013–Feb 2025), Vergleich von Apixaban, Warfarin und Keine Antikoagulation.</w:t>
      </w:r>
    </w:p>
    <w:p>
      <w:r>
        <w:rPr>
          <w:b/>
        </w:rPr>
        <w:t xml:space="preserve">Ergebnis: </w:t>
      </w:r>
      <w:r>
        <w:t>Apixaban reduzierte Schlaganfallrate im Vergleich zu Kein-Antikoagulation (HR 0,46; 95%-KI 0,32–0,66), erhöhte aber Blutungsrate (HR 1,32; 95%-KI 1,11–1,58). Warfarin hatte höhere Blutungs- und Kompositrisiken. Apixaban versus Warfarin: HR 0,55 für schwere Blutungen (KI 0,46–0,65), HR 0,50 für Schlaganfall (KI 0,33–0,78).</w:t>
      </w:r>
    </w:p>
    <w:p>
      <w:r>
        <w:rPr>
          <w:b/>
          <w:sz w:val="19"/>
        </w:rPr>
        <w:t xml:space="preserve">Übertragbarkeit: </w:t>
      </w:r>
      <w:r>
        <w:rPr>
          <w:sz w:val="19"/>
        </w:rPr>
        <w:t>USA-Versichertendaten, Wirkmechanismus unabhängig von Gesundheitssystem übertragbar</w:t>
      </w:r>
    </w:p>
    <w:p>
      <w:r>
        <w:rPr>
          <w:color w:val="5A7D3A"/>
          <w:sz w:val="18"/>
        </w:rPr>
        <w:t>https://pubmed.ncbi.nlm.nih.gov/42696280/</w:t>
      </w:r>
    </w:p>
    <w:p>
      <w:pPr>
        <w:pStyle w:val="Heading2"/>
      </w:pPr>
      <w:r>
        <w:t>Nierenfunktion und Urämietoxine korrelieren mit kognitiven Defiziten bei CKD</w:t>
      </w:r>
    </w:p>
    <w:p>
      <w:r>
        <w:rPr>
          <w:i/>
          <w:color w:val="666666"/>
          <w:sz w:val="18"/>
        </w:rPr>
        <w:t>Cheng TW et al.  ·  Int J Med Sci  ·  30.07.2026  ·  PMID 42694884</w:t>
      </w:r>
    </w:p>
    <w:p>
      <w:r>
        <w:t>Pilot-Beobachtungsstudie an 12 Patienten mit CKD Stadium 3-5 und früher kognitiver Einschränkung: Messung von Serumindoxyl-Sulfat, Serum-p-Kresyl-Sulfat, Brain-MRI und kognitiver Funktion per CANTAB.</w:t>
      </w:r>
    </w:p>
    <w:p>
      <w:r>
        <w:rPr>
          <w:b/>
        </w:rPr>
        <w:t xml:space="preserve">Ergebnis: </w:t>
      </w:r>
      <w:r>
        <w:t>Höhere eGFR korrelierte mit besserer räumlicher Arbeitsgedächtnisleistung (r = 0,695, p = 0,012). Indoxyl-Sulfat und p-Kresyl-Sulfat zeigten inverse Korrelation mit eGFR (r = -0,301 bis -0,461), aber keine klare Assoziation mit kognitiven Testergebnissen. MRI-Läsionenlast war gering, strukturelle Abnormitäten aber vorhanden.</w:t>
      </w:r>
    </w:p>
    <w:p>
      <w:r>
        <w:rPr>
          <w:b/>
          <w:sz w:val="19"/>
        </w:rPr>
        <w:t xml:space="preserve">Übertragbarkeit: </w:t>
      </w:r>
      <w:r>
        <w:rPr>
          <w:sz w:val="19"/>
        </w:rPr>
        <w:t>Taiwan, kleine Pilotstichprobe, Konzept der Mehrfacherkrankung mit kognitiven Folgen zentral</w:t>
      </w:r>
    </w:p>
    <w:p>
      <w:r>
        <w:rPr>
          <w:color w:val="5A7D3A"/>
          <w:sz w:val="18"/>
        </w:rPr>
        <w:t>https://pubmed.ncbi.nlm.nih.gov/42694884/</w:t>
      </w:r>
    </w:p>
    <w:p>
      <w:pPr>
        <w:pStyle w:val="Heading2"/>
      </w:pPr>
      <w:r>
        <w:t>Behandlungslast verschlechtert Gesundheit bei Mehrfacherkrankung: Stressanpassung hilft</w:t>
      </w:r>
    </w:p>
    <w:p>
      <w:r>
        <w:rPr>
          <w:i/>
          <w:color w:val="666666"/>
          <w:sz w:val="18"/>
        </w:rPr>
        <w:t>Shi Y et al.  ·  Front Public Health  ·  20.08.2026  ·  PMID 42694161</w:t>
      </w:r>
    </w:p>
    <w:p>
      <w:r>
        <w:t>Querschnittsuntersuchung mit Mediationsanalyse an 507 älteren Patienten mit komplexer Mehrfacherkrankung in Zhejiang, China; Beziehung zwischen Behandlungslast und ganzheitlichem Gesundheitsstatus.</w:t>
      </w:r>
    </w:p>
    <w:p>
      <w:r>
        <w:rPr>
          <w:b/>
        </w:rPr>
        <w:t xml:space="preserve">Ergebnis: </w:t>
      </w:r>
      <w:r>
        <w:t>Behandlungslast hatte direkten negativen Effekt auf Gesundheitsstatus (B = -0,263; 95%-KI -0,357 bis -0,168), Gesamteffekt -0,449 (KI -0,538 bis -0,360). Depressive Symptome und Stressanpassungskapazität mediierten diesen Effekt partiell (jeweils ca. 10% indirekte Effekte).</w:t>
      </w:r>
    </w:p>
    <w:p>
      <w:r>
        <w:rPr>
          <w:b/>
          <w:sz w:val="19"/>
        </w:rPr>
        <w:t xml:space="preserve">Übertragbarkeit: </w:t>
      </w:r>
      <w:r>
        <w:rPr>
          <w:sz w:val="19"/>
        </w:rPr>
        <w:t>China, aber Konzept der Behandlungslast international anerkannt, Intervention skalierbar</w:t>
      </w:r>
    </w:p>
    <w:p>
      <w:r>
        <w:rPr>
          <w:color w:val="5A7D3A"/>
          <w:sz w:val="18"/>
        </w:rPr>
        <w:t>https://pubmed.ncbi.nlm.nih.gov/42694161/</w:t>
      </w:r>
    </w:p>
    <w:p>
      <w:pPr>
        <w:pStyle w:val="Heading2"/>
      </w:pPr>
      <w:r>
        <w:t>Nephrologen unterschätzen Symptombelastung bei CKD – Patientensicht zählt</w:t>
      </w:r>
    </w:p>
    <w:p>
      <w:r>
        <w:rPr>
          <w:i/>
          <w:color w:val="666666"/>
          <w:sz w:val="18"/>
        </w:rPr>
        <w:t>Jessen B et al.  ·  Inn Med (Heidelb)  ·  22.07.2026  ·  PMID 42484874</w:t>
      </w:r>
    </w:p>
    <w:p>
      <w:r>
        <w:t>Deutschlandweite Online-Befragung: 108 Nephrologen bewerteten durchschnittliche Symptombelastung bei CKD (Chronic Kidney Disease Symptom Burden Index, CKD-SBI), Vergleich mit Selbstangaben von 222 CKD-Patienten ohne Dialysepflicht.</w:t>
      </w:r>
    </w:p>
    <w:p>
      <w:r>
        <w:rPr>
          <w:b/>
        </w:rPr>
        <w:t xml:space="preserve">Ergebnis: </w:t>
      </w:r>
      <w:r>
        <w:t>Nephrologen nannten Fatigue (69,4%), Ödeme (38,9%), Hypertonie (35,2%) als häufigste; Patienten nannten Nykturie (74,3%), Fatigue (61,3%), Schlafstörungen (47,3%). Nephrologen überschätzten Gesamtbelastung und fünf Einzelsymptome signifikant, unterschätzten Belastung von 12 Symptomen.</w:t>
      </w:r>
    </w:p>
    <w:p>
      <w:r>
        <w:rPr>
          <w:b/>
          <w:sz w:val="19"/>
        </w:rPr>
        <w:t xml:space="preserve">Übertragbarkeit: </w:t>
      </w:r>
      <w:r>
        <w:rPr>
          <w:sz w:val="19"/>
        </w:rPr>
        <w:t>Deutschland, deutschsprachig, direkte Übertragbarkeit auf Praxis und Kliniken</w:t>
      </w:r>
    </w:p>
    <w:p>
      <w:r>
        <w:rPr>
          <w:color w:val="5A7D3A"/>
          <w:sz w:val="18"/>
        </w:rPr>
        <w:t>https://pubmed.ncbi.nlm.nih.gov/42484874/</w:t>
      </w:r>
    </w:p>
    <w:p>
      <w:pPr>
        <w:pStyle w:val="Heading2"/>
      </w:pPr>
      <w:r>
        <w:t>Wrist-Wearable Sensors erkennen COPD-Risiko früh durch digitale Gangmuster</w:t>
      </w:r>
    </w:p>
    <w:p>
      <w:r>
        <w:rPr>
          <w:i/>
          <w:color w:val="666666"/>
          <w:sz w:val="18"/>
        </w:rPr>
        <w:t>Fernandez N et al.  ·  Int J Chron Obstruct Pulmon Dis  ·  17.07.2026  ·  PMID 42482839</w:t>
      </w:r>
    </w:p>
    <w:p>
      <w:r>
        <w:t>Prospektive Kohortenstudie an 28.251 UK-Biobank-Teilnehmern (60-78 Jahre) mit Beschleunigungsmessern zur Prüfung, ob reale Mobilitätsmuster Hinweis auf künftiges COPD-Auftreten geben.</w:t>
      </w:r>
    </w:p>
    <w:p>
      <w:r>
        <w:rPr>
          <w:b/>
        </w:rPr>
        <w:t xml:space="preserve">Ergebnis: </w:t>
      </w:r>
      <w:r>
        <w:t>Bei 639 Teilnehmern (2,26%) trat COPD während des Beobachtungszeitraums von durchschnittlich 8,5 Jahren auf. Vier digitale Ganzbiomarker (niedrigere Laufdauer, langsamere maximale Gehgeschwindigkeit, kürzere Gehpausen, geringerer Anteil von Gängen länger als 8 Sekunden) waren unabhängig mit künftiger COPD assoziiert; ein Modell mit diesen vier Biomarkern plus Selbstangaben erreichte einen Konkordanzindex von 0,80 und ist damit vergleichbar mit klinischen Tests.</w:t>
      </w:r>
    </w:p>
    <w:p>
      <w:r>
        <w:rPr>
          <w:b/>
          <w:sz w:val="19"/>
        </w:rPr>
        <w:t xml:space="preserve">Übertragbarkeit: </w:t>
      </w:r>
      <w:r>
        <w:rPr>
          <w:sz w:val="19"/>
        </w:rPr>
        <w:t>UK-Biobank-Daten, digitale Biometrie auf Smartwatches übertragbar</w:t>
      </w:r>
    </w:p>
    <w:p>
      <w:r>
        <w:rPr>
          <w:color w:val="5A7D3A"/>
          <w:sz w:val="18"/>
        </w:rPr>
        <w:t>https://pubmed.ncbi.nlm.nih.gov/42482839/</w:t>
      </w:r>
    </w:p>
    <w:p>
      <w:pPr>
        <w:pStyle w:val="Heading1"/>
      </w:pPr>
      <w:r>
        <w:t>Aufgenommen am 05.09.2026</w:t>
      </w:r>
    </w:p>
    <w:p>
      <w:pPr>
        <w:pStyle w:val="Heading2"/>
      </w:pPr>
      <w:r>
        <w:t>Regionale Benachteiligung (nicht Einzelindividuum) prägte Leberfibrose bei HBV-Infektion</w:t>
      </w:r>
    </w:p>
    <w:p>
      <w:r>
        <w:rPr>
          <w:i/>
          <w:color w:val="666666"/>
          <w:sz w:val="18"/>
        </w:rPr>
        <w:t>Çiçek Y et al.  ·  Infect Dis Poverty  ·  03.09.2026  ·  PMID 42693478</w:t>
      </w:r>
    </w:p>
    <w:p>
      <w:r>
        <w:t>Nationale türkische Multicenterstudie (24 Zentren, n=956) zu Assoziation von Sozioökonomie (Individual- und Gebietsebene) mit Leberfibrosegrad bei CHB.</w:t>
      </w:r>
    </w:p>
    <w:p>
      <w:r>
        <w:rPr>
          <w:b/>
        </w:rPr>
        <w:t xml:space="preserve">Ergebnis: </w:t>
      </w:r>
      <w:r>
        <w:t>Leberfibrosegrad assoziiert mit älterem Alter (aOR 1,12 pro 10 Jahre), längerer Anfahrtszeit zu CHB-Fachzentrum (aOR 1,53 pro Kategorie, p&lt;0,001), aber vor allem mit niedriger Wohngebiets-Sozioökonomie (aOR 1,97 pro Stufe, p&lt;0,001); Vergleich höchste vs. niedrigste Stufe: aOR 26,00 (95%-KI 8,21–82,37).</w:t>
      </w:r>
    </w:p>
    <w:p>
      <w:r>
        <w:rPr>
          <w:b/>
          <w:sz w:val="19"/>
        </w:rPr>
        <w:t xml:space="preserve">Übertragbarkeit: </w:t>
      </w:r>
      <w:r>
        <w:rPr>
          <w:sz w:val="19"/>
        </w:rPr>
        <w:t>Türkei (vergleichbares Gesundheitswesen); regionale Ungleichheit oft unterschätzt, Koordinationszugang zentral für Prognose.</w:t>
      </w:r>
    </w:p>
    <w:p>
      <w:r>
        <w:rPr>
          <w:color w:val="5A7D3A"/>
          <w:sz w:val="18"/>
        </w:rPr>
        <w:t>https://pubmed.ncbi.nlm.nih.gov/42693478/</w:t>
      </w:r>
    </w:p>
    <w:p>
      <w:pPr>
        <w:pStyle w:val="Heading2"/>
      </w:pPr>
      <w:r>
        <w:t>Extracorporeal CO₂-Elimination verkürzte Beatmungsdauer bei schwerem COPD-Exazerbation</w:t>
      </w:r>
    </w:p>
    <w:p>
      <w:r>
        <w:rPr>
          <w:i/>
          <w:color w:val="666666"/>
          <w:sz w:val="18"/>
        </w:rPr>
        <w:t>Karagiannidis C et al.  ·  Crit Care  ·  03.09.2026  ·  PMID 42693471</w:t>
      </w:r>
    </w:p>
    <w:p>
      <w:r>
        <w:t>Randomisierte Studie zu ECCO₂R-gestützter Früh-Extubation vs. Standard-Beatmung bei invasiv beatmeten COPD-Patienten mit hypercapnischer Ateminsuffizienz.</w:t>
      </w:r>
    </w:p>
    <w:p>
      <w:r>
        <w:rPr>
          <w:b/>
        </w:rPr>
        <w:t xml:space="preserve">Ergebnis: </w:t>
      </w:r>
      <w:r>
        <w:t>ECCO₂R-Gruppe: Beatmungsdauer 7,1±2,0 Tage vs. Kontrolle 24,3±21,4 Tage (p=0,043); 0/8 vs. 3/9 (33 %) mit Tod/schwerer Behinderung; ventilatorassoziierte Pneumonie 0 vs. 37,5 %. Studie vorzeitig beendet (n=18, geplant 192), aber konsistente Trends für ECCO₂R.</w:t>
      </w:r>
    </w:p>
    <w:p>
      <w:r>
        <w:rPr>
          <w:b/>
          <w:sz w:val="19"/>
        </w:rPr>
        <w:t xml:space="preserve">Übertragbarkeit: </w:t>
      </w:r>
      <w:r>
        <w:rPr>
          <w:sz w:val="19"/>
        </w:rPr>
        <w:t>Deutschland: Spezialisierte Zentren, technische Verfügbarkeit und Kostenübernahme prüfen.</w:t>
      </w:r>
    </w:p>
    <w:p>
      <w:r>
        <w:rPr>
          <w:color w:val="5A7D3A"/>
          <w:sz w:val="18"/>
        </w:rPr>
        <w:t>https://pubmed.ncbi.nlm.nih.gov/42693471/</w:t>
      </w:r>
    </w:p>
    <w:p>
      <w:pPr>
        <w:pStyle w:val="Heading2"/>
      </w:pPr>
      <w:r>
        <w:t>Metabolisches Syndrom-Scoring sagte Mehrfacherkrankung voraus: 1,35-fache Risikoerhöhung</w:t>
      </w:r>
    </w:p>
    <w:p>
      <w:r>
        <w:rPr>
          <w:i/>
          <w:color w:val="666666"/>
          <w:sz w:val="18"/>
        </w:rPr>
        <w:t>Zhang W et al.  ·  Sci Rep  ·  24.07.2026  ·  PMID 42693153</w:t>
      </w:r>
    </w:p>
    <w:p>
      <w:r>
        <w:t>Prospektive Analyse von 17.894 Teilnehmern (China, USA, UK) zur Vorhersage kardiometabolischer Mehrfacherkrankung durch kontinuierliches Metabolisches-Syndrom-Score.</w:t>
      </w:r>
    </w:p>
    <w:p>
      <w:r>
        <w:rPr>
          <w:b/>
        </w:rPr>
        <w:t xml:space="preserve">Ergebnis: </w:t>
      </w:r>
      <w:r>
        <w:t>Über Medianfolgeup 4–7 Jahre: 1.061 Fälle kardiometabolischer Mehrfacherkrankung. Höchstes vs. niedriges Tertil des Score assoziiert mit HR 1,77–4,27 je nach Kohorte. Gepoolte HR pro 1-SD-Anstieg: 1,35 (95%-KI 1,17–1,56). Dosis-Wirkungs-Beziehung dosisabhängig oder linear.</w:t>
      </w:r>
    </w:p>
    <w:p>
      <w:r>
        <w:rPr>
          <w:b/>
          <w:sz w:val="19"/>
        </w:rPr>
        <w:t xml:space="preserve">Übertragbarkeit: </w:t>
      </w:r>
      <w:r>
        <w:rPr>
          <w:sz w:val="19"/>
        </w:rPr>
        <w:t>China, USA, UK; Risikostratifizierungsmodell universal anwendbar, aber externe Validierung ausstehend.</w:t>
      </w:r>
    </w:p>
    <w:p>
      <w:r>
        <w:rPr>
          <w:color w:val="5A7D3A"/>
          <w:sz w:val="18"/>
        </w:rPr>
        <w:t>https://pubmed.ncbi.nlm.nih.gov/42693153/</w:t>
      </w:r>
    </w:p>
    <w:p>
      <w:pPr>
        <w:pStyle w:val="Heading2"/>
      </w:pPr>
      <w:r>
        <w:t>ESA- und Eisenmanagement erforderte 1.093 Monats-Arbeitsstunden in französischen Dialysezentren</w:t>
      </w:r>
    </w:p>
    <w:p>
      <w:r>
        <w:rPr>
          <w:i/>
          <w:color w:val="666666"/>
          <w:sz w:val="18"/>
        </w:rPr>
        <w:t>El-Haik Y et al.  ·  Nephrol Ther  ·  01.08.2026  ·  PMID 42684151</w:t>
      </w:r>
    </w:p>
    <w:p>
      <w:r>
        <w:t>Organisatorische Belastungsanalyse von Erythropoese-Stimulatoren und intravenösem Eisen in 12 französischen Dialyseeinrichtungen.</w:t>
      </w:r>
    </w:p>
    <w:p>
      <w:r>
        <w:rPr>
          <w:b/>
        </w:rPr>
        <w:t xml:space="preserve">Ergebnis: </w:t>
      </w:r>
      <w:r>
        <w:t>ESA-Management 313,9 h/Monat pro Zentrum (davon 285,3 h Vorbereitung/Verabreichung/Monitoring); IV-Eisen-Management 779,3 h/Monat (664 h Verabreichung/Monitoring). 74,2 % der Kühllagerfläche für ESAs.</w:t>
      </w:r>
    </w:p>
    <w:p>
      <w:r>
        <w:rPr>
          <w:b/>
          <w:sz w:val="19"/>
        </w:rPr>
        <w:t xml:space="preserve">Übertragbarkeit: </w:t>
      </w:r>
      <w:r>
        <w:rPr>
          <w:sz w:val="19"/>
        </w:rPr>
        <w:t>Frankreich; direkte Übertragbarkeit auf deutsches Dialysesystem (DMP-ähnliche Strukturen, vergleichbare Dokumentation).</w:t>
      </w:r>
    </w:p>
    <w:p>
      <w:r>
        <w:rPr>
          <w:color w:val="5A7D3A"/>
          <w:sz w:val="18"/>
        </w:rPr>
        <w:t>https://pubmed.ncbi.nlm.nih.gov/42684151/</w:t>
      </w:r>
    </w:p>
    <w:p>
      <w:pPr>
        <w:pStyle w:val="Heading2"/>
      </w:pPr>
      <w:r>
        <w:t>Isoliert reduzierte Diffusionskapazität korrelierte mit Emphysem und Rauchen</w:t>
      </w:r>
    </w:p>
    <w:p>
      <w:r>
        <w:rPr>
          <w:i/>
          <w:color w:val="666666"/>
          <w:sz w:val="18"/>
        </w:rPr>
        <w:t>Hamrefors V et al.  ·  BMC Pulm Med  ·  31.08.2026  ·  PMID 42675482</w:t>
      </w:r>
    </w:p>
    <w:p>
      <w:r>
        <w:t>Große schwedische Querschnittsstudie (SCAPIS) zu Determinanten isoliert verminderter DLCO bei 24.261 Patienten mit normalen Spirometrieparametern.</w:t>
      </w:r>
    </w:p>
    <w:p>
      <w:r>
        <w:rPr>
          <w:b/>
        </w:rPr>
        <w:t xml:space="preserve">Ergebnis: </w:t>
      </w:r>
      <w:r>
        <w:t>DLCO unterhalb LLN (n=1.472; 6,1 %): unabhängig assoziiert mit Emphysem (OR 2,6), Lungenerkrankung außer Asthma/COPD (OR 1,8), Rauchen pro 10-Pack-Jahre (OR 1,6), interstitielle Lungenabnormitäten (OR 1,4), Belastungsbrust­schmerz (OR 1,6).</w:t>
      </w:r>
    </w:p>
    <w:p>
      <w:r>
        <w:rPr>
          <w:b/>
          <w:sz w:val="19"/>
        </w:rPr>
        <w:t xml:space="preserve">Übertragbarkeit: </w:t>
      </w:r>
      <w:r>
        <w:rPr>
          <w:sz w:val="19"/>
        </w:rPr>
        <w:t>Schweden; bevölkerungsbasiert, Screening-konzept übertragbar auf deutsches Präventiossystem.</w:t>
      </w:r>
    </w:p>
    <w:p>
      <w:r>
        <w:rPr>
          <w:color w:val="5A7D3A"/>
          <w:sz w:val="18"/>
        </w:rPr>
        <w:t>https://pubmed.ncbi.nlm.nih.gov/42675482/</w:t>
      </w:r>
    </w:p>
    <w:p>
      <w:pPr>
        <w:pStyle w:val="Heading2"/>
      </w:pPr>
      <w:r>
        <w:t>HBV-Genotyp-E-Infektionen: Resistenzmutationen unter Migration und schlechter Adhärenz</w:t>
      </w:r>
    </w:p>
    <w:p>
      <w:r>
        <w:rPr>
          <w:i/>
          <w:color w:val="666666"/>
          <w:sz w:val="18"/>
        </w:rPr>
        <w:t>Tiecco G et al.  ·  Infect Dis (Lond)  ·  03.08.2026  ·  PMID 42547309</w:t>
      </w:r>
    </w:p>
    <w:p>
      <w:r>
        <w:t>Retrospektive Fallserie (2015–2023) von 8 Patienten mit dokumentiertem HBV-Genotyp E und Resistenztest-Ergebnissen.</w:t>
      </w:r>
    </w:p>
    <w:p>
      <w:r>
        <w:rPr>
          <w:b/>
        </w:rPr>
        <w:t xml:space="preserve">Ergebnis: </w:t>
      </w:r>
      <w:r>
        <w:t>8 Patienten (62,5 % männlich, 87,5 % afrikanischer Herkunft); 75 % mit persistierender Virämie trotz Therapie; Lamivudin-Resistenz 12,5 %, Tenofovir-Resistenzmutationen 25 %, Immun-Escape-Mutationen 37,5 %; virologische Suppression nach Therapie­anpassung nur in 37,5 %.</w:t>
      </w:r>
    </w:p>
    <w:p>
      <w:r>
        <w:rPr>
          <w:b/>
          <w:sz w:val="19"/>
        </w:rPr>
        <w:t xml:space="preserve">Übertragbarkeit: </w:t>
      </w:r>
      <w:r>
        <w:rPr>
          <w:sz w:val="19"/>
        </w:rPr>
        <w:t>Italien (reales Patientenkollektiv); strukturelle Herausforderungen (Adhärenz, Migranten) in Deutschland ähnlich.</w:t>
      </w:r>
    </w:p>
    <w:p>
      <w:r>
        <w:rPr>
          <w:color w:val="5A7D3A"/>
          <w:sz w:val="18"/>
        </w:rPr>
        <w:t>https://pubmed.ncbi.nlm.nih.gov/42547309/</w:t>
      </w:r>
    </w:p>
    <w:p>
      <w:pPr>
        <w:pStyle w:val="Heading2"/>
      </w:pPr>
      <w:r>
        <w:t>HBV-assoziierte Stigmatisierung beeinträchtigte alle Lebensqualitäts-Domänen</w:t>
      </w:r>
    </w:p>
    <w:p>
      <w:r>
        <w:rPr>
          <w:i/>
          <w:color w:val="666666"/>
          <w:sz w:val="18"/>
        </w:rPr>
        <w:t>Smith V et al.  ·  J Viral Hepat  ·  Aug. 2026  ·  PMID 42499137</w:t>
      </w:r>
    </w:p>
    <w:p>
      <w:r>
        <w:t>Qualitative Studie (Concept-Elicitation-Interviews) mit 28 HBV-Patienten aus USA, China und Polen zur Erfahrung von Stigma.</w:t>
      </w:r>
    </w:p>
    <w:p>
      <w:r>
        <w:rPr>
          <w:b/>
        </w:rPr>
        <w:t xml:space="preserve">Ergebnis: </w:t>
      </w:r>
      <w:r>
        <w:t>Internalisiertes Stigma 100 %, soziales Stigma 79 %, institutionelles Stigma 57 %. Sieben Domänen identifiziert: soziale Funktion (100 %), emotionales Wohlbefinden (96 %), HBV-Transmission (96 %), körperliche Symptome, Arbeit, Beziehungen, Zugang zu Versorgung. Stigma stark mit Lebensqualitäts-Einschränkungen verwoben.</w:t>
      </w:r>
    </w:p>
    <w:p>
      <w:r>
        <w:rPr>
          <w:b/>
          <w:sz w:val="19"/>
        </w:rPr>
        <w:t xml:space="preserve">Übertragbarkeit: </w:t>
      </w:r>
      <w:r>
        <w:rPr>
          <w:sz w:val="19"/>
        </w:rPr>
        <w:t>Multinational (aber gering-Einkommens- und Mitteleinkommensländer überrepräsentiert); psychosoziale Versorgung in Deutschland unterbewertet.</w:t>
      </w:r>
    </w:p>
    <w:p>
      <w:r>
        <w:rPr>
          <w:color w:val="5A7D3A"/>
          <w:sz w:val="18"/>
        </w:rPr>
        <w:t>https://pubmed.ncbi.nlm.nih.gov/42499137/</w:t>
      </w:r>
    </w:p>
    <w:p>
      <w:pPr>
        <w:pStyle w:val="Heading1"/>
      </w:pPr>
      <w:r>
        <w:t>Aufgenommen am 04.09.2026</w:t>
      </w:r>
    </w:p>
    <w:p>
      <w:pPr>
        <w:pStyle w:val="Heading2"/>
      </w:pPr>
      <w:r>
        <w:t>Systemischer Immunentzündungs-Index sagte COPD-Wiederaufnahmen zu 90 Tagen voraus</w:t>
      </w:r>
    </w:p>
    <w:p>
      <w:r>
        <w:rPr>
          <w:i/>
          <w:color w:val="666666"/>
          <w:sz w:val="18"/>
        </w:rPr>
        <w:t>Chen Q et al.  ·  Int J Chron Obstruct Pulmon Dis  ·  28.08.2026  ·  PMID 42683431</w:t>
      </w:r>
    </w:p>
    <w:p>
      <w:r>
        <w:t>Chinesische Kohortenstudie mit 207 Patienten mit akuter COPD-Exazerbation zur prädiktiven Wertigkeit des systemischen Immunentzündungs-Index (SII) für ungeplante Wiederaufnahmen innerhalb von 90 Tagen.</w:t>
      </w:r>
    </w:p>
    <w:p>
      <w:r>
        <w:rPr>
          <w:b/>
        </w:rPr>
        <w:t xml:space="preserve">Ergebnis: </w:t>
      </w:r>
      <w:r>
        <w:t>37,7 % (78/207) erlebten Wiederaufnahmen; jede 500er-Steigerung des SII war mit erhöhtem Wiederaufnahmerisiko assoziiert (aOR 1,329, 95%-KI 1,153-1,530; p &lt; 0,001). Integriertes Modell mit SII erreichte AUC 0,809 (95%-KI 0,742-0,869) versus 0,752 für reines klinisches Modell. Nach Bootstrap-Validierung: optimismuskorrigiert 0,785; verbesserte Modellpassung (Likelihood-Ratio p &lt; 0,001).</w:t>
      </w:r>
    </w:p>
    <w:p>
      <w:r>
        <w:rPr>
          <w:b/>
          <w:sz w:val="19"/>
        </w:rPr>
        <w:t xml:space="preserve">Übertragbarkeit: </w:t>
      </w:r>
      <w:r>
        <w:rPr>
          <w:sz w:val="19"/>
        </w:rPr>
        <w:t>Chinesische Klinikdaten, Konzept übertragbar, externe Validierung erforderlich</w:t>
      </w:r>
    </w:p>
    <w:p>
      <w:r>
        <w:rPr>
          <w:color w:val="5A7D3A"/>
          <w:sz w:val="18"/>
        </w:rPr>
        <w:t>https://pubmed.ncbi.nlm.nih.gov/42683431/</w:t>
      </w:r>
    </w:p>
    <w:p>
      <w:pPr>
        <w:pStyle w:val="Heading2"/>
      </w:pPr>
      <w:r>
        <w:t>Schlechter Schlaf erhöhte Komplikationsrisiko bei chronischer Nierenkrankheit um 19-54 %</w:t>
      </w:r>
    </w:p>
    <w:p>
      <w:r>
        <w:rPr>
          <w:i/>
          <w:color w:val="666666"/>
          <w:sz w:val="18"/>
        </w:rPr>
        <w:t>Lei K et al.  ·  Front Public Health  ·  18.08.2026  ·  PMID 42682672</w:t>
      </w:r>
    </w:p>
    <w:p>
      <w:r>
        <w:t>Kohortenstudie mit 15.809 CKD-Patienten aus UK Biobank (2006-2010, Nachverfolgung bis 2022) zur Assoziation von multidimensionalen Schlafmustern mit Anämie, kardiovaskulären Ereignissen, kognitiven Beeinträchtigungen und Nebenschilddrüsenüberfunktion.</w:t>
      </w:r>
    </w:p>
    <w:p>
      <w:r>
        <w:rPr>
          <w:b/>
        </w:rPr>
        <w:t xml:space="preserve">Ergebnis: </w:t>
      </w:r>
      <w:r>
        <w:t>Schwere Insomnie mit kurzer oder langer Schlafdauer und schwer gestörter Schlaf waren mit 19-54 % höheren Risiken für Anämie, kardiovaskuläre Erkrankungen und Nebenschilddrüsenüberfunktion assoziiert (alle p &lt; 0,05). Höhere Schlafqualität war unabhängig mit reduzierten Risiken dieser Komplikationen verbunden. Schlafprofile zeigten Heterogenität in Assoziation mit Ergebnissen je nach Geschlecht und Nierenfunktion.</w:t>
      </w:r>
    </w:p>
    <w:p>
      <w:r>
        <w:rPr>
          <w:b/>
          <w:sz w:val="19"/>
        </w:rPr>
        <w:t xml:space="preserve">Übertragbarkeit: </w:t>
      </w:r>
      <w:r>
        <w:rPr>
          <w:sz w:val="19"/>
        </w:rPr>
        <w:t>UK-Biobank, vergleichbare europäische Systeme und Datenqualität</w:t>
      </w:r>
    </w:p>
    <w:p>
      <w:r>
        <w:rPr>
          <w:color w:val="5A7D3A"/>
          <w:sz w:val="18"/>
        </w:rPr>
        <w:t>https://pubmed.ncbi.nlm.nih.gov/42682672/</w:t>
      </w:r>
    </w:p>
    <w:p>
      <w:pPr>
        <w:pStyle w:val="Heading2"/>
      </w:pPr>
      <w:r>
        <w:t>Quantitative Hepatitis-B-Oberflächenantigen-Tests: nur 37,4 % spanischer Labore implementiert</w:t>
      </w:r>
    </w:p>
    <w:p>
      <w:r>
        <w:rPr>
          <w:i/>
          <w:color w:val="666666"/>
          <w:sz w:val="18"/>
        </w:rPr>
        <w:t>Chaves-Blanco L et al.  ·  Enferm Infecc Microbiol Clin (Engl Ed)  ·  Aug. 2026  ·  PMID 42542350</w:t>
      </w:r>
    </w:p>
    <w:p>
      <w:r>
        <w:t>Nationale spanische Querschnittsstudie von 91 klinisch-mikrobiologischen Laboren zur Implementierung und Praktiken von quantitativem HBsAg-Testing (qHBsAg) für das Chronic-Hepatitis-B-Management.</w:t>
      </w:r>
    </w:p>
    <w:p>
      <w:r>
        <w:rPr>
          <w:b/>
        </w:rPr>
        <w:t xml:space="preserve">Ergebnis: </w:t>
      </w:r>
      <w:r>
        <w:t>37,4 % (34/91) führten qHBsAg durch; 86 % der Nicht-Durchführer verwiesen Proben nicht wegen wahrgenommener geringer klinischer Nachfrage (57,1 %). Implementierung korrelierte mit Krankenhausgröße (p = 0,041): 0 % bei &lt;200 Betten, 23,3 % bei 200-500, 44,9 % bei 500-1000, 62,5 % bei ≥1000. Unter durchführenden Labs: 57,6 % quantifizierten nach positivem qualitativem Test, 27,3 % auf Anforderung, 15,2 % als initiales Screening. Heterogene Meldepraxis.</w:t>
      </w:r>
    </w:p>
    <w:p>
      <w:r>
        <w:rPr>
          <w:b/>
          <w:sz w:val="19"/>
        </w:rPr>
        <w:t xml:space="preserve">Übertragbarkeit: </w:t>
      </w:r>
      <w:r>
        <w:rPr>
          <w:sz w:val="19"/>
        </w:rPr>
        <w:t>Spanien, direkt auf Deutschland übertragbar für Implementierungs-Gaps</w:t>
      </w:r>
    </w:p>
    <w:p>
      <w:r>
        <w:rPr>
          <w:color w:val="5A7D3A"/>
          <w:sz w:val="18"/>
        </w:rPr>
        <w:t>https://pubmed.ncbi.nlm.nih.gov/42542350/</w:t>
      </w:r>
    </w:p>
    <w:p>
      <w:pPr>
        <w:pStyle w:val="Heading2"/>
      </w:pPr>
      <w:r>
        <w:t>Finerenone reduzierte Albuminurie bei Typ-2-Diabetes und CKD um 34,5 % in Routineversorgung</w:t>
      </w:r>
    </w:p>
    <w:p>
      <w:r>
        <w:rPr>
          <w:i/>
          <w:color w:val="666666"/>
          <w:sz w:val="18"/>
        </w:rPr>
        <w:t>Moreno-Pérez O et al.  ·  Diabetes Obes Metab  ·  30.07.2026  ·  PMID 42533276</w:t>
      </w:r>
    </w:p>
    <w:p>
      <w:r>
        <w:t>Spanische Multicenterstudie zur Effektivität und Sicherheit von Finerenon bei Patienten mit Typ-2-Diabetes und chronischer Nierenerkrankung in der Routineversorgung.</w:t>
      </w:r>
    </w:p>
    <w:p>
      <w:r>
        <w:rPr>
          <w:b/>
        </w:rPr>
        <w:t xml:space="preserve">Ergebnis: </w:t>
      </w:r>
      <w:r>
        <w:t>Bei 844 Patienten (Medianalter 72 Jahre, Median eGFR 49 mL/min/1,73 m²) reduzierte Finerenon die Albuminurie-zu-Kreatinin-Ratio (UACR) um Medianalter 34,5 % nach 6 Monaten (p &lt; 0,001), unabhängig von Hintergrundnephroprotektiva. 52,7 % erreichten die primäre Zielmarke von ≥30 % UACR-Reduktion; 89,5 % Persistenz der Therapie; Hyperkaliämie 4,8 %, Herz-Kreislauf-Ereignisse 1,1 %. Finerenon verbesserte albuminurische Marker auch bei intensiver Vormedikation.</w:t>
      </w:r>
    </w:p>
    <w:p>
      <w:r>
        <w:rPr>
          <w:b/>
          <w:sz w:val="19"/>
        </w:rPr>
        <w:t xml:space="preserve">Übertragbarkeit: </w:t>
      </w:r>
      <w:r>
        <w:rPr>
          <w:sz w:val="19"/>
        </w:rPr>
        <w:t>Spanische Routinedaten, vergleichbares Sozialversicherungssystem</w:t>
      </w:r>
    </w:p>
    <w:p>
      <w:r>
        <w:rPr>
          <w:color w:val="5A7D3A"/>
          <w:sz w:val="18"/>
        </w:rPr>
        <w:t>https://pubmed.ncbi.nlm.nih.gov/42533276/</w:t>
      </w:r>
    </w:p>
    <w:p>
      <w:pPr>
        <w:pStyle w:val="Heading2"/>
      </w:pPr>
      <w:r>
        <w:t>Integrierter Versorgungspfad bei Long COVID: alle Interventionen erzielten Fatigue-Reduktion</w:t>
      </w:r>
    </w:p>
    <w:p>
      <w:r>
        <w:rPr>
          <w:i/>
          <w:color w:val="666666"/>
          <w:sz w:val="18"/>
        </w:rPr>
        <w:t>STIMULATE-ICP Consortium  ·  Nat Med  ·  28.07.2026  ·  PMID 42521821</w:t>
      </w:r>
    </w:p>
    <w:p>
      <w:r>
        <w:t>Phase-3-Cluster-RCT mit 1.152 Teilnehmern aus 122 englischen Primary-Care-Netzwerken zum Effekt von Multi-Organ-MRI und/oder digitaler Rehabilitation im Rahmen strukturierter ICP-Interventionen auf Fatigue-Assessment-Scale nach 12 und 24 Wochen.</w:t>
      </w:r>
    </w:p>
    <w:p>
      <w:r>
        <w:rPr>
          <w:b/>
        </w:rPr>
        <w:t xml:space="preserve">Ergebnis: </w:t>
      </w:r>
      <w:r>
        <w:t>Fatigue-Assessment-Scale verbesserte sich in allen Armen um 4,5 Punkte von 35,8 auf 31,3 (nach 12 Wochen); zusätzliche Multi-Organ-MRI zeigte 0,18-Punkte-Vorteil (95%-KI -0,72 bis 1,09; p = 0,69), digitale Rehabilitation -0,53 Punkte (95%-KI -1,42 bis 0,36; p = 0,25). Multidisziplinäre holistische Versorgung allein war mit Verbesserungen verbunden. Keine schwerwiegenden unerwünschten Ereignisse.</w:t>
      </w:r>
    </w:p>
    <w:p>
      <w:r>
        <w:rPr>
          <w:b/>
          <w:sz w:val="19"/>
        </w:rPr>
        <w:t xml:space="preserve">Übertragbarkeit: </w:t>
      </w:r>
      <w:r>
        <w:rPr>
          <w:sz w:val="19"/>
        </w:rPr>
        <w:t>Englische NHS-Daten, vergleichbares Versicherungssystem und Zugangswege</w:t>
      </w:r>
    </w:p>
    <w:p>
      <w:r>
        <w:rPr>
          <w:color w:val="5A7D3A"/>
          <w:sz w:val="18"/>
        </w:rPr>
        <w:t>https://pubmed.ncbi.nlm.nih.gov/42521821/</w:t>
      </w:r>
    </w:p>
    <w:p>
      <w:pPr>
        <w:pStyle w:val="Heading1"/>
      </w:pPr>
      <w:r>
        <w:t>Aufgenommen am 03.09.2026</w:t>
      </w:r>
    </w:p>
    <w:p>
      <w:pPr>
        <w:pStyle w:val="Heading2"/>
      </w:pPr>
      <w:r>
        <w:t>Dysbiose und Obstipation bei Dialysepatienten: Mikrobiotargetierende Interventionen versprechen, aber evidenzlimitiert</w:t>
      </w:r>
    </w:p>
    <w:p>
      <w:r>
        <w:rPr>
          <w:i/>
          <w:color w:val="666666"/>
          <w:sz w:val="18"/>
        </w:rPr>
        <w:t>Shen Z et al.  ·  Front Cell Infect Microbiol  ·  18.08.2026  ·  PMID 42683184</w:t>
      </w:r>
    </w:p>
    <w:p>
      <w:r>
        <w:t>Narrativer Übersichtsartikel, der Veränderungen der Darmflora bei Patienten mit Nierenersatztherapie (ESRD) und Obstipation, ihre pathogenen Mechanismen und Therapieoptionen (Probiotika, Präbiotika, Ernährung) systematisch zusammenfasst.</w:t>
      </w:r>
    </w:p>
    <w:p>
      <w:r>
        <w:rPr>
          <w:b/>
        </w:rPr>
        <w:t xml:space="preserve">Ergebnis: </w:t>
      </w:r>
      <w:r>
        <w:t>Kernbefund: Dysbiose mit reduzierter kurzkettigen-Fettsäure-produzierenden Bakterien und erhöhten urease-positiven Spezies; bidirektionaler Mikrobiotagutkidney-Teufelskreis mit erhöhter intestinaler Permeabilität und Nierenschaden. Evidenz für Interventionen vorhanden, aber Sicherheitsaspekte und klinische Praktikabilität unklar.</w:t>
      </w:r>
    </w:p>
    <w:p>
      <w:r>
        <w:rPr>
          <w:b/>
          <w:sz w:val="19"/>
        </w:rPr>
        <w:t xml:space="preserve">Übertragbarkeit: </w:t>
      </w:r>
      <w:r>
        <w:rPr>
          <w:sz w:val="19"/>
        </w:rPr>
        <w:t>Pathophysiologie-Fokus, Interventionsevidenz zu fragmentarisch für direkte deutsche Implementierung</w:t>
      </w:r>
    </w:p>
    <w:p>
      <w:r>
        <w:rPr>
          <w:color w:val="5A7D3A"/>
          <w:sz w:val="18"/>
        </w:rPr>
        <w:t>https://pubmed.ncbi.nlm.nih.gov/42683184/</w:t>
      </w:r>
    </w:p>
    <w:p>
      <w:pPr>
        <w:pStyle w:val="Heading2"/>
      </w:pPr>
      <w:r>
        <w:t>Dapagliflozin und CKD-Progression: Effekt auf eGFR-Rückgang inkonsistent, aber Reduktion klinischer Nierenendpunkte</w:t>
      </w:r>
    </w:p>
    <w:p>
      <w:r>
        <w:rPr>
          <w:i/>
          <w:color w:val="666666"/>
          <w:sz w:val="18"/>
        </w:rPr>
        <w:t>Shadravan S et al.  ·  Iran J Kidney Dis  ·  31.07.2026  ·  PMID 42679368</w:t>
      </w:r>
    </w:p>
    <w:p>
      <w:r>
        <w:t>Systematische Übersicht von 15 Studien zur Wirkung von Dapagliflozin auf chronische Nierenerkrankung; 11 waren Sekundäranalysen der DAPA-CKD-Studie mit 4.304 Teilnehmern; nur vier unabhängige Studien nach Ausschluss von Doppeltgennung verfügbar.</w:t>
      </w:r>
    </w:p>
    <w:p>
      <w:r>
        <w:rPr>
          <w:b/>
        </w:rPr>
        <w:t xml:space="preserve">Ergebnis: </w:t>
      </w:r>
      <w:r>
        <w:t>eGFR-Effekte hochgradig heterogen (-6,6 bis +0,93 mL/min/1,73m²; I²=93,7 %); DAPA-CKD zeigte Reduktion ungünstiger klinischer renaler Ergebnisse. Heterogenität und begrenzte unabhängige Evidenz verhindern Metaanalyse; dapagliflozin erscheint nierenschützend und sicher für CKD.</w:t>
      </w:r>
    </w:p>
    <w:p>
      <w:r>
        <w:rPr>
          <w:b/>
          <w:sz w:val="19"/>
        </w:rPr>
        <w:t xml:space="preserve">Übertragbarkeit: </w:t>
      </w:r>
      <w:r>
        <w:rPr>
          <w:sz w:val="19"/>
        </w:rPr>
        <w:t>Internationale Evidenz, kardiorenales Konzept übertragbar; Datenstabilität limitiert</w:t>
      </w:r>
    </w:p>
    <w:p>
      <w:r>
        <w:rPr>
          <w:color w:val="5A7D3A"/>
          <w:sz w:val="18"/>
        </w:rPr>
        <w:t>https://pubmed.ncbi.nlm.nih.gov/42679368/</w:t>
      </w:r>
    </w:p>
    <w:p>
      <w:pPr>
        <w:pStyle w:val="Heading2"/>
      </w:pPr>
      <w:r>
        <w:t>COPD-Therapietreue: Nur 30–50 % erreichen optimale Adhärenz; COM-B-Modell identifiziert veränderbare Faktoren</w:t>
      </w:r>
    </w:p>
    <w:p>
      <w:r>
        <w:rPr>
          <w:i/>
          <w:color w:val="666666"/>
          <w:sz w:val="18"/>
        </w:rPr>
        <w:t>Zhang Y et al.  ·  Int J Chron Obstruct Pulmon Dis  ·  27.08.2026  ·  PMID 42677250</w:t>
      </w:r>
    </w:p>
    <w:p>
      <w:r>
        <w:t>Narrative Übersichtsarbeit, die Literatur zu Adhärenz-Messverfahren, Prävalenz (MPR ≥80 % bei nur 30–50 % der Patienten), Einflussfaktoren und Interventionsstrategien anhand des Capability-Opportunity-Motivation-Behaviour-Modells systematisiert.</w:t>
      </w:r>
    </w:p>
    <w:p>
      <w:r>
        <w:rPr>
          <w:b/>
        </w:rPr>
        <w:t xml:space="preserve">Ergebnis: </w:t>
      </w:r>
      <w:r>
        <w:t>Inhalationstechnikfehler 30–50 %, therapieverweigerung bei Depression/Angststörung ca. 20–25 % niedriger; Single-Inhaler-Triple-Therapie versus Multiple-Inhaler zeigte 18-Monats-Persistenz 16,5 % vs. 2,3 %. Höhere Adhärenz assoziiert mit 51 % Reduktion exazerbationsbedingter Hospitalisierung und Attenuation des FEV1-Rückgangs um ca. 21 mL/Jahr.</w:t>
      </w:r>
    </w:p>
    <w:p>
      <w:r>
        <w:rPr>
          <w:b/>
          <w:sz w:val="19"/>
        </w:rPr>
        <w:t xml:space="preserve">Übertragbarkeit: </w:t>
      </w:r>
      <w:r>
        <w:rPr>
          <w:sz w:val="19"/>
        </w:rPr>
        <w:t>Internationale Literatur, Adhärenz-Muster ähnlich wie Deutschland; länderspezifische Zahlen begrenzt</w:t>
      </w:r>
    </w:p>
    <w:p>
      <w:r>
        <w:rPr>
          <w:color w:val="5A7D3A"/>
          <w:sz w:val="18"/>
        </w:rPr>
        <w:t>https://pubmed.ncbi.nlm.nih.gov/42677250/</w:t>
      </w:r>
    </w:p>
    <w:p>
      <w:pPr>
        <w:pStyle w:val="Heading2"/>
      </w:pPr>
      <w:r>
        <w:t>COPD-Verhalten: Vier Phänotypen kombinieren Inhalationstechnik und Adhärenz; Wissenslücken zielbar</w:t>
      </w:r>
    </w:p>
    <w:p>
      <w:r>
        <w:rPr>
          <w:i/>
          <w:color w:val="666666"/>
          <w:sz w:val="18"/>
        </w:rPr>
        <w:t>Xiang J et al.  ·  Int J Chron Obstruct Pulmon Dis  ·  27.08.2026  ·  PMID 42677230</w:t>
      </w:r>
    </w:p>
    <w:p>
      <w:r>
        <w:t>Querschnittsstudie mit 700 COPD-Patienten in Peking 2025, die kombinierte Inhalationstechnik und Therapietreue zur Klassifizierung in vier Verhaltenphänotypen nutzten; Assoziationen mit Patientenmerkmalen berechnet.</w:t>
      </w:r>
    </w:p>
    <w:p>
      <w:r>
        <w:rPr>
          <w:b/>
        </w:rPr>
        <w:t xml:space="preserve">Ergebnis: </w:t>
      </w:r>
      <w:r>
        <w:t>Nur 25,3 % zeigten perfekte Inhalationstechnik, 59,0 % gute Adhärenz. Vier Phänotypen: Standard+Adhärent (20,7 %), Nicht-adhärent+Standard (4,6 %), Adhärent+Nicht-standard (38,3 %), Nicht-standard+Nicht-adhärent (36,4 %). Krankheitswissen stärkster Prädiktor: korrekte vs. fehlerhafte Technik OR 0,30–0,35 (p&lt;0,001). Krankheitsdauer assoziiert mit unterschiedlichen Adhärenzmustern.</w:t>
      </w:r>
    </w:p>
    <w:p>
      <w:r>
        <w:rPr>
          <w:b/>
          <w:sz w:val="19"/>
        </w:rPr>
        <w:t xml:space="preserve">Übertragbarkeit: </w:t>
      </w:r>
      <w:r>
        <w:rPr>
          <w:sz w:val="19"/>
        </w:rPr>
        <w:t>China, hoher Techniktransferpotential, Wissenslückenmodell auch für Deutschland prädiktiv</w:t>
      </w:r>
    </w:p>
    <w:p>
      <w:r>
        <w:rPr>
          <w:color w:val="5A7D3A"/>
          <w:sz w:val="18"/>
        </w:rPr>
        <w:t>https://pubmed.ncbi.nlm.nih.gov/42677230/</w:t>
      </w:r>
    </w:p>
    <w:p>
      <w:pPr>
        <w:pStyle w:val="Heading2"/>
      </w:pPr>
      <w:r>
        <w:t>Pädiatrische Notfallverstärkung bei komplexen Erkrankungen: Zentrale Konzentration in Seoul, Reisedistanz erhöht Mortalität</w:t>
      </w:r>
    </w:p>
    <w:p>
      <w:r>
        <w:rPr>
          <w:i/>
          <w:color w:val="666666"/>
          <w:sz w:val="18"/>
        </w:rPr>
        <w:t>Choi YY et al.  ·  J Korean Med Sci  ·  31.08.2026  ·  PMID 42676071</w:t>
      </w:r>
    </w:p>
    <w:p>
      <w:r>
        <w:t>Nationale Analyse südkoreanischer Notfallbesuche 2016–2022 (7,76 Millionen Fälle), davon 149.306 (1,9 %) mit komplexen chronischen Erkrankungen (CCCs); Reisedistanz und regionale Unterschiede in Versorgungsergebnissen untersucht.</w:t>
      </w:r>
    </w:p>
    <w:p>
      <w:r>
        <w:rPr>
          <w:b/>
        </w:rPr>
        <w:t xml:space="preserve">Ergebnis: </w:t>
      </w:r>
      <w:r>
        <w:t>CCC-Patienten: höhere Akuität (16,5 % vs. 3,1 %), längere Anfahrt (11,2 vs. 6,2 km), ICU-Admission 4,4 % vs. 0,3 %, ED-Todesfälle 0,2 % vs. 0,04 %. 47,9 % aller CCC-Fälle in Seoul; längere Reise unabhängig mit Mortalität assoziiert: OR 1,3 (15–59,9 km), 1,6 (60–99,9 km), 1,3 (≥100 km). Zentrale Konzentration (40,7 % in 5 Krankenhäusern) zeigt Gesamtfehler in Ressourcenallokation.</w:t>
      </w:r>
    </w:p>
    <w:p>
      <w:r>
        <w:rPr>
          <w:b/>
          <w:sz w:val="19"/>
        </w:rPr>
        <w:t xml:space="preserve">Übertragbarkeit: </w:t>
      </w:r>
      <w:r>
        <w:rPr>
          <w:sz w:val="19"/>
        </w:rPr>
        <w:t>Südkorea, Zentrailisierungsproblem relevant für deutsche Flächenländer; Mortalitäts-Distanz-Beziehung übertragbar</w:t>
      </w:r>
    </w:p>
    <w:p>
      <w:r>
        <w:rPr>
          <w:color w:val="5A7D3A"/>
          <w:sz w:val="18"/>
        </w:rPr>
        <w:t>https://pubmed.ncbi.nlm.nih.gov/42676071/</w:t>
      </w:r>
    </w:p>
    <w:p>
      <w:pPr>
        <w:pStyle w:val="Heading2"/>
      </w:pPr>
      <w:r>
        <w:t>Lebensbedrohliche Erkrankungen bei Kindern in Irland: Prävalenz 34,8–50,0 pro 10.000; Datendefizite erfordern sichere ID</w:t>
      </w:r>
    </w:p>
    <w:p>
      <w:r>
        <w:rPr>
          <w:i/>
          <w:color w:val="666666"/>
          <w:sz w:val="18"/>
        </w:rPr>
        <w:t>Smith S et al.  ·  BMC Pediatr  ·  28.07.2026  ·  PMID 42509542</w:t>
      </w:r>
    </w:p>
    <w:p>
      <w:r>
        <w:t>Querschnittsanalyse irischer Spitaldaten 2019 und 2024, um Prävalenz lebensbedrohlicher Zustände bei 0–19-Jährigen unter fehlender eindeutiger Patientenkennung zu schätzen; drei Schätzszenarien mit Sensitivitätsanalysen.</w:t>
      </w:r>
    </w:p>
    <w:p>
      <w:r>
        <w:rPr>
          <w:b/>
        </w:rPr>
        <w:t xml:space="preserve">Ergebnis: </w:t>
      </w:r>
      <w:r>
        <w:t>Baseline-Prävalenz 34,8–50,0 pro 10.000 (2019) und 32,3–44,5 pro 10.000 (2024); mit Adjustierung für Untererfassung: 46,4–66,6 (2019) und 43,0–59,3 pro 10.000 (2024). Höher bei Männern, größte Gruppe &lt;1 Jahr. Schätzungen konsistent mit ähnlich-wohlhabenden Ländern; Methodentransparenz ermöglicht Vergleiche trotz Datenlimitationen.</w:t>
      </w:r>
    </w:p>
    <w:p>
      <w:r>
        <w:rPr>
          <w:b/>
          <w:sz w:val="19"/>
        </w:rPr>
        <w:t xml:space="preserve">Übertragbarkeit: </w:t>
      </w:r>
      <w:r>
        <w:rPr>
          <w:sz w:val="19"/>
        </w:rPr>
        <w:t>Irland, administratives Datensystem ohne eindeutige ID vergleichbar mit Teilen deutscher Krankenhauslandschaft</w:t>
      </w:r>
    </w:p>
    <w:p>
      <w:r>
        <w:rPr>
          <w:color w:val="5A7D3A"/>
          <w:sz w:val="18"/>
        </w:rPr>
        <w:t>https://pubmed.ncbi.nlm.nih.gov/42509542/</w:t>
      </w:r>
    </w:p>
    <w:p>
      <w:pPr>
        <w:pStyle w:val="Heading2"/>
      </w:pPr>
      <w:r>
        <w:t>Sarcoidosis-Trajektorien: Chronische Erkrankung tritt bei 28,5 % auf, mit erhöhtem Infekt- und Depressionsrisiko</w:t>
      </w:r>
    </w:p>
    <w:p>
      <w:r>
        <w:rPr>
          <w:i/>
          <w:color w:val="666666"/>
          <w:sz w:val="18"/>
        </w:rPr>
        <w:t>Rossides M et al.  ·  Respir Res  ·  24.07.2026  ·  PMID 42498935</w:t>
      </w:r>
    </w:p>
    <w:p>
      <w:r>
        <w:t>Prospektive Kohortenstudie mit 9.665 Patienten, die neue Sarcoidose-Diagnosen zwischen 2006 und 2018 im schwedischen Register identifizierte und über fünf Jahre verfolgte; zwei längerfristige Verlaufsmuster wurden mittels statistischer Modellierung der Arztbesuche ermittelt.</w:t>
      </w:r>
    </w:p>
    <w:p>
      <w:r>
        <w:rPr>
          <w:b/>
        </w:rPr>
        <w:t xml:space="preserve">Ergebnis: </w:t>
      </w:r>
      <w:r>
        <w:t>71,5 % zeigten selbstlimitierten Verlauf mit Remission in zwei Jahren, 28,5 % chronischen Verlauf mit persistenten Besuchen; chronisches Sarcoidosis war assoziiert mit: eGFR Krankheit (Hoehn und Yahr ≥ 2 vs. 1), erhöhtem Infektrisiko, Herzinsuffizienz, Diabetes, Depression, Angststörung und früherem Tod. Immunosuppressive Therapie bei Diagnose erhöhte Chronizitätsrisiko um Faktor 2,18 (95%-KI 2,04–2,33).</w:t>
      </w:r>
    </w:p>
    <w:p>
      <w:r>
        <w:rPr>
          <w:b/>
          <w:sz w:val="19"/>
        </w:rPr>
        <w:t xml:space="preserve">Übertragbarkeit: </w:t>
      </w:r>
      <w:r>
        <w:rPr>
          <w:sz w:val="19"/>
        </w:rPr>
        <w:t>Schweden, nationale Patientenregister, vergleichbare Gesundheitssysteme</w:t>
      </w:r>
    </w:p>
    <w:p>
      <w:r>
        <w:rPr>
          <w:color w:val="5A7D3A"/>
          <w:sz w:val="18"/>
        </w:rPr>
        <w:t>https://pubmed.ncbi.nlm.nih.gov/42498935/</w:t>
      </w:r>
    </w:p>
    <w:p>
      <w:pPr>
        <w:pStyle w:val="Heading1"/>
      </w:pPr>
      <w:r>
        <w:t>Aufgenommen am 02.09.2026</w:t>
      </w:r>
    </w:p>
    <w:p>
      <w:pPr>
        <w:pStyle w:val="Heading2"/>
      </w:pPr>
      <w:r>
        <w:t>Albuminoxidation verzögert sich nach Nierentransplantation trotz Funktionsrestitution</w:t>
      </w:r>
    </w:p>
    <w:p>
      <w:r>
        <w:rPr>
          <w:i/>
          <w:color w:val="666666"/>
          <w:sz w:val="18"/>
        </w:rPr>
        <w:t>Berntsen LM et al.  ·  BMC Nephrol  ·  28.08.2026  ·  PMID 42665799</w:t>
      </w:r>
    </w:p>
    <w:p>
      <w:r>
        <w:t>Observationsstudie, die die Albumin-Redoxstatus (ARS) vor und nach Nierentransplantation (KTX) gemessen hat, um zu zeigen, ob die Verbesserung der Nierenfunktion die Oxidation verringert.</w:t>
      </w:r>
    </w:p>
    <w:p>
      <w:r>
        <w:rPr>
          <w:b/>
        </w:rPr>
        <w:t xml:space="preserve">Ergebnis: </w:t>
      </w:r>
      <w:r>
        <w:t>Vor KTX waren HMA-Werte reduziert (Median 63,5%), HNA-1 und HNA-2 erhöht. Eine Woche nach KTX verschlechterte sich HMA weiter (57,9%), HNA-2 stieg auf 9,2%. Trotz rascher Funktionserholung war die ARS-Normalisierung langsam und variabel; 180 Tage post-KTX zeigten 31 % der Patienten noch erhöhte Oxidationssignale, was nahelegt, dass Faktoren jenseits der Nierenfunktion die ARS beeinflussen.</w:t>
      </w:r>
    </w:p>
    <w:p>
      <w:r>
        <w:rPr>
          <w:b/>
          <w:sz w:val="19"/>
        </w:rPr>
        <w:t xml:space="preserve">Übertragbarkeit: </w:t>
      </w:r>
      <w:r>
        <w:rPr>
          <w:sz w:val="19"/>
        </w:rPr>
        <w:t>Deutschland/Österreich, vergleichbare Transplantationsverfahren und -strukturen</w:t>
      </w:r>
    </w:p>
    <w:p>
      <w:r>
        <w:rPr>
          <w:color w:val="5A7D3A"/>
          <w:sz w:val="18"/>
        </w:rPr>
        <w:t>https://pubmed.ncbi.nlm.nih.gov/42665799/</w:t>
      </w:r>
    </w:p>
    <w:p>
      <w:pPr>
        <w:pStyle w:val="Heading2"/>
      </w:pPr>
      <w:r>
        <w:t>Muskelzell-Veränderungen bei Long COVID/ME-CFS unterscheiden sich grundlegend von Bettlägerigkeit</w:t>
      </w:r>
    </w:p>
    <w:p>
      <w:r>
        <w:rPr>
          <w:i/>
          <w:color w:val="666666"/>
          <w:sz w:val="18"/>
        </w:rPr>
        <w:t>Charlton BT et al.  ·  Nat Commun  ·  28.07.2026  ·  PMID 42649155</w:t>
      </w:r>
    </w:p>
    <w:p>
      <w:r>
        <w:t>Vergleichende Myofaser-Analyse nach 60-Tage-Bettruhe bei Gesunden versus Long COVID/ME-CFS-Patienten, um zu zeigen, dass Inaktivität allein nicht die Muskeldefekte erklärt.</w:t>
      </w:r>
    </w:p>
    <w:p>
      <w:r>
        <w:rPr>
          <w:b/>
        </w:rPr>
        <w:t xml:space="preserve">Ergebnis: </w:t>
      </w:r>
      <w:r>
        <w:t>Gesunde zeigen nach Bettruhe Muskelatrophie ohne Fasetyp-Verschiebung; beide Patientengruppen haben mehr glykolytische Fasern und ME/CFS-Patienten zeigen zusätzliche Typ-I-spezifische Atrophie. Nur nach Bettruhe war oxidative Phosphorylierungskapazität mit VO₂max korreliert. Die Muskelmerkmale unterscheiden sich fundamental zwischen Patienten und Bettruhe-Kontrollen, was zeigt, dass Inaktivität nicht die metabolischen Abnormitäten erklärt.</w:t>
      </w:r>
    </w:p>
    <w:p>
      <w:r>
        <w:rPr>
          <w:b/>
          <w:sz w:val="19"/>
        </w:rPr>
        <w:t xml:space="preserve">Übertragbarkeit: </w:t>
      </w:r>
      <w:r>
        <w:rPr>
          <w:sz w:val="19"/>
        </w:rPr>
        <w:t>Niederlande, vergleichbare Versorgungsbedingungen für chronische Erkrankungen</w:t>
      </w:r>
    </w:p>
    <w:p>
      <w:r>
        <w:rPr>
          <w:color w:val="5A7D3A"/>
          <w:sz w:val="18"/>
        </w:rPr>
        <w:t>https://pubmed.ncbi.nlm.nih.gov/42649155/</w:t>
      </w:r>
    </w:p>
    <w:p>
      <w:pPr>
        <w:pStyle w:val="Heading2"/>
      </w:pPr>
      <w:r>
        <w:t>Qualitätsindikatoren für Mehrfacherkrankung in der Hausarztpraxis – Protokoll einer partizipativen Entwicklung</w:t>
      </w:r>
    </w:p>
    <w:p>
      <w:r>
        <w:rPr>
          <w:i/>
          <w:color w:val="666666"/>
          <w:sz w:val="18"/>
        </w:rPr>
        <w:t>Tavares S et al.  ·  JMIR Res Protoc  ·  07.08.2026  ·  PMID 42567680</w:t>
      </w:r>
    </w:p>
    <w:p>
      <w:r>
        <w:t>Protokoll einer modifizierten RAND/UCLA-Studie zur Co-Entwicklung von nicht-diagnose-spezifischen Qualitätsindikatoren für Patienten mit Mehrfacherkrankungen (MLTC) mit Patienten, Angehörigen und Fachpersonen in England.</w:t>
      </w:r>
    </w:p>
    <w:p>
      <w:r>
        <w:rPr>
          <w:b/>
        </w:rPr>
        <w:t xml:space="preserve">Ergebnis: </w:t>
      </w:r>
      <w:r>
        <w:t>10 Patienten/Angehörige und 12 Fachpersonen konsentierten bis Juli 2026; 54 Kandidaten-Indikatoren aus Scoping Review und qualitativen Interviews mit 21 Patienten generiert. RAMStudie mit drei Runden geplant (Completion Anfang 2027). Indikatoren in Struktur-Prozess-Ergebnis-Qualitätsrahmen gemappt. Patient und Public Involvement mit vier Community-Partnern laufend. Ziel: umsetzungsorientiertes, primär-versorgungsgerechtes Indikator-Set für Mehrfacherkrankungen.</w:t>
      </w:r>
    </w:p>
    <w:p>
      <w:r>
        <w:rPr>
          <w:b/>
          <w:sz w:val="19"/>
        </w:rPr>
        <w:t xml:space="preserve">Übertragbarkeit: </w:t>
      </w:r>
      <w:r>
        <w:rPr>
          <w:sz w:val="19"/>
        </w:rPr>
        <w:t>Großbritannien/NHS, vergleichbarer Versorgungsauftrag und Gate-Keeper-Modell</w:t>
      </w:r>
    </w:p>
    <w:p>
      <w:r>
        <w:rPr>
          <w:color w:val="5A7D3A"/>
          <w:sz w:val="18"/>
        </w:rPr>
        <w:t>https://pubmed.ncbi.nlm.nih.gov/42567680/</w:t>
      </w:r>
    </w:p>
    <w:p>
      <w:pPr>
        <w:pStyle w:val="Heading2"/>
      </w:pPr>
      <w:r>
        <w:t>Migranten-Jugendliche zeigen hohe Mehrfacherkrankung; unbegleitete haben 4-fach erhöhtes Trauma-Risiko</w:t>
      </w:r>
    </w:p>
    <w:p>
      <w:r>
        <w:rPr>
          <w:i/>
          <w:color w:val="666666"/>
          <w:sz w:val="18"/>
        </w:rPr>
        <w:t>Ngom L et al.  ·  J Adolesc Health  ·  04.08.2026  ·  PMID 42554533</w:t>
      </w:r>
    </w:p>
    <w:p>
      <w:r>
        <w:t>Observationskohort von 384 Migranten-Jugendlichen (10–17 J., Ankunft &lt;5 Jahre) in Marseille 2019–2024, die multimorbidität (CIRS) und psychisches Trauma-Risiko (Protect) misst.</w:t>
      </w:r>
    </w:p>
    <w:p>
      <w:r>
        <w:rPr>
          <w:b/>
        </w:rPr>
        <w:t xml:space="preserve">Ergebnis: </w:t>
      </w:r>
      <w:r>
        <w:t>Mittleres CIRS 3,98; 35,4 % hatten ≥3 Organ-System-Beeinträchtigungen. Häufigste: HNO/Zähne (48,7%), Muskel-Skelett (46,4%), psychische Störungen (25,3%). Multimorbidität assoziiert mit chronischer Vorgeschichte vor Migration (adj. OR 1,40; p&lt;0,0005) und während Migration (adj. OR 1,94; p=0,005). Trauma-Risiko erhöht bei unbegleiteten Jugendlichen (adj. OR 4,27; p&lt;0,05) und höherer physischer Morbidität (OR 1,18; p&lt;0,05). ED-Besuche sanken während und nach Versorgung im Unit. Vulnerable Population erfordert umfassenden Versorgungspfad.</w:t>
      </w:r>
    </w:p>
    <w:p>
      <w:r>
        <w:rPr>
          <w:b/>
          <w:sz w:val="19"/>
        </w:rPr>
        <w:t xml:space="preserve">Übertragbarkeit: </w:t>
      </w:r>
      <w:r>
        <w:rPr>
          <w:sz w:val="19"/>
        </w:rPr>
        <w:t>Frankreich, vergleichbare EU-Versorgungsstruktur; Übertragbarkeit hängt an kultursensibler Ausgestaltung</w:t>
      </w:r>
    </w:p>
    <w:p>
      <w:r>
        <w:rPr>
          <w:color w:val="5A7D3A"/>
          <w:sz w:val="18"/>
        </w:rPr>
        <w:t>https://pubmed.ncbi.nlm.nih.gov/42554533/</w:t>
      </w:r>
    </w:p>
    <w:p>
      <w:pPr>
        <w:pStyle w:val="Heading2"/>
      </w:pPr>
      <w:r>
        <w:t>Aktualisierte CIDP-Leitlinie (2021) zeigt höhere Spezifität, aber niedrigere Sensitivität</w:t>
      </w:r>
    </w:p>
    <w:p>
      <w:r>
        <w:rPr>
          <w:i/>
          <w:color w:val="666666"/>
          <w:sz w:val="18"/>
        </w:rPr>
        <w:t>van Doorn IN et al.  ·  Eur J Neurol  ·  Aug. 2026  ·  PMID 42549490</w:t>
      </w:r>
    </w:p>
    <w:p>
      <w:r>
        <w:t>Vergleich der diagnostischen Genauigkeit der 2010 EFNS/PNS und der 2021 EAN/PNS Richtlinien für CIDP anhand von 339 Patienten und 339 Kontrollen mit vermuteter chronischer Neuropathie.</w:t>
      </w:r>
    </w:p>
    <w:p>
      <w:r>
        <w:rPr>
          <w:b/>
        </w:rPr>
        <w:t xml:space="preserve">Ergebnis: </w:t>
      </w:r>
      <w:r>
        <w:t>Die 2010-Richtlinie erzielte 92 % Sensitivität und 67 % Spezifität (möglich CIDP) bzw. 91 % und 78 % (wahrscheinlich/definit). Die 2021-Richtlinie zeigte 94 % Sensitivität und 66 % Spezifität (möglich) bzw. 83 % und 86 % (CIDP). Unterschiede entstanden durch geänderte Sensory-Kriterien und Leitfähigkeits-Schwellwerte. Unilaterale NCS hätte 77 mögliche CIDP-Diagnosen übersehen.</w:t>
      </w:r>
    </w:p>
    <w:p>
      <w:r>
        <w:rPr>
          <w:b/>
          <w:sz w:val="19"/>
        </w:rPr>
        <w:t xml:space="preserve">Übertragbarkeit: </w:t>
      </w:r>
      <w:r>
        <w:rPr>
          <w:sz w:val="19"/>
        </w:rPr>
        <w:t>Niederlande, europäische Versorgungsstandards und Leitlinienimplement ierung</w:t>
      </w:r>
    </w:p>
    <w:p>
      <w:r>
        <w:rPr>
          <w:color w:val="5A7D3A"/>
          <w:sz w:val="18"/>
        </w:rPr>
        <w:t>https://pubmed.ncbi.nlm.nih.gov/42549490/</w:t>
      </w:r>
    </w:p>
    <w:p>
      <w:pPr>
        <w:pStyle w:val="Heading2"/>
      </w:pPr>
      <w:r>
        <w:t>HDV-Infektionen schwächen Lebensqualität und Fatigue mit Krankheitsprogress massiv</w:t>
      </w:r>
    </w:p>
    <w:p>
      <w:r>
        <w:rPr>
          <w:i/>
          <w:color w:val="666666"/>
          <w:sz w:val="18"/>
        </w:rPr>
        <w:t>Lampertico P et al.  ·  J Viral Hepat  ·  Sept. 2026  ·  PMID 42538645</w:t>
      </w:r>
    </w:p>
    <w:p>
      <w:r>
        <w:t>Internationale Real-World-Querschnittstudie (Deutschland, Italien, Spanien, USA) zu Lebensqualität (EQ-5D-3L, HepQoL v2) und Fatigue (FSS) in verschiedenen HDV-Erkrankungsstadien bei 211 Patienten.</w:t>
      </w:r>
    </w:p>
    <w:p>
      <w:r>
        <w:rPr>
          <w:b/>
        </w:rPr>
        <w:t xml:space="preserve">Ergebnis: </w:t>
      </w:r>
      <w:r>
        <w:t>EQ-5D-VAS-Scores sanken mit höherer Krankheitsschwere signifikant (p&lt;0,0001): von kompensiert zu dekompensiert zu HCC zeigte kontinuierliche Verschlechterung. Alle HepQoL-Domänen verschlechterten sich mit Progression (p≤0,0001). Mittlere FSS-Scores stiegen mit Krankheitsschwere (p&lt;0,0001). HDV belastet Patienten massiv, besonders in fortgeschrittenen Stadien; Therapien zur Krankheitsverzögerung sind dringend erforderlich.</w:t>
      </w:r>
    </w:p>
    <w:p>
      <w:r>
        <w:rPr>
          <w:b/>
          <w:sz w:val="19"/>
        </w:rPr>
        <w:t xml:space="preserve">Übertragbarkeit: </w:t>
      </w:r>
      <w:r>
        <w:rPr>
          <w:sz w:val="19"/>
        </w:rPr>
        <w:t>Deutschland/Italien/Spanien, vergleichbare Sozialversicherungssysteme und Versorgungsstrukturen</w:t>
      </w:r>
    </w:p>
    <w:p>
      <w:r>
        <w:rPr>
          <w:color w:val="5A7D3A"/>
          <w:sz w:val="18"/>
        </w:rPr>
        <w:t>https://pubmed.ncbi.nlm.nih.gov/42538645/</w:t>
      </w:r>
    </w:p>
    <w:p>
      <w:pPr>
        <w:pStyle w:val="Heading1"/>
      </w:pPr>
      <w:r>
        <w:t>Aufgenommen am 01.09.2026</w:t>
      </w:r>
    </w:p>
    <w:p>
      <w:pPr>
        <w:pStyle w:val="Heading2"/>
      </w:pPr>
      <w:r>
        <w:t>ICS/LAMA/LABA senkte kardiovaskuläre Ereignisse bei COPD um 52 % gegenüber LAMA/LABA</w:t>
      </w:r>
    </w:p>
    <w:p>
      <w:r>
        <w:rPr>
          <w:i/>
          <w:color w:val="666666"/>
          <w:sz w:val="18"/>
        </w:rPr>
        <w:t>Wang YQ et al.  ·  Int J Chron Obstruct Pulmon Dis  ·  26.08.2026  ·  PMID 42670477</w:t>
      </w:r>
    </w:p>
    <w:p>
      <w:r>
        <w:t>Retrospektive Kohortenstudie mit deutschen Krankenkassendaten untersuchte, ob Triple-Therapie (ICS/LAMA/LABA) gegenüber Doppel-Therapie (LAMA/LABA) bei COPD-Patienten major adverse cardiovascular events (MACEs) reduziert.</w:t>
      </w:r>
    </w:p>
    <w:p>
      <w:r>
        <w:rPr>
          <w:b/>
        </w:rPr>
        <w:t xml:space="preserve">Ergebnis: </w:t>
      </w:r>
      <w:r>
        <w:t>Über 20,5 Monate: 102 MACEs insgesamt (19,2 %); LAMA/LABA 22 % vs. ICS/LAMA/LABA 17 % (adjustierte HR 0,481; 95%-KI 0,302–0,766; p=0,002). Bei hohem kardiovaskulärem Risiko war die Risikoreduktion noch stärker (HR 0,435; p&lt;0,001). Das Ergebnis unterstreicht den kardioprotektiven Zusatzeffekt von ICS in der Erhaltungstherapie.</w:t>
      </w:r>
    </w:p>
    <w:p>
      <w:r>
        <w:rPr>
          <w:b/>
          <w:sz w:val="19"/>
        </w:rPr>
        <w:t xml:space="preserve">Übertragbarkeit: </w:t>
      </w:r>
      <w:r>
        <w:rPr>
          <w:sz w:val="19"/>
        </w:rPr>
        <w:t>Deutsche Routinedaten, Versicherungssystem und COPD-Patient:innen vergleichbar mit Gesundheitssystem</w:t>
      </w:r>
    </w:p>
    <w:p>
      <w:r>
        <w:rPr>
          <w:color w:val="5A7D3A"/>
          <w:sz w:val="18"/>
        </w:rPr>
        <w:t>https://pubmed.ncbi.nlm.nih.gov/42670477/</w:t>
      </w:r>
    </w:p>
    <w:p>
      <w:pPr>
        <w:pStyle w:val="Heading2"/>
      </w:pPr>
      <w:r>
        <w:t>GLP-1-Rezeptoragonisten senken kardiovaskuläre Ereignisse bei Dialysepatienten mit Herzinsuffizienz um 28 %</w:t>
      </w:r>
    </w:p>
    <w:p>
      <w:r>
        <w:rPr>
          <w:i/>
          <w:color w:val="666666"/>
          <w:sz w:val="18"/>
        </w:rPr>
        <w:t>Liu PY et al.  ·  Nat Commun  ·  30.07.2026  ·  PMID 42669711</w:t>
      </w:r>
    </w:p>
    <w:p>
      <w:r>
        <w:t>Emulierte Zielstudie mit US-amerikanischem elektronischem Gesundheitsaktenverbund (TriNetX) verglich GLP-1-Rezeptoragonisten (GLP-1RA) versus DPP-4-Inhibitoren (DPP-4i) bei dialysepflichtigen Diabetespatienten mit Herzinsuffizienz hinsichtlich ischämischer kardiovaskulärer Ereignisse und Herzinsuffizienzexazerbationen.</w:t>
      </w:r>
    </w:p>
    <w:p>
      <w:r>
        <w:rPr>
          <w:b/>
        </w:rPr>
        <w:t xml:space="preserve">Ergebnis: </w:t>
      </w:r>
      <w:r>
        <w:t>GLP-1RA vs. DPP-4i: Primärer kombinierter Outcome (ischämische Events + HF-Exazerbationen) 31,7 % vs. 41,4 % (HR 0,72; 95%-KI 0,64–0,82; p&lt;0,0001). Konsistente Reduktionen bei ischämischen Events (HR 0,74), HF-Exazerbationen (HR 0,76), Gesamtmortalität (HR 0,68). Ergebnis in Sensitivitätsanalysen und Subgruppen stabil.</w:t>
      </w:r>
    </w:p>
    <w:p>
      <w:r>
        <w:rPr>
          <w:b/>
          <w:sz w:val="19"/>
        </w:rPr>
        <w:t xml:space="preserve">Übertragbarkeit: </w:t>
      </w:r>
      <w:r>
        <w:rPr>
          <w:sz w:val="19"/>
        </w:rPr>
        <w:t>USA-Daten aus elektronischen Akten; Übertragbarkeit auf Deutschland begrenzt durch andere Versorgungsstrukturen</w:t>
      </w:r>
    </w:p>
    <w:p>
      <w:r>
        <w:rPr>
          <w:color w:val="5A7D3A"/>
          <w:sz w:val="18"/>
        </w:rPr>
        <w:t>https://pubmed.ncbi.nlm.nih.gov/42669711/</w:t>
      </w:r>
    </w:p>
    <w:p>
      <w:pPr>
        <w:pStyle w:val="Heading2"/>
      </w:pPr>
      <w:r>
        <w:t>FGF-23 als Prognosemarker für CKD-Progression und kardiovaskuläre Ereignisse validiert</w:t>
      </w:r>
    </w:p>
    <w:p>
      <w:r>
        <w:rPr>
          <w:i/>
          <w:color w:val="666666"/>
          <w:sz w:val="18"/>
        </w:rPr>
        <w:t>Hsu JW et al.  ·  PeerJ  ·  24.08.2026  ·  PMID 42668972</w:t>
      </w:r>
    </w:p>
    <w:p>
      <w:r>
        <w:t>Systematische Übersichtsarbeit und Metaanalyse von 12 prospektiven Kohortenstudien (21.042 Patienten mit CKD Stadium 1–5) untersuchte die Vorhersagekraft von Fibroblast-Growth-Factor-23 (FGF-23) für Nierenfunktionsverschlechterung, Nierenversagen, kardiovaskuläre Ereignisse und Sterblichkeit.</w:t>
      </w:r>
    </w:p>
    <w:p>
      <w:r>
        <w:rPr>
          <w:b/>
        </w:rPr>
        <w:t xml:space="preserve">Ergebnis: </w:t>
      </w:r>
      <w:r>
        <w:t>Erhöhte FGF-23-Spiegel assoziiert mit eGFR-Rückgang (Mittelwertdifferenz −17,83 mL/min/1,73m²). Bei leichter bis mittelschwerer CKD: Jede 10 RU/mL FGF-23-Steigerung erhöhte Nierenversagensrisiko um 1,7 % (HR 1,01; 95%-KI 1,01–1,02). Bei fortgeschrittener CKD (höchstes vs. niedrigstes Quartil): 2,32-fach erhöhtes Nierenversagensrisiko (95%-KI 1,80–2,98). Kardiovaskuläre Events (HR 1,72), Herzinsuffizienz (HR 2,14), Gesamtmortalität (HR 1,61) signifikant erhöht.</w:t>
      </w:r>
    </w:p>
    <w:p>
      <w:r>
        <w:rPr>
          <w:b/>
          <w:sz w:val="19"/>
        </w:rPr>
        <w:t xml:space="preserve">Übertragbarkeit: </w:t>
      </w:r>
      <w:r>
        <w:rPr>
          <w:sz w:val="19"/>
        </w:rPr>
        <w:t>Metaanalyse mit internationalen Studien; Biomarker-Stratifizierung ist international anwendbar</w:t>
      </w:r>
    </w:p>
    <w:p>
      <w:r>
        <w:rPr>
          <w:color w:val="5A7D3A"/>
          <w:sz w:val="18"/>
        </w:rPr>
        <w:t>https://pubmed.ncbi.nlm.nih.gov/42668972/</w:t>
      </w:r>
    </w:p>
    <w:p>
      <w:pPr>
        <w:pStyle w:val="Heading2"/>
      </w:pPr>
      <w:r>
        <w:t>Bessere Schlafqualität assoziiert mit 36 % weniger Müdigkeit bei Hämodialysepatienten</w:t>
      </w:r>
    </w:p>
    <w:p>
      <w:r>
        <w:rPr>
          <w:i/>
          <w:color w:val="666666"/>
          <w:sz w:val="18"/>
        </w:rPr>
        <w:t>Chen G et al.  ·  Sleep Breath  ·  29.08.2026  ·  PMID 42667469</w:t>
      </w:r>
    </w:p>
    <w:p>
      <w:r>
        <w:t>Querschnittstudie bei 249 Hämodialysepatienten in China untersuchte die Assoziation multidimensionaler Schlafgesundheit (RU_SATED 2.0) mit Müdigkeit (Fatigue Scale-14) unter Adjustierung für Alter, Lebensstil und laborchemische Marker.</w:t>
      </w:r>
    </w:p>
    <w:p>
      <w:r>
        <w:rPr>
          <w:b/>
        </w:rPr>
        <w:t xml:space="preserve">Ergebnis: </w:t>
      </w:r>
      <w:r>
        <w:t>Multidimensionale Schlafgesundheit signifikant assoziiert mit Gesamtmüdigkeit (B = −0,36; 95%-KI −0,50 bis −0,21; p&lt;0,001), körperliche Müdigkeit (B = −0,22; p&lt;0,001), mentale Müdigkeit (B = −0,13; p&lt;0,001). Altersmoderation signifikant (B = 0,02; p=0,017). Bessere Schlafgesundheit war mit niedrigeren Müdigkeitswerten assoziiert; älter Patienten zeigten schwächere Assoziationen.</w:t>
      </w:r>
    </w:p>
    <w:p>
      <w:r>
        <w:rPr>
          <w:b/>
          <w:sz w:val="19"/>
        </w:rPr>
        <w:t xml:space="preserve">Übertragbarkeit: </w:t>
      </w:r>
      <w:r>
        <w:rPr>
          <w:sz w:val="19"/>
        </w:rPr>
        <w:t>China-Daten; Schlaf-Müdigkeit-Assoziation dialysepflicht-spezifisch, international relevant für Patient:innen-zentierte Ergebnisse</w:t>
      </w:r>
    </w:p>
    <w:p>
      <w:r>
        <w:rPr>
          <w:color w:val="5A7D3A"/>
          <w:sz w:val="18"/>
        </w:rPr>
        <w:t>https://pubmed.ncbi.nlm.nih.gov/42667469/</w:t>
      </w:r>
    </w:p>
    <w:p>
      <w:pPr>
        <w:pStyle w:val="Heading2"/>
      </w:pPr>
      <w:r>
        <w:t>Pharmakogenetisches Tacrolimus-Dosierungsmanagement bei Nierenhochrisikopatienten im Spanienverfügbar (TRANSPGx-Studie)</w:t>
      </w:r>
    </w:p>
    <w:p>
      <w:r>
        <w:rPr>
          <w:i/>
          <w:color w:val="666666"/>
          <w:sz w:val="18"/>
        </w:rPr>
        <w:t>Seco-Meseguer E et al.  ·  BMJ Open  ·  03.08.2026  ·  PMID 42547238</w:t>
      </w:r>
    </w:p>
    <w:p>
      <w:r>
        <w:t>Multizentrisches, adaptives Phase-IV-Protokoll in Spanien prüft, ob präemptive Genotypisierung für Tacrolimus-Dosierung versus Standardversorgung bei Patienten mit chronischer Nierenerkrankung vor Nierentransplantation die Erreichung von Tacrolimus-Zielplasmakonzentrationen verbessert.</w:t>
      </w:r>
    </w:p>
    <w:p>
      <w:r>
        <w:rPr>
          <w:b/>
        </w:rPr>
        <w:t xml:space="preserve">Ergebnis: </w:t>
      </w:r>
      <w:r>
        <w:t>Laufendes RCT mit Zielgröße 114 Patienten; Primärer Endpunkt: Erreichen von Tacrolimus-Zielkonzentrationen nach Transplantation. Rekrutierung geplant über 12 Monate mit 6-monatiger Nachverfolgung. Studie ist ethisch genehmigt (La Paz 2024.740) und registriert (EU CT 2024-516596-32-00).</w:t>
      </w:r>
    </w:p>
    <w:p>
      <w:r>
        <w:rPr>
          <w:b/>
          <w:sz w:val="19"/>
        </w:rPr>
        <w:t xml:space="preserve">Übertragbarkeit: </w:t>
      </w:r>
      <w:r>
        <w:rPr>
          <w:sz w:val="19"/>
        </w:rPr>
        <w:t>Spanisches Gesundheitssystem, vergleichbar mit Deutschland in Koordination und sozialer Krankenversicherung</w:t>
      </w:r>
    </w:p>
    <w:p>
      <w:r>
        <w:rPr>
          <w:color w:val="5A7D3A"/>
          <w:sz w:val="18"/>
        </w:rPr>
        <w:t>https://pubmed.ncbi.nlm.nih.gov/42547238/</w:t>
      </w:r>
    </w:p>
    <w:p>
      <w:pPr>
        <w:pStyle w:val="Heading2"/>
      </w:pPr>
      <w:r>
        <w:t>ME/CFS zeigt geschlechtsspezifische Unterschiede in Immun- und Darmsymptomen, Menopause moduliert Immunantwort</w:t>
      </w:r>
    </w:p>
    <w:p>
      <w:r>
        <w:rPr>
          <w:i/>
          <w:color w:val="666666"/>
          <w:sz w:val="18"/>
        </w:rPr>
        <w:t>Habermann-Horstmeier L et al.  ·  J Transl Med  ·  27.07.2026  ·  PMID 42522006</w:t>
      </w:r>
    </w:p>
    <w:p>
      <w:r>
        <w:t>Querschnittsstudie mit 748 Erwachsenen (608 Frauen, 137 Männer) mit medizinischer ME/CFS-Diagnose untersuchte mittels Faktorenanalyse und Strukturgleichungsmodellierung die Latentstruktur von Immun- und Darmsymptomen nach Geschlecht und Menopausenstatus.</w:t>
      </w:r>
    </w:p>
    <w:p>
      <w:r>
        <w:rPr>
          <w:b/>
        </w:rPr>
        <w:t xml:space="preserve">Ergebnis: </w:t>
      </w:r>
      <w:r>
        <w:t>Frauen: Immun- und Darmsymptome bilden zwei distinkte aber korrelierte Cluster (tetrachorische ρ = 0,47–0,60), EFA unterstützt Zwei-Faktor-Lösung. Männer: Alle vier Symptome laden auf einen integrierten Gut/Immun-Faktor (ρ = 0,43–0,68; one-factor-Modell CFI = 0,981, RMSEA = 0,074). Frauen: Prämenopausale berichten häufiger Grippesymptome als postmenopausale (Unterschied signifikant); Darmsymptome und Lebensmittelintoleranzen bleiben stabil. Empfinden von Infektionsanfälligkeit dominantester Prädiktor.</w:t>
      </w:r>
    </w:p>
    <w:p>
      <w:r>
        <w:rPr>
          <w:b/>
          <w:sz w:val="19"/>
        </w:rPr>
        <w:t xml:space="preserve">Übertragbarkeit: </w:t>
      </w:r>
      <w:r>
        <w:rPr>
          <w:sz w:val="19"/>
        </w:rPr>
        <w:t>Deutsche und internationale Patient:innen; Geschlechtsabhängige Phänotypisierung relevant für ME/CFS-Management</w:t>
      </w:r>
    </w:p>
    <w:p>
      <w:r>
        <w:rPr>
          <w:color w:val="5A7D3A"/>
          <w:sz w:val="18"/>
        </w:rPr>
        <w:t>https://pubmed.ncbi.nlm.nih.gov/42522006/</w:t>
      </w:r>
    </w:p>
    <w:p>
      <w:pPr>
        <w:pStyle w:val="Heading1"/>
      </w:pPr>
      <w:r>
        <w:t>Aufgenommen am 31.08.2026</w:t>
      </w:r>
    </w:p>
    <w:p>
      <w:pPr>
        <w:pStyle w:val="Heading2"/>
      </w:pPr>
      <w:r>
        <w:t>Inhalationstechnik bei COPD: 96% der Patienten könnten DPIs nutzen</w:t>
      </w:r>
    </w:p>
    <w:p>
      <w:r>
        <w:rPr>
          <w:i/>
          <w:color w:val="666666"/>
          <w:sz w:val="18"/>
        </w:rPr>
        <w:t>Bravo Quiroga L et al.  ·  Int J Chron Obstruct Pulmon Dis  ·  25.08.2026  ·  PMID 42668822</w:t>
      </w:r>
    </w:p>
    <w:p>
      <w:r>
        <w:t>Querschnittstudie an 273 stabilen COPD-Patienten mit pMDI+Spacer in 70 spanischen Zentren zur Messung der Inspirationskraft und Eignung für Pulvertrockner.</w:t>
      </w:r>
    </w:p>
    <w:p>
      <w:r>
        <w:rPr>
          <w:b/>
        </w:rPr>
        <w:t xml:space="preserve">Ergebnis: </w:t>
      </w:r>
      <w:r>
        <w:t>96% erreichten PIF ≥30 L/min bei mittlerer-hoher Resistance, 61,9% ≥60 L/min. Unvollständige Exhalation hatte nur begrenzte Auswirkungen. Spacer-Verschreibung erfolgte selten auf Basis objektiver PIF-Messung.</w:t>
      </w:r>
    </w:p>
    <w:p>
      <w:r>
        <w:rPr>
          <w:b/>
          <w:sz w:val="19"/>
        </w:rPr>
        <w:t xml:space="preserve">Übertragbarkeit: </w:t>
      </w:r>
      <w:r>
        <w:rPr>
          <w:sz w:val="19"/>
        </w:rPr>
        <w:t>Spanien, vergleichbares Gesundheitssystem, direkt anwendbar für deutsche COPD-Versorgung.</w:t>
      </w:r>
    </w:p>
    <w:p>
      <w:r>
        <w:rPr>
          <w:color w:val="5A7D3A"/>
          <w:sz w:val="18"/>
        </w:rPr>
        <w:t>https://pubmed.ncbi.nlm.nih.gov/42668822/</w:t>
      </w:r>
    </w:p>
    <w:p>
      <w:pPr>
        <w:pStyle w:val="Heading2"/>
      </w:pPr>
      <w:r>
        <w:t>Soziales Kapital und Selbstwirksamkeit verbessern Lebensqualität älterer chronisch Kranker</w:t>
      </w:r>
    </w:p>
    <w:p>
      <w:r>
        <w:rPr>
          <w:i/>
          <w:color w:val="666666"/>
          <w:sz w:val="18"/>
        </w:rPr>
        <w:t>Wang Y et al.  ·  Front Public Health  ·  21.08.2026  ·  PMID 42666637</w:t>
      </w:r>
    </w:p>
    <w:p>
      <w:r>
        <w:t>Latente Profilanalyse an 425 ländlichen älteren Erwachsenen mit chronischen Erkrankungen (Ningxia, China) zu Effekt von Sozialkapital auf Lebensqualität via Selbstwirksamkeit.</w:t>
      </w:r>
    </w:p>
    <w:p>
      <w:r>
        <w:rPr>
          <w:b/>
        </w:rPr>
        <w:t xml:space="preserve">Ergebnis: </w:t>
      </w:r>
      <w:r>
        <w:t>Drei Profile: niedrig (29,9%), moderat (49,4%), hoch (20,7%). Lebensqualität und Selbstwirksamkeit unterschieden sich signifikant (p&lt;0,001). Indirekter Effekt via Selbstwirksamkeit nur im hohen Profil signifikant (21,2% des Gesamteffekts), nicht im moderaten.</w:t>
      </w:r>
    </w:p>
    <w:p>
      <w:r>
        <w:rPr>
          <w:b/>
          <w:sz w:val="19"/>
        </w:rPr>
        <w:t xml:space="preserve">Übertragbarkeit: </w:t>
      </w:r>
      <w:r>
        <w:rPr>
          <w:sz w:val="19"/>
        </w:rPr>
        <w:t>China, aber Mehrfacherkrankung und psycho-soziale Mechanismen generalisierbar auf deutsche vulnerable Populationen.</w:t>
      </w:r>
    </w:p>
    <w:p>
      <w:r>
        <w:rPr>
          <w:color w:val="5A7D3A"/>
          <w:sz w:val="18"/>
        </w:rPr>
        <w:t>https://pubmed.ncbi.nlm.nih.gov/42666637/</w:t>
      </w:r>
    </w:p>
    <w:p>
      <w:pPr>
        <w:pStyle w:val="Heading2"/>
      </w:pPr>
      <w:r>
        <w:t>Kombinierte Inflammations- und Adipositäts-Indizes zeigen erhöhtes Multimorbidität-Risiko</w:t>
      </w:r>
    </w:p>
    <w:p>
      <w:r>
        <w:rPr>
          <w:i/>
          <w:color w:val="666666"/>
          <w:sz w:val="18"/>
        </w:rPr>
        <w:t>Chen J et al.  ·  Cardiovasc Diabetol  ·  26.08.2026  ·  PMID 42665793</w:t>
      </w:r>
    </w:p>
    <w:p>
      <w:r>
        <w:t>Prospektive Kohorte (n=6534, China Health and Retirement Longitudinal Study) zu Assoziation von CTI-Adipositäts-Indizes mit kardiovaskulär-hepatischen-metabolischen Multimorbidität über 4 Jahre.</w:t>
      </w:r>
    </w:p>
    <w:p>
      <w:r>
        <w:rPr>
          <w:b/>
        </w:rPr>
        <w:t xml:space="preserve">Ergebnis: </w:t>
      </w:r>
      <w:r>
        <w:t>CTI-BMI zeigte stärkste Assoziation (OR 3,46 in Quartil 4, p&lt;0,001), aber nur modest Diskriminationsfähigkeit (AUC 0,638). Effekt modifiziert durch Geschlecht und Raucherstatus, keine signifikante Interaktion zwischen CTI und BMI.</w:t>
      </w:r>
    </w:p>
    <w:p>
      <w:r>
        <w:rPr>
          <w:b/>
          <w:sz w:val="19"/>
        </w:rPr>
        <w:t xml:space="preserve">Übertragbarkeit: </w:t>
      </w:r>
      <w:r>
        <w:rPr>
          <w:sz w:val="19"/>
        </w:rPr>
        <w:t>China, aber Multimorbidität-Fokus und Methodologie relevant für deutsches Versorgungssetting mit mehreren Erkrankungen.</w:t>
      </w:r>
    </w:p>
    <w:p>
      <w:r>
        <w:rPr>
          <w:color w:val="5A7D3A"/>
          <w:sz w:val="18"/>
        </w:rPr>
        <w:t>https://pubmed.ncbi.nlm.nih.gov/42665793/</w:t>
      </w:r>
    </w:p>
    <w:p>
      <w:pPr>
        <w:pStyle w:val="Heading2"/>
      </w:pPr>
      <w:r>
        <w:t>CKD-assoziierter Pruritus bei 60,3% der Dialysepatienten, wenig Behandlung</w:t>
      </w:r>
    </w:p>
    <w:p>
      <w:r>
        <w:rPr>
          <w:i/>
          <w:color w:val="666666"/>
          <w:sz w:val="18"/>
        </w:rPr>
        <w:t>Yao X et al.  ·  Ren Fail  ·  27.08.2026  ·  PMID 42661327</w:t>
      </w:r>
    </w:p>
    <w:p>
      <w:r>
        <w:t>Multizentrisches Cross-sectional-Screening an 9.589 chinesischen Dialysepatienten (Mai–Dezember 2022) zur Prävalenz und Risikofaktoren von CKD-Pruritus.</w:t>
      </w:r>
    </w:p>
    <w:p>
      <w:r>
        <w:rPr>
          <w:b/>
        </w:rPr>
        <w:t xml:space="preserve">Ergebnis: </w:t>
      </w:r>
      <w:r>
        <w:t>Pruritus-Prävalenz 60,3% (mild 44,4%, moderat 12,5%, schwer 3,3%), HD vs. PD ähnlich (59,9% vs. 61,8%). Nur 2,9% erhielten potenziell wirksame Therapie (Gabapentinoide 2,8%). Assoziierte Faktoren: Rauchen, diabetische Nephropathie, kardiovaskuläre Erkrankung, Dialysedauer, Eosinophile, Kalzium, Phosphor.</w:t>
      </w:r>
    </w:p>
    <w:p>
      <w:r>
        <w:rPr>
          <w:b/>
          <w:sz w:val="19"/>
        </w:rPr>
        <w:t xml:space="preserve">Übertragbarkeit: </w:t>
      </w:r>
      <w:r>
        <w:rPr>
          <w:sz w:val="19"/>
        </w:rPr>
        <w:t>China, aber großes Problem auch in Deutschland; Versorgungsqualität und Symptommanagement messbar.</w:t>
      </w:r>
    </w:p>
    <w:p>
      <w:r>
        <w:rPr>
          <w:color w:val="5A7D3A"/>
          <w:sz w:val="18"/>
        </w:rPr>
        <w:t>https://pubmed.ncbi.nlm.nih.gov/42661327/</w:t>
      </w:r>
    </w:p>
    <w:p>
      <w:pPr>
        <w:pStyle w:val="Heading2"/>
      </w:pPr>
      <w:r>
        <w:t>Rauchen vor Alter 24 verdoppelt COPD-Risiko und Multimorbidität</w:t>
      </w:r>
    </w:p>
    <w:p>
      <w:r>
        <w:rPr>
          <w:i/>
          <w:color w:val="666666"/>
          <w:sz w:val="18"/>
        </w:rPr>
        <w:t>Liu Z et al.  ·  J Glob Health  ·  28.08.2026  ·  PMID 42659031</w:t>
      </w:r>
    </w:p>
    <w:p>
      <w:r>
        <w:t>Analyse von 15.077 US-Teilnehmern und zwei UK Biobank-Kohorten (n=258.380) zu Effekt des Rauchbeginns während Alveolus-Reifung (≤24 Jahre) auf Cardiopulmonal-Erkrankung.</w:t>
      </w:r>
    </w:p>
    <w:p>
      <w:r>
        <w:rPr>
          <w:b/>
        </w:rPr>
        <w:t xml:space="preserve">Ergebnis: </w:t>
      </w:r>
      <w:r>
        <w:t>Frühe Raucher mit hohem Konsum: COPD HR 3,45 (95% KI 3,29–3,62) vs. spät Raucher 2,33 (1,91–2,83, p&lt;0,001). Multimorbidität-freie Wahrscheinlichkeit 0,55 vs. 0,65. Rauchentwöhnung zeigte stärkere relative Risikoreduktion bei frühen Rauchern.</w:t>
      </w:r>
    </w:p>
    <w:p>
      <w:r>
        <w:rPr>
          <w:b/>
          <w:sz w:val="19"/>
        </w:rPr>
        <w:t xml:space="preserve">Übertragbarkeit: </w:t>
      </w:r>
      <w:r>
        <w:rPr>
          <w:sz w:val="19"/>
        </w:rPr>
        <w:t>USA und UK, Präventions-fokussiert; Altersabhängigkeit relevant für deutsches Screening und Aufklärung.</w:t>
      </w:r>
    </w:p>
    <w:p>
      <w:r>
        <w:rPr>
          <w:color w:val="5A7D3A"/>
          <w:sz w:val="18"/>
        </w:rPr>
        <w:t>https://pubmed.ncbi.nlm.nih.gov/42659031/</w:t>
      </w:r>
    </w:p>
    <w:p>
      <w:pPr>
        <w:pStyle w:val="Heading2"/>
      </w:pPr>
      <w:r>
        <w:t>Neue Risikogene für Emphysem in Rauchern identifiziert</w:t>
      </w:r>
    </w:p>
    <w:p>
      <w:r>
        <w:rPr>
          <w:i/>
          <w:color w:val="666666"/>
          <w:sz w:val="18"/>
        </w:rPr>
        <w:t>Nyberg F et al.  ·  Respir Res  ·  08.08.2026  ·  PMID 42634071</w:t>
      </w:r>
    </w:p>
    <w:p>
      <w:r>
        <w:t>Genomweite Assoziationsstudie an 25.639 schwedischen Erwachsenen zur Identifikation genetischer Faktoren für Emphysem.</w:t>
      </w:r>
    </w:p>
    <w:p>
      <w:r>
        <w:rPr>
          <w:b/>
        </w:rPr>
        <w:t xml:space="preserve">Ergebnis: </w:t>
      </w:r>
      <w:r>
        <w:t>Bei Rauchern wurden drei unabhängige genetische Loci identifiziert (CHRNA5-A3-B4, DYSF, Chromosom 3), bei Nichtrauchern trotz großer Stichprobe keine Signale (niedriges Emphysemprävalenz 2,0% vs. 18,2% bei aktiven Rauchern).</w:t>
      </w:r>
    </w:p>
    <w:p>
      <w:r>
        <w:rPr>
          <w:b/>
          <w:sz w:val="19"/>
        </w:rPr>
        <w:t xml:space="preserve">Übertragbarkeit: </w:t>
      </w:r>
      <w:r>
        <w:rPr>
          <w:sz w:val="19"/>
        </w:rPr>
        <w:t>Schweden, populationsbasierte Studie, vergleichbar mit deutschem Versorgungskontext für Risikoidentifikation.</w:t>
      </w:r>
    </w:p>
    <w:p>
      <w:r>
        <w:rPr>
          <w:color w:val="5A7D3A"/>
          <w:sz w:val="18"/>
        </w:rPr>
        <w:t>https://pubmed.ncbi.nlm.nih.gov/42634071/</w:t>
      </w:r>
    </w:p>
    <w:p>
      <w:pPr>
        <w:pStyle w:val="Heading1"/>
      </w:pPr>
      <w:r>
        <w:t>Aufgenommen am 30.08.2026</w:t>
      </w:r>
    </w:p>
    <w:p>
      <w:pPr>
        <w:pStyle w:val="Heading2"/>
      </w:pPr>
      <w:r>
        <w:t>Eosinophil-gesteuerte COPD-Therapie: Guideline-Adherence fehlt bei 86% der Patienten</w:t>
      </w:r>
    </w:p>
    <w:p>
      <w:r>
        <w:rPr>
          <w:i/>
          <w:color w:val="666666"/>
          <w:sz w:val="18"/>
        </w:rPr>
        <w:t>Hester J et al.  ·  Lung  ·  29.08.2026  ·  PMID 42667442</w:t>
      </w:r>
    </w:p>
    <w:p>
      <w:r>
        <w:t>Retrospektive Kohortenstudie mit 688 COPD-Patienten in Cleveland-Kliniken evaluierte die Einhaltung GOLD-basierter Eosinophil-Kriterien für Inhalative Steroide (ICS) und klinische Ergebnisse.</w:t>
      </w:r>
    </w:p>
    <w:p>
      <w:r>
        <w:rPr>
          <w:b/>
        </w:rPr>
        <w:t xml:space="preserve">Ergebnis: </w:t>
      </w:r>
      <w:r>
        <w:t>589 von 688 Patienten (86%) erhielten ICS außerhalb von GOLD-Empfehlungen. Baseline-Eosinophil-Testing wurde nur in 15% durchgeführt. Pneumonie-Inzidenz war identisch (15% vs. 16%, p=0,686); ICS-Deeskalation erfolgte selten (7%) und gleichmäßig in beiden Gruppen. Exazerbation-Anamnese assoziiert mit guideline-konformer Verordnung.</w:t>
      </w:r>
    </w:p>
    <w:p>
      <w:r>
        <w:rPr>
          <w:b/>
          <w:sz w:val="19"/>
        </w:rPr>
        <w:t xml:space="preserve">Übertragbarkeit: </w:t>
      </w:r>
      <w:r>
        <w:rPr>
          <w:sz w:val="19"/>
        </w:rPr>
        <w:t>USA-basiert; Befund zur Guideline-Adherence ist übertragbar unabhängig vom Finanzierungssystem</w:t>
      </w:r>
    </w:p>
    <w:p>
      <w:r>
        <w:rPr>
          <w:color w:val="5A7D3A"/>
          <w:sz w:val="18"/>
        </w:rPr>
        <w:t>https://pubmed.ncbi.nlm.nih.gov/42667442/</w:t>
      </w:r>
    </w:p>
    <w:p>
      <w:pPr>
        <w:pStyle w:val="Heading2"/>
      </w:pPr>
      <w:r>
        <w:t>Triple-Therapie bei COPD: minimale Lebensqualitäts-Verbesserung, erhöhtes Pneumonie-Risiko</w:t>
      </w:r>
    </w:p>
    <w:p>
      <w:r>
        <w:rPr>
          <w:i/>
          <w:color w:val="666666"/>
          <w:sz w:val="18"/>
        </w:rPr>
        <w:t>Jiang J et al.  ·  Int J Chron Obstruct Pulmon Dis  ·  24.08.2026  ·  PMID 42666989</w:t>
      </w:r>
    </w:p>
    <w:p>
      <w:r>
        <w:t>Bayesian Network Meta-Analyse von 14 randomisierten Studien zu inhalativen Erhaltungstherapien und Auswirkungen auf St. George's Respiratory Questionnaire (SGRQ)-Scores bei stabiler COPD.</w:t>
      </w:r>
    </w:p>
    <w:p>
      <w:r>
        <w:rPr>
          <w:b/>
        </w:rPr>
        <w:t xml:space="preserve">Ergebnis: </w:t>
      </w:r>
      <w:r>
        <w:t>Triple-Therapie zeigte größte SGRQ-Verbesserung vs. Placebo (MD -3,99; 95% CrI -5,86 bis -2,16). Verglichen mit LABA+LAMA war triple Therapie marginal besser (MD -1,42; CrI -2,62 bis -0,16), unter minimaler klinisch bedeutsamer Differenz. Pneumonie-Risiko erhöht (OR 1,50; 95% CI 1,16-1,93). Andere aktive Regime unterschieden sich gering voneinander.</w:t>
      </w:r>
    </w:p>
    <w:p>
      <w:r>
        <w:rPr>
          <w:b/>
          <w:sz w:val="19"/>
        </w:rPr>
        <w:t xml:space="preserve">Übertragbarkeit: </w:t>
      </w:r>
      <w:r>
        <w:rPr>
          <w:sz w:val="19"/>
        </w:rPr>
        <w:t>Internationale RCT-Daten, Ergebnisse gelten für COPD-Management in Deutschland unabhängig vom System</w:t>
      </w:r>
    </w:p>
    <w:p>
      <w:r>
        <w:rPr>
          <w:color w:val="5A7D3A"/>
          <w:sz w:val="18"/>
        </w:rPr>
        <w:t>https://pubmed.ncbi.nlm.nih.gov/42666989/</w:t>
      </w:r>
    </w:p>
    <w:p>
      <w:pPr>
        <w:pStyle w:val="Heading2"/>
      </w:pPr>
      <w:r>
        <w:t>Geschlechts-Disparitäten in der Nierenkranken-Versorgung: Frauen unterdiagnostiziert und unterbehandelt</w:t>
      </w:r>
    </w:p>
    <w:p>
      <w:r>
        <w:rPr>
          <w:i/>
          <w:color w:val="666666"/>
          <w:sz w:val="18"/>
        </w:rPr>
        <w:t>Vidanapathirana M et al.  ·  BMC Nephrol  ·  19.08.2026  ·  PMID 42665802</w:t>
      </w:r>
    </w:p>
    <w:p>
      <w:r>
        <w:t>Systematische Übersichtsarbeit von 35 Studien (2000-Juli 2026) zu geschlechtsspezifischen Ungleichheiten im Versorgungszugang entlang der gesamten CKD-Betreuungskontinuum.</w:t>
      </w:r>
    </w:p>
    <w:p>
      <w:r>
        <w:rPr>
          <w:b/>
        </w:rPr>
        <w:t xml:space="preserve">Ergebnis: </w:t>
      </w:r>
      <w:r>
        <w:t>Frauen hatten niedrigere Chancen für CKD-Diagnose und Nephologie-Überweisung, weniger häufige Nierenfunktions-Kontrollen und niedrigere Verschreibungsraten guideline-empfohlener Medikamente. Unter Dialysepatienten: Frauen 38-41% Anteil mit späterem eGFR-Start (8,1-10,1 vs. 10,6 mL/min/1,73m²). Weniger Hämodialyse mit arteriovenöser Fistel; weniger Transplantationsreferral/-Evaluation/-Wartelisting. Systemische und sozioökonomische Mechanismen identifiziert.</w:t>
      </w:r>
    </w:p>
    <w:p>
      <w:r>
        <w:rPr>
          <w:b/>
          <w:sz w:val="19"/>
        </w:rPr>
        <w:t xml:space="preserve">Übertragbarkeit: </w:t>
      </w:r>
      <w:r>
        <w:rPr>
          <w:sz w:val="19"/>
        </w:rPr>
        <w:t>Globale Evidenz; Muster geschlechtsbasierter Ungleichheit ist kontextübergreifend relevant</w:t>
      </w:r>
    </w:p>
    <w:p>
      <w:r>
        <w:rPr>
          <w:color w:val="5A7D3A"/>
          <w:sz w:val="18"/>
        </w:rPr>
        <w:t>https://pubmed.ncbi.nlm.nih.gov/42665802/</w:t>
      </w:r>
    </w:p>
    <w:p>
      <w:pPr>
        <w:pStyle w:val="Heading2"/>
      </w:pPr>
      <w:r>
        <w:t>Hemodiafiltration versus Hemodialysis: Mortalität und Hospitalisierungsrisiko</w:t>
      </w:r>
    </w:p>
    <w:p>
      <w:r>
        <w:rPr>
          <w:i/>
          <w:color w:val="666666"/>
          <w:sz w:val="18"/>
        </w:rPr>
        <w:t>Roos S et al.  ·  BMC Nephrol  ·  28.08.2026  ·  PMID 42665796</w:t>
      </w:r>
    </w:p>
    <w:p>
      <w:r>
        <w:t>Zielgerichtete Studienprotokolle analysieren Routinedaten von über 1000 Dialysepatienten in Europa, um Unterschiede in Mortalität und Krankenhausaufenthalten zwischen Hemodiafiltration und konventionellem Hemodialysis zu untersuchen.</w:t>
      </w:r>
    </w:p>
    <w:p>
      <w:r>
        <w:rPr>
          <w:b/>
        </w:rPr>
        <w:t xml:space="preserve">Ergebnis: </w:t>
      </w:r>
      <w:r>
        <w:t>Geplante Erhebung mit Fokus auf Gesamtsterblichkeit und ursachenspezifische Hospitalisierungen; Hochvolumen-Hemodiafiltration (≥23 L Konvektionsvolumen) wird analysiert als primärer Vergleich. Randomisierte Studien zeigten bereits Mortalitätsvorteil; diese Realweltdaten sollen Generalisierbarkeit klären.</w:t>
      </w:r>
    </w:p>
    <w:p>
      <w:r>
        <w:rPr>
          <w:b/>
          <w:sz w:val="19"/>
        </w:rPr>
        <w:t xml:space="preserve">Übertragbarkeit: </w:t>
      </w:r>
      <w:r>
        <w:rPr>
          <w:sz w:val="19"/>
        </w:rPr>
        <w:t>Europäische Kohorte, deutsche Zentren beteiligt, vergleichbar mit deutschem Versorgungssystem</w:t>
      </w:r>
    </w:p>
    <w:p>
      <w:r>
        <w:rPr>
          <w:color w:val="5A7D3A"/>
          <w:sz w:val="18"/>
        </w:rPr>
        <w:t>https://pubmed.ncbi.nlm.nih.gov/42665796/</w:t>
      </w:r>
    </w:p>
    <w:p>
      <w:pPr>
        <w:pStyle w:val="Heading2"/>
      </w:pPr>
      <w:r>
        <w:t>Cardiometabolic Profile bei Diabetes und BMI: Adipositas erhöht Herzinsuffizienz und CKD-Risiko</w:t>
      </w:r>
    </w:p>
    <w:p>
      <w:r>
        <w:rPr>
          <w:i/>
          <w:color w:val="666666"/>
          <w:sz w:val="18"/>
        </w:rPr>
        <w:t>Ponzani P et al.  ·  Diabetes Res Clin Pract  ·  29.07.2026  ·  PMID 42526840</w:t>
      </w:r>
    </w:p>
    <w:p>
      <w:r>
        <w:t>Querschnittsanalyse von über 500.000 Patienten mit Typ-2-Diabetes aus 296 italienischen Diabeteszentren untersuchte Cardiometabolische Profile und Komplikationen über BMI-Kategorien.</w:t>
      </w:r>
    </w:p>
    <w:p>
      <w:r>
        <w:rPr>
          <w:b/>
        </w:rPr>
        <w:t xml:space="preserve">Ergebnis: </w:t>
      </w:r>
      <w:r>
        <w:t>Herzinsuffizienz-Prävalenzrate: PR 1,41 (p&lt;0,001) bei Adipositas vs. Normalgewicht; CKD: PR 1,13 (p&lt;0,001). Trotz ähnlicher HbA1c-Werte verschlechterten sich Risikofaktoren progressiv mit BMI. Adipöse Patienten waren jünger, mit kürzerer Diabetesdauer und niedrigeren Atherosklerose-Raten.</w:t>
      </w:r>
    </w:p>
    <w:p>
      <w:r>
        <w:rPr>
          <w:b/>
          <w:sz w:val="19"/>
        </w:rPr>
        <w:t xml:space="preserve">Übertragbarkeit: </w:t>
      </w:r>
      <w:r>
        <w:rPr>
          <w:sz w:val="19"/>
        </w:rPr>
        <w:t>Italienische Routinedaten vergleichbar mit deutschem ambulanten Diabetesmanagement in der Primärversorgung</w:t>
      </w:r>
    </w:p>
    <w:p>
      <w:r>
        <w:rPr>
          <w:color w:val="5A7D3A"/>
          <w:sz w:val="18"/>
        </w:rPr>
        <w:t>https://pubmed.ncbi.nlm.nih.gov/42526840/</w:t>
      </w:r>
    </w:p>
    <w:p>
      <w:pPr>
        <w:pStyle w:val="Heading2"/>
      </w:pPr>
      <w:r>
        <w:t>Inhalative Steroide bei COPD senken Lungenkrebsrisiko um 23-39% trotz Immortal-Time-Bias</w:t>
      </w:r>
    </w:p>
    <w:p>
      <w:r>
        <w:rPr>
          <w:i/>
          <w:color w:val="666666"/>
          <w:sz w:val="18"/>
        </w:rPr>
        <w:t>Santa B et al.  ·  Int J Chron Obstruct Pulmon Dis  ·  14.07.2026  ·  PMID 42518632</w:t>
      </w:r>
    </w:p>
    <w:p>
      <w:r>
        <w:t>Retrospektive Analyse von 96.686 bis 196.560 COPD-Patienten aus der ungarischen Nationalen Krankenversicherungsdatenbank (2009-2019) reproduzierte widersprechende frühere Studien zu ICS und Lungenkrebsinzidenz.</w:t>
      </w:r>
    </w:p>
    <w:p>
      <w:r>
        <w:rPr>
          <w:b/>
        </w:rPr>
        <w:t xml:space="preserve">Ergebnis: </w:t>
      </w:r>
      <w:r>
        <w:t>ICS-Nutzer &gt;1 Jahr: 26,2-60,8% der Population. Lungenkrebsfälle: 4.941-8.969 Fälle. Adjustierte Cox-Modelle zeigten konsistent protective effect: HR 0,77 (0,63-0,94) bzw. 0,61 (0,53-0,70). Trend trotz beider methodologischer Ansätze konsistent. Limitation: Rauchen nicht im Datensatz enthalten; höherer Asthma-Code-Anteil in ICS-Gruppe Cohort 2.</w:t>
      </w:r>
    </w:p>
    <w:p>
      <w:r>
        <w:rPr>
          <w:b/>
          <w:sz w:val="19"/>
        </w:rPr>
        <w:t xml:space="preserve">Übertragbarkeit: </w:t>
      </w:r>
      <w:r>
        <w:rPr>
          <w:sz w:val="19"/>
        </w:rPr>
        <w:t>Ungarische Routinedaten mit vergleichbarem Sozialversicherungssystem wie Deutschland</w:t>
      </w:r>
    </w:p>
    <w:p>
      <w:r>
        <w:rPr>
          <w:color w:val="5A7D3A"/>
          <w:sz w:val="18"/>
        </w:rPr>
        <w:t>https://pubmed.ncbi.nlm.nih.gov/42518632/</w:t>
      </w:r>
    </w:p>
    <w:p>
      <w:pPr>
        <w:pStyle w:val="Heading1"/>
      </w:pPr>
      <w:r>
        <w:t>Aufgenommen am 29.08.2026</w:t>
      </w:r>
    </w:p>
    <w:p>
      <w:pPr>
        <w:pStyle w:val="Heading2"/>
      </w:pPr>
      <w:r>
        <w:t>Rassen-freie Nierenfunktionsformel ändert Risikostratifizierung nicht</w:t>
      </w:r>
    </w:p>
    <w:p>
      <w:r>
        <w:rPr>
          <w:i/>
          <w:color w:val="666666"/>
          <w:sz w:val="18"/>
        </w:rPr>
        <w:t>Huisman BJMV et al.  ·  Glob Heart  ·  21.08.2026  ·  PMID 42631246</w:t>
      </w:r>
    </w:p>
    <w:p>
      <w:r>
        <w:t>HELIUS-Studie mit 21.617 Erwachsenen aus Amsterdam vergleicht alte (2009) und neue rassen-freie (2021) CKD-EPI-Formeln zur Nierenfunktion und kardiovaskulärem Risiko.</w:t>
      </w:r>
    </w:p>
    <w:p>
      <w:r>
        <w:rPr>
          <w:b/>
        </w:rPr>
        <w:t xml:space="preserve">Ergebnis: </w:t>
      </w:r>
      <w:r>
        <w:t>Die neue Formel zeigte bei Afrikanern leicht niedrigere eGFR-Werte, aber CKD-Klassifikation (κ=0,94-0,99) und kardiovaskuläre Risikostratifizierung waren nahezu identisch; Befund bestätigt klinische Austauschbarkeit.</w:t>
      </w:r>
    </w:p>
    <w:p>
      <w:r>
        <w:rPr>
          <w:b/>
          <w:sz w:val="19"/>
        </w:rPr>
        <w:t xml:space="preserve">Übertragbarkeit: </w:t>
      </w:r>
      <w:r>
        <w:rPr>
          <w:sz w:val="19"/>
        </w:rPr>
        <w:t>Niederlande, vergleichbares europäisches Sozialversicherungssystem</w:t>
      </w:r>
    </w:p>
    <w:p>
      <w:r>
        <w:rPr>
          <w:color w:val="5A7D3A"/>
          <w:sz w:val="18"/>
        </w:rPr>
        <w:t>https://pubmed.ncbi.nlm.nih.gov/42631246/</w:t>
      </w:r>
    </w:p>
    <w:p>
      <w:pPr>
        <w:pStyle w:val="Heading2"/>
      </w:pPr>
      <w:r>
        <w:t>Chronisches Pruritus bei Dialysepatienten: Häufigkeit und Belastung deutlich unterschätzt</w:t>
      </w:r>
    </w:p>
    <w:p>
      <w:r>
        <w:rPr>
          <w:i/>
          <w:color w:val="666666"/>
          <w:sz w:val="18"/>
        </w:rPr>
        <w:t>Downey C et al.  ·  J Ren Care  ·  Sept. 2026  ·  PMID 42554232</w:t>
      </w:r>
    </w:p>
    <w:p>
      <w:r>
        <w:t>Nationale Umfrage an 689 irischen Dialysepatienten zur Häufigkeit, Schweregrad und Erlebnis von dialyse-assoziiertem Juckreiz.</w:t>
      </w:r>
    </w:p>
    <w:p>
      <w:r>
        <w:rPr>
          <w:b/>
        </w:rPr>
        <w:t xml:space="preserve">Ergebnis: </w:t>
      </w:r>
      <w:r>
        <w:t>62% erlebten Pruritus, 66% davon moderat-schwer; Kopf/Gesicht am stärksten assoziiert mit Schweregrad (OR 2,08). Psychische Belastung erheblich: Schlafstörungen, Infektionsrisiko. Nur wenig Behandlung.</w:t>
      </w:r>
    </w:p>
    <w:p>
      <w:r>
        <w:rPr>
          <w:b/>
          <w:sz w:val="19"/>
        </w:rPr>
        <w:t xml:space="preserve">Übertragbarkeit: </w:t>
      </w:r>
      <w:r>
        <w:rPr>
          <w:sz w:val="19"/>
        </w:rPr>
        <w:t>Irland, NHS-Dialysezentren, europäische Strukturen</w:t>
      </w:r>
    </w:p>
    <w:p>
      <w:r>
        <w:rPr>
          <w:color w:val="5A7D3A"/>
          <w:sz w:val="18"/>
        </w:rPr>
        <w:t>https://pubmed.ncbi.nlm.nih.gov/42554232/</w:t>
      </w:r>
    </w:p>
    <w:p>
      <w:pPr>
        <w:pStyle w:val="Heading2"/>
      </w:pPr>
      <w:r>
        <w:t>Aminosäure-Dialysatlösungen verbessern Ernährungsstatus bei Peritonealdialyse</w:t>
      </w:r>
    </w:p>
    <w:p>
      <w:r>
        <w:rPr>
          <w:i/>
          <w:color w:val="666666"/>
          <w:sz w:val="18"/>
        </w:rPr>
        <w:t>Lindholm B et al.  ·  BMC Nephrol  ·  30.07.2026  ·  PMID 42538540</w:t>
      </w:r>
    </w:p>
    <w:p>
      <w:r>
        <w:t>Systematischer Review zu klinischen Studien mit 1,1%-Aminosäure-basierten Peritonealdialysatlösungen statt Glucose zur Reduktion der Glukoseexposition.</w:t>
      </w:r>
    </w:p>
    <w:p>
      <w:r>
        <w:rPr>
          <w:b/>
        </w:rPr>
        <w:t xml:space="preserve">Ergebnis: </w:t>
      </w:r>
      <w:r>
        <w:t>Aminosäure-Lösungen verbessern Serumalbumin und Stickstoffbilanz bei tolerabler Verträglichkeit; reduzieren Glukosebelastung. Langzeitdaten zu Technik-Überleben und Mortalität fehlen noch, aber Evidenz unterstützt gezielten Einsatz bei mangelernährten Hochrisikopatienten.</w:t>
      </w:r>
    </w:p>
    <w:p>
      <w:r>
        <w:rPr>
          <w:b/>
          <w:sz w:val="19"/>
        </w:rPr>
        <w:t xml:space="preserve">Übertragbarkeit: </w:t>
      </w:r>
      <w:r>
        <w:rPr>
          <w:sz w:val="19"/>
        </w:rPr>
        <w:t>Schweden, Europa, Peritonealdialyse-Standard</w:t>
      </w:r>
    </w:p>
    <w:p>
      <w:r>
        <w:rPr>
          <w:color w:val="5A7D3A"/>
          <w:sz w:val="18"/>
        </w:rPr>
        <w:t>https://pubmed.ncbi.nlm.nih.gov/42538540/</w:t>
      </w:r>
    </w:p>
    <w:p>
      <w:pPr>
        <w:pStyle w:val="Heading2"/>
      </w:pPr>
      <w:r>
        <w:t>Long COVID erhöht Risiko für neue chronische Erkrankungen deutlich</w:t>
      </w:r>
    </w:p>
    <w:p>
      <w:r>
        <w:rPr>
          <w:i/>
          <w:color w:val="666666"/>
          <w:sz w:val="18"/>
        </w:rPr>
        <w:t>Sõnajalg H et al.  ·  Front Public Health  ·  16.07.2026  ·  PMID 42534966</w:t>
      </w:r>
    </w:p>
    <w:p>
      <w:r>
        <w:t>Bevölkerungsbasierte estnische Kohorte (N=2.639 Long-COVID-Patienten, 199.171 Kontrollen) zur Assoziation zwischen Long COVID und Neuauftreten chronischer Erkrankungen.</w:t>
      </w:r>
    </w:p>
    <w:p>
      <w:r>
        <w:rPr>
          <w:b/>
        </w:rPr>
        <w:t xml:space="preserve">Ergebnis: </w:t>
      </w:r>
      <w:r>
        <w:t>Long COVID assoziiert mit erhöhtem Risiko für Asthma (OR 5,12), COPD (OR 4,08), Schlafapnoe (OR 3,05). Type-2-Diabetes-Inzidenz stieg nach März 2020 über erwartete Trends (p=1,84×10-80).</w:t>
      </w:r>
    </w:p>
    <w:p>
      <w:r>
        <w:rPr>
          <w:b/>
          <w:sz w:val="19"/>
        </w:rPr>
        <w:t xml:space="preserve">Übertragbarkeit: </w:t>
      </w:r>
      <w:r>
        <w:rPr>
          <w:sz w:val="19"/>
        </w:rPr>
        <w:t>Estland, nationale Gesundheitsdaten, europäisches System</w:t>
      </w:r>
    </w:p>
    <w:p>
      <w:r>
        <w:rPr>
          <w:color w:val="5A7D3A"/>
          <w:sz w:val="18"/>
        </w:rPr>
        <w:t>https://pubmed.ncbi.nlm.nih.gov/42534966/</w:t>
      </w:r>
    </w:p>
    <w:p>
      <w:pPr>
        <w:pStyle w:val="Heading2"/>
      </w:pPr>
      <w:r>
        <w:t>Endostatin zeigt Anämierisiko bei älteren Nierenpatienten an</w:t>
      </w:r>
    </w:p>
    <w:p>
      <w:r>
        <w:rPr>
          <w:i/>
          <w:color w:val="666666"/>
          <w:sz w:val="18"/>
        </w:rPr>
        <w:t>Corsonello A et al.  ·  J Transl Med  ·  24.07.2026  ·  PMID 42533353</w:t>
      </w:r>
    </w:p>
    <w:p>
      <w:r>
        <w:t>SCOPE-Studie (2.008 Erwachsene ≥75 Jahre) zur Assoziation zwischen zirkulierendem Endostatin und prävalenter/inzidenter Anämie bei CKD.</w:t>
      </w:r>
    </w:p>
    <w:p>
      <w:r>
        <w:rPr>
          <w:b/>
        </w:rPr>
        <w:t xml:space="preserve">Ergebnis: </w:t>
      </w:r>
      <w:r>
        <w:t>Höhere Endostatin-Level unabhängig assoziiert mit niedrigerem Hämoglobin (β -0,21) und prävalenter Anämie (OR 1,38). Bei Zwei-Jahres-Nachverfolgung: 11,4% Neuauftreten von Anämie, höhere Endostatin-Level erhöhten Risiko (sHR 1,40); Assoziation stärker bei CKD.</w:t>
      </w:r>
    </w:p>
    <w:p>
      <w:r>
        <w:rPr>
          <w:b/>
          <w:sz w:val="19"/>
        </w:rPr>
        <w:t xml:space="preserve">Übertragbarkeit: </w:t>
      </w:r>
      <w:r>
        <w:rPr>
          <w:sz w:val="19"/>
        </w:rPr>
        <w:t>Europäische Multizenterstudie (Schweden, Österreich, Niederlande, Spanien, Polen)</w:t>
      </w:r>
    </w:p>
    <w:p>
      <w:r>
        <w:rPr>
          <w:color w:val="5A7D3A"/>
          <w:sz w:val="18"/>
        </w:rPr>
        <w:t>https://pubmed.ncbi.nlm.nih.gov/42533353/</w:t>
      </w:r>
    </w:p>
    <w:p>
      <w:pPr>
        <w:pStyle w:val="Heading2"/>
      </w:pPr>
      <w:r>
        <w:t>Inhaled corticosteroids senken kardiovaskuläres Risiko bei COPD nicht</w:t>
      </w:r>
    </w:p>
    <w:p>
      <w:r>
        <w:rPr>
          <w:i/>
          <w:color w:val="666666"/>
          <w:sz w:val="18"/>
        </w:rPr>
        <w:t>Nielsen MRI et al.  ·  BMJ Open  ·  29.07.2026  ·  PMID 42526931</w:t>
      </w:r>
    </w:p>
    <w:p>
      <w:r>
        <w:t>Registerbasierte Kohortenstudie mit 82.327 COPD-Patienten in Dänemark zu kardiovaskulären Ereignissen unter ICS-Therapie in verschiedenen Dosen.</w:t>
      </w:r>
    </w:p>
    <w:p>
      <w:r>
        <w:rPr>
          <w:b/>
        </w:rPr>
        <w:t xml:space="preserve">Ergebnis: </w:t>
      </w:r>
      <w:r>
        <w:t>ICS waren bei keiner Dosis mit erhöhtem kardiovaskulärem Risiko assoziiert; moderate Dosen zeigten sogar modeste Risikoreduktion (HR 0,89, p&lt;0,05). Befund widerlegt Safety-Bedenken gegen ICS.</w:t>
      </w:r>
    </w:p>
    <w:p>
      <w:r>
        <w:rPr>
          <w:b/>
          <w:sz w:val="19"/>
        </w:rPr>
        <w:t xml:space="preserve">Übertragbarkeit: </w:t>
      </w:r>
      <w:r>
        <w:rPr>
          <w:sz w:val="19"/>
        </w:rPr>
        <w:t>Dänemark, nationale Registerdaten, vergleichbares Nordeuropa-System</w:t>
      </w:r>
    </w:p>
    <w:p>
      <w:r>
        <w:rPr>
          <w:color w:val="5A7D3A"/>
          <w:sz w:val="18"/>
        </w:rPr>
        <w:t>https://pubmed.ncbi.nlm.nih.gov/42526931/</w:t>
      </w:r>
    </w:p>
    <w:p>
      <w:pPr>
        <w:pStyle w:val="Heading1"/>
      </w:pPr>
      <w:r>
        <w:t>Aufgenommen am 28.08.2026</w:t>
      </w:r>
    </w:p>
    <w:p>
      <w:pPr>
        <w:pStyle w:val="Heading2"/>
      </w:pPr>
      <w:r>
        <w:t>Berufliche Expositionen und COPD-Neuerkrankungen: Exposom-Analyse in zwei europäischen Kohorten</w:t>
      </w:r>
    </w:p>
    <w:p>
      <w:r>
        <w:rPr>
          <w:i/>
          <w:color w:val="666666"/>
          <w:sz w:val="18"/>
        </w:rPr>
        <w:t>Kynde T et al.  ·  Ann Work Expo Health  ·  26.08.2026  ·  PMID 42658646</w:t>
      </w:r>
    </w:p>
    <w:p>
      <w:r>
        <w:t>Die Studie untersuchte in zwei europäischen Bevölkerungskohorten (ECRHS, CONSTANCES), welche beruflichen Expositionen mit Neuauftreten von COPD assoziiert sind – über Job-Expositions-Matrizen und moderne statistische Methoden (ExWAS, LASSO, Boruta Random Forest).</w:t>
      </w:r>
    </w:p>
    <w:p>
      <w:r>
        <w:rPr>
          <w:b/>
        </w:rPr>
        <w:t xml:space="preserve">Ergebnis: </w:t>
      </w:r>
      <w:r>
        <w:t>Wichtigste Risiko-Expositionen variieren zwischen Kohorten: In ECRHS waren Heben, Vorneigebewegungen, Gase/Dämpfe und Mineralstaub prädiktiv; in CONSTANCES Dieselabgase, kristallines Quarzmehl und Lösungsmittel. Beide Kohorten bestätigen bekannte chemische Gefahrstoffe und identifizieren neue Assoziationen zwischen ergonomischen/physischen Belastungen und COPD-Risiko.</w:t>
      </w:r>
    </w:p>
    <w:p>
      <w:r>
        <w:rPr>
          <w:b/>
          <w:sz w:val="19"/>
        </w:rPr>
        <w:t xml:space="preserve">Übertragbarkeit: </w:t>
      </w:r>
      <w:r>
        <w:rPr>
          <w:sz w:val="19"/>
        </w:rPr>
        <w:t>Europäische Kohorten mit strukturierter Expositionserfassung; Ergebnisse direkt auf deutsche Berufsgruppen übertragbar.</w:t>
      </w:r>
    </w:p>
    <w:p>
      <w:r>
        <w:rPr>
          <w:color w:val="5A7D3A"/>
          <w:sz w:val="18"/>
        </w:rPr>
        <w:t>https://pubmed.ncbi.nlm.nih.gov/42658646/</w:t>
      </w:r>
    </w:p>
    <w:p>
      <w:pPr>
        <w:pStyle w:val="Heading2"/>
      </w:pPr>
      <w:r>
        <w:t>Transdisziplinäres Rahmenwerk für chronische Erkrankung und chronischen Schmerz aus qualitativer Synthese</w:t>
      </w:r>
    </w:p>
    <w:p>
      <w:r>
        <w:rPr>
          <w:i/>
          <w:color w:val="666666"/>
          <w:sz w:val="18"/>
        </w:rPr>
        <w:t>Safavi-Abbasi S et al.  ·  Front Public Health  ·  12.08.2026  ·  PMID 42656526</w:t>
      </w:r>
    </w:p>
    <w:p>
      <w:r>
        <w:t>Systematische qualitative Metasynopse von 104 Primärstudien (2009–2025) zu Patientenerfahrungen chronischer Erkrankung und Schmerz; Integration von 52 weiteren Studien zu transdisziplinären Prinzipien zur Entwicklung eines klinisch anwendbaren Rahmenwerks.</w:t>
      </w:r>
    </w:p>
    <w:p>
      <w:r>
        <w:rPr>
          <w:b/>
        </w:rPr>
        <w:t xml:space="preserve">Ergebnis: </w:t>
      </w:r>
      <w:r>
        <w:t>Identifiziert sieben zentrale Erfahrungsdomänen (soziale Isolation, Identitätsverlust, körperliche Debilitation, emotionale Belastung, kognitive Überlastung, Unsicherheit, Kampf um Legitimität im System) und verknüpft sie mit fünf transdisziplinären Prinzipien (Kommunikation, Zusammenarbeit, Partizipation, Reflexivität, Systemdenken). Das Rahmenwerk strukturiert personenzentrierte Versorgung, interdisziplinäre Kooperation und koordiniertes Management.</w:t>
      </w:r>
    </w:p>
    <w:p>
      <w:r>
        <w:rPr>
          <w:b/>
          <w:sz w:val="19"/>
        </w:rPr>
        <w:t xml:space="preserve">Übertragbarkeit: </w:t>
      </w:r>
      <w:r>
        <w:rPr>
          <w:sz w:val="19"/>
        </w:rPr>
        <w:t>Qualitative Synthese aus international vergleichbaren Studien; Versorgungsansätze gelten über Grenzen hinweg.</w:t>
      </w:r>
    </w:p>
    <w:p>
      <w:r>
        <w:rPr>
          <w:color w:val="5A7D3A"/>
          <w:sz w:val="18"/>
        </w:rPr>
        <w:t>https://pubmed.ncbi.nlm.nih.gov/42656526/</w:t>
      </w:r>
    </w:p>
    <w:p>
      <w:pPr>
        <w:pStyle w:val="Heading2"/>
      </w:pPr>
      <w:r>
        <w:t>Ländliche Versorgung chronischer Erkrankungen: Von Gesundheitssystem zu gesellschaftlichen Determinanten</w:t>
      </w:r>
    </w:p>
    <w:p>
      <w:r>
        <w:rPr>
          <w:i/>
          <w:color w:val="666666"/>
          <w:sz w:val="18"/>
        </w:rPr>
        <w:t>Kuwayama T et al.  ·  Int J Environ Res Public Health  ·  27.07.2026  ·  PMID 42652287</w:t>
      </w:r>
    </w:p>
    <w:p>
      <w:r>
        <w:t>Scoping Review (23 Studien: 12 vor, 11 nach COVID-19) zu Themen ländlicher Versorgungsprobleme bei chronischen Krankheiten; thematischer Vergleich prä- und post-pandemisch.</w:t>
      </w:r>
    </w:p>
    <w:p>
      <w:r>
        <w:rPr>
          <w:b/>
        </w:rPr>
        <w:t xml:space="preserve">Ergebnis: </w:t>
      </w:r>
      <w:r>
        <w:t>Vor Pandemie dominierten Themen: niedrige Managementraten (Hypertonie, Diabetes), Arzneimittelversorgung, unzureichendes Fachpersonal (Thema: Gesundheitssystem). Nach Pandemie zusätzlich: psychische Gesundheit, Ernährung, Mehrfacherkrankung, sozioökonomische Disparitäten (Thema: Gesellschaft). Verschiebung zeigt: Pandemie hat Debatte von technischen auf ganzheitliche Determinanten ausgeweitet.</w:t>
      </w:r>
    </w:p>
    <w:p>
      <w:r>
        <w:rPr>
          <w:b/>
          <w:sz w:val="19"/>
        </w:rPr>
        <w:t xml:space="preserve">Übertragbarkeit: </w:t>
      </w:r>
      <w:r>
        <w:rPr>
          <w:sz w:val="19"/>
        </w:rPr>
        <w:t>Japan/Ländervergleich; Systematik der ländlichen Versorgungshürden auch für deutsche Flächenländer relevant.</w:t>
      </w:r>
    </w:p>
    <w:p>
      <w:r>
        <w:rPr>
          <w:color w:val="5A7D3A"/>
          <w:sz w:val="18"/>
        </w:rPr>
        <w:t>https://pubmed.ncbi.nlm.nih.gov/42652287/</w:t>
      </w:r>
    </w:p>
    <w:p>
      <w:pPr>
        <w:pStyle w:val="Heading2"/>
      </w:pPr>
      <w:r>
        <w:t>Funktionale Lungen-MRT zeigt Verbesserung der Hyperinflation nach Doppel-Bronchodilator bei COPD</w:t>
      </w:r>
    </w:p>
    <w:p>
      <w:r>
        <w:rPr>
          <w:i/>
          <w:color w:val="666666"/>
          <w:sz w:val="18"/>
        </w:rPr>
        <w:t>Müller RA et al.  ·  COPD  ·  12.08.2026  ·  PMID 42584170</w:t>
      </w:r>
    </w:p>
    <w:p>
      <w:r>
        <w:t>Randomisierte Crossover-Studie (n=29 COPD-Patienten) zur Wirkung einer Einzeldosis Doppel-Bronchodilator auf ventilationsdynamische Parameter mittels funktioneller Lungen-MRT während kontrollierter schneller Atmung (Metronom-gesteuert).</w:t>
      </w:r>
    </w:p>
    <w:p>
      <w:r>
        <w:rPr>
          <w:b/>
        </w:rPr>
        <w:t xml:space="preserve">Ergebnis: </w:t>
      </w:r>
      <w:r>
        <w:t>In Ruhe keine signifikanten FEV1-Verbesserungen; unter beschleunigter Atmung jedoch signifikante Reduktion der Funktionalen Residualkapazität (FRC: Kontrollgruppe −0,1 L vs. Interventionsgruppe −0,4 L, p&lt;0,05), verbesserte Ventilationshomogenität und Durchfluss-Volumen-Korrelation. Nach Mehrfach-Dosierung zeigten 5 von 6 Parametern Besserungen (alle p&lt;0,03).</w:t>
      </w:r>
    </w:p>
    <w:p>
      <w:r>
        <w:rPr>
          <w:b/>
          <w:sz w:val="19"/>
        </w:rPr>
        <w:t xml:space="preserve">Übertragbarkeit: </w:t>
      </w:r>
      <w:r>
        <w:rPr>
          <w:sz w:val="19"/>
        </w:rPr>
        <w:t>Deutsche Klinikdaten verfügbar; Methode für Monitoring strukturierter COPD-Programme geeignet.</w:t>
      </w:r>
    </w:p>
    <w:p>
      <w:r>
        <w:rPr>
          <w:color w:val="5A7D3A"/>
          <w:sz w:val="18"/>
        </w:rPr>
        <w:t>https://pubmed.ncbi.nlm.nih.gov/42584170/</w:t>
      </w:r>
    </w:p>
    <w:p>
      <w:pPr>
        <w:pStyle w:val="Heading2"/>
      </w:pPr>
      <w:r>
        <w:t>Nicht-Teilnahme an Hepatitis-B-Versorgung: Barrieren und Interventionen in UK-Sekundärversorgung</w:t>
      </w:r>
    </w:p>
    <w:p>
      <w:r>
        <w:rPr>
          <w:i/>
          <w:color w:val="666666"/>
          <w:sz w:val="18"/>
        </w:rPr>
        <w:t>Shiel EV et al.  ·  J Viral Hepat  ·  Sept. 2026  ·  PMID 42583956</w:t>
      </w:r>
    </w:p>
    <w:p>
      <w:r>
        <w:t>Scoping Review von 11 Studien zu Faktoren, die Nicht-Teilnahme an Sekundärversorgung-Terminen bei chronischer Hepatitis B in Großbritannien erklären, und identifizierten Strategien zur Verbesserung der Adhärenz.</w:t>
      </w:r>
    </w:p>
    <w:p>
      <w:r>
        <w:rPr>
          <w:b/>
        </w:rPr>
        <w:t xml:space="preserve">Ergebnis: </w:t>
      </w:r>
      <w:r>
        <w:t>Barrieren: patientenseitig (Gesundheitskompetenz, Stigma, konkurrierende Prioritäten), systemisch (Terminvergabe, Erreichbarkeit), psychologisch (Angst vor Diagnose, Nebenwirkungen); kulturelle und Sprachbarrieren. Wirksame Interventionen: Patienten-Edukation, kulturell angepasste Ansätze, Erinnerungssysteme (SMS, Telefon), integrierte Care-Modelle mit Community Outreach.</w:t>
      </w:r>
    </w:p>
    <w:p>
      <w:r>
        <w:rPr>
          <w:b/>
          <w:sz w:val="19"/>
        </w:rPr>
        <w:t xml:space="preserve">Übertragbarkeit: </w:t>
      </w:r>
      <w:r>
        <w:rPr>
          <w:sz w:val="19"/>
        </w:rPr>
        <w:t>Britisches Versorgungssystem mit vergleichbarem NHS-Zugang; Interventionsdesign auf deutsche Sprechstunden-Logistik adaptierbar.</w:t>
      </w:r>
    </w:p>
    <w:p>
      <w:r>
        <w:rPr>
          <w:color w:val="5A7D3A"/>
          <w:sz w:val="18"/>
        </w:rPr>
        <w:t>https://pubmed.ncbi.nlm.nih.gov/42583956/</w:t>
      </w:r>
    </w:p>
    <w:p>
      <w:pPr>
        <w:pStyle w:val="Heading2"/>
      </w:pPr>
      <w:r>
        <w:t>Vegetarische Ernährung reduziert CKD-Risiko: Prospektive UK-Biobank-Kohorte</w:t>
      </w:r>
    </w:p>
    <w:p>
      <w:r>
        <w:rPr>
          <w:i/>
          <w:color w:val="666666"/>
          <w:sz w:val="18"/>
        </w:rPr>
        <w:t>Candussi CJ et al.  ·  Sci Rep  ·  03.08.2026  ·  PMID 42547796</w:t>
      </w:r>
    </w:p>
    <w:p>
      <w:r>
        <w:t>Prospektive Kohortenstudie (n=416.584, Alter 40–69 Jahre) zur Assoziation fünf verschiedener Ernährungsmuster (hochfleischreich bis vegetarisch) mit chronischer Nierenerkrankung (CKD) über 12,9 Jahre Follow-up.</w:t>
      </w:r>
    </w:p>
    <w:p>
      <w:r>
        <w:rPr>
          <w:b/>
        </w:rPr>
        <w:t xml:space="preserve">Ergebnis: </w:t>
      </w:r>
      <w:r>
        <w:t>Bei 23.084 CKD-Neuerkrankungen zeigte sich: Vegetarier hatten das niedrigste Risiko im Vergleich zu hochfleischessern (HR=0,81, 95%-KI 0,71–0,93). Risikoreduktion war statistisch signifikant und konsistent über verschiedene Analysen; die Effektstärke ist klinisch bedeutsam für Prävention.</w:t>
      </w:r>
    </w:p>
    <w:p>
      <w:r>
        <w:rPr>
          <w:b/>
          <w:sz w:val="19"/>
        </w:rPr>
        <w:t xml:space="preserve">Übertragbarkeit: </w:t>
      </w:r>
      <w:r>
        <w:rPr>
          <w:sz w:val="19"/>
        </w:rPr>
        <w:t>UK-Biobank mit vergleichbarer Dokumentation; Präventionsempfehlung auf Deutschland übertragbar.</w:t>
      </w:r>
    </w:p>
    <w:p>
      <w:r>
        <w:rPr>
          <w:color w:val="5A7D3A"/>
          <w:sz w:val="18"/>
        </w:rPr>
        <w:t>https://pubmed.ncbi.nlm.nih.gov/42547796/</w:t>
      </w:r>
    </w:p>
    <w:p>
      <w:pPr>
        <w:pStyle w:val="Heading1"/>
      </w:pPr>
      <w:r>
        <w:t>Aufgenommen am 27.08.2026</w:t>
      </w:r>
    </w:p>
    <w:p>
      <w:pPr>
        <w:pStyle w:val="Heading2"/>
      </w:pPr>
      <w:r>
        <w:t>Mehrfacherkrankung und Krankenhausaufenthalt bei Herzinsuffizienz in Indonesien</w:t>
      </w:r>
    </w:p>
    <w:p>
      <w:r>
        <w:rPr>
          <w:i/>
          <w:color w:val="666666"/>
          <w:sz w:val="18"/>
        </w:rPr>
        <w:t>Yolanda G et al.  ·  Open Heart  ·  26.08.2026  ·  PMID 42648742</w:t>
      </w:r>
    </w:p>
    <w:p>
      <w:r>
        <w:t>Bevölkerungsbasierte retrospektive Kohorte von 9.018 Patienten (12.461 Aufenthalte) mit Herzinsuffizienz aus indonesischer Krankenversicherung zu Einfluss von Mehrfacherkrankung auf Liegedauer und Wiederaufnahme.</w:t>
      </w:r>
    </w:p>
    <w:p>
      <w:r>
        <w:rPr>
          <w:b/>
        </w:rPr>
        <w:t xml:space="preserve">Ergebnis: </w:t>
      </w:r>
      <w:r>
        <w:t>Mehrfacherkrankung in 72,4%, jede zusätzliche Komorbidität assoziiert mit: längerer Liegedauer (+0,13 Tage), höherer 30-Tage-Wiederaufnahmequote (OR 1,22) und höherer 90-Tage-Wiederaufnahme (OR 1,27). Spezifische Muster: Anämie stärkste Assoziation mit Liegedauer, ischämische Herzerkrankung, CKD, COPD und Klappenvitium mit Wiederaufnahme.</w:t>
      </w:r>
    </w:p>
    <w:p>
      <w:r>
        <w:rPr>
          <w:b/>
          <w:sz w:val="19"/>
        </w:rPr>
        <w:t xml:space="preserve">Übertragbarkeit: </w:t>
      </w:r>
      <w:r>
        <w:rPr>
          <w:sz w:val="19"/>
        </w:rPr>
        <w:t>Indonesien mit universeller Krankenversicherung, begrenzte Ressourcen, Mehrfacherkrankungslast auch in deutschem System relevant.</w:t>
      </w:r>
    </w:p>
    <w:p>
      <w:r>
        <w:rPr>
          <w:color w:val="5A7D3A"/>
          <w:sz w:val="18"/>
        </w:rPr>
        <w:t>https://pubmed.ncbi.nlm.nih.gov/42648742/</w:t>
      </w:r>
    </w:p>
    <w:p>
      <w:pPr>
        <w:pStyle w:val="Heading2"/>
      </w:pPr>
      <w:r>
        <w:t>Ungleiche Versorgung nach Transplantatversagen: Ethnizität und Deprivation beeinflussen Retransplantation</w:t>
      </w:r>
    </w:p>
    <w:p>
      <w:r>
        <w:rPr>
          <w:i/>
          <w:color w:val="666666"/>
          <w:sz w:val="18"/>
        </w:rPr>
        <w:t>Westaway S et al.  ·  PLoS One  ·  26.08.2026  ·  PMID 42647538</w:t>
      </w:r>
    </w:p>
    <w:p>
      <w:r>
        <w:t>Analyse von 5.447 Patienten mit Transplantatversagen in Großbritannien zum Zusammenhang von Patientenmerkmalen mit Versorgungsergebnissen (Retransplantation, Dialyseverfahren, Mortalität).</w:t>
      </w:r>
    </w:p>
    <w:p>
      <w:r>
        <w:rPr>
          <w:b/>
        </w:rPr>
        <w:t xml:space="preserve">Ergebnis: </w:t>
      </w:r>
      <w:r>
        <w:t>Schwarze und asiatische Patienten erhielten deutlich seltener Retransplantationen (RRR 0,41 bzw. 0,57), ebenso Personen in deprivierteren Gegenden (RRR 0,78 pro Deprivationsquintil). Männer wurden häufiger retransplantiert und an Hämodialyse angeschlossen. Diese Ungleichheiten sind versorgungsrelevant und beeinflussen das Überleben.</w:t>
      </w:r>
    </w:p>
    <w:p>
      <w:r>
        <w:rPr>
          <w:b/>
          <w:sz w:val="19"/>
        </w:rPr>
        <w:t xml:space="preserve">Übertragbarkeit: </w:t>
      </w:r>
      <w:r>
        <w:rPr>
          <w:sz w:val="19"/>
        </w:rPr>
        <w:t>Britisches Gesundheitssystem mit elektronischen Registerdaten, teilweise vergleichbar mit deutschem Organtransplantationssystem.</w:t>
      </w:r>
    </w:p>
    <w:p>
      <w:r>
        <w:rPr>
          <w:color w:val="5A7D3A"/>
          <w:sz w:val="18"/>
        </w:rPr>
        <w:t>https://pubmed.ncbi.nlm.nih.gov/42647538/</w:t>
      </w:r>
    </w:p>
    <w:p>
      <w:pPr>
        <w:pStyle w:val="Heading2"/>
      </w:pPr>
      <w:r>
        <w:t>Kompetenzen für personenzentrierte Versorgung bei Mehrfacherkrankung: Fokusgruppen mit Patienten und Fachkräften</w:t>
      </w:r>
    </w:p>
    <w:p>
      <w:r>
        <w:rPr>
          <w:i/>
          <w:color w:val="666666"/>
          <w:sz w:val="18"/>
        </w:rPr>
        <w:t>Michielsen LJ et al.  ·  Eur J Gen Pract  ·  26.08.2026  ·  PMID 42647104</w:t>
      </w:r>
    </w:p>
    <w:p>
      <w:r>
        <w:t>Qualitative Fokusgruppenstudie mit 14 Hausarztfachkräften und 10 Patienten mit chronischen Erkrankungen zu essentiellen Kompetenzen für personenzentrierte integrierte Versorgung.</w:t>
      </w:r>
    </w:p>
    <w:p>
      <w:r>
        <w:rPr>
          <w:b/>
        </w:rPr>
        <w:t xml:space="preserve">Ergebnis: </w:t>
      </w:r>
      <w:r>
        <w:t>Fachkräfte benannten: personenzentrierte Einstellung, Kommunikationsfähigkeiten, Interprofessionelles Zusammenarbeiten. Patienten werteten zusätzlich Kontinuität und designierten Ansprechpartner. Fachkräfte nannten Schulung, Reflektionszirkel und Fallbesprechungen als nötig. Kernaussage: Erfolgreiche Versorgung erfordert neben individuellen Kompetenzen Organisationsbedingungen für koordinierte, kontinuierliche Pflege.</w:t>
      </w:r>
    </w:p>
    <w:p>
      <w:r>
        <w:rPr>
          <w:b/>
          <w:sz w:val="19"/>
        </w:rPr>
        <w:t xml:space="preserve">Übertragbarkeit: </w:t>
      </w:r>
      <w:r>
        <w:rPr>
          <w:sz w:val="19"/>
        </w:rPr>
        <w:t>Niederlande, vergleichbare Primärversorgungsstrukturen und DMPs wie Deutschland.</w:t>
      </w:r>
    </w:p>
    <w:p>
      <w:r>
        <w:rPr>
          <w:color w:val="5A7D3A"/>
          <w:sz w:val="18"/>
        </w:rPr>
        <w:t>https://pubmed.ncbi.nlm.nih.gov/42647104/</w:t>
      </w:r>
    </w:p>
    <w:p>
      <w:pPr>
        <w:pStyle w:val="Heading2"/>
      </w:pPr>
      <w:r>
        <w:t>Soziale Risikofaktoren verbessern Vorhersage von kardiometabolischer Mehrfacherkrankung</w:t>
      </w:r>
    </w:p>
    <w:p>
      <w:r>
        <w:rPr>
          <w:i/>
          <w:color w:val="666666"/>
          <w:sz w:val="18"/>
        </w:rPr>
        <w:t>Anindya K et al.  ·  Sci Rep  ·  25.08.2026  ·  PMID 42642546</w:t>
      </w:r>
    </w:p>
    <w:p>
      <w:r>
        <w:t>Entwicklung eines Bayesianischen Vorhersagemodells für kardiometabolische Mehrfacherkrankung unter Einbeziehung sozialer Determinanten in 11.964 schwedischen Erwachsenen ohne Vorerkrankungen.</w:t>
      </w:r>
    </w:p>
    <w:p>
      <w:r>
        <w:rPr>
          <w:b/>
        </w:rPr>
        <w:t xml:space="preserve">Ergebnis: </w:t>
      </w:r>
      <w:r>
        <w:t>Während die Vorhersage für mindestens eine kardiometabolische Erkrankung fair war (AUC 0,76), zeigte sich für Mehrfacherkrankung (≥2 Erkrankungen) gute Diskriminanz (AUC 0,89). Höchste Risiken bei älteren Migranten mit Hypertonie und niedriger HDL (34,7% für beliebige Erkrankung, 4,4% für Mehrfacherkrankung).</w:t>
      </w:r>
    </w:p>
    <w:p>
      <w:r>
        <w:rPr>
          <w:b/>
          <w:sz w:val="19"/>
        </w:rPr>
        <w:t xml:space="preserve">Übertragbarkeit: </w:t>
      </w:r>
      <w:r>
        <w:rPr>
          <w:sz w:val="19"/>
        </w:rPr>
        <w:t>Schweden, vergleichbare Sozialversicherung und Präventionsstrukturen wie Deutschland.</w:t>
      </w:r>
    </w:p>
    <w:p>
      <w:r>
        <w:rPr>
          <w:color w:val="5A7D3A"/>
          <w:sz w:val="18"/>
        </w:rPr>
        <w:t>https://pubmed.ncbi.nlm.nih.gov/42642546/</w:t>
      </w:r>
    </w:p>
    <w:p>
      <w:pPr>
        <w:pStyle w:val="Heading2"/>
      </w:pPr>
      <w:r>
        <w:t>Schluckstörungen bei COPD – zwei Jahre Stabilität und Symptombelastung</w:t>
      </w:r>
    </w:p>
    <w:p>
      <w:r>
        <w:rPr>
          <w:i/>
          <w:color w:val="666666"/>
          <w:sz w:val="18"/>
        </w:rPr>
        <w:t>Gonzalez Lindh M et al.  ·  COPD  ·  28.07.2026  ·  PMID 42557931</w:t>
      </w:r>
    </w:p>
    <w:p>
      <w:r>
        <w:t>Prospektive Kohortenstudie mit 438 COPD-Patienten zu Stabilitätsmuster selbstberichteter Schluckstörungen über zwei Jahre und Assoziationen mit klinischen Ergebnissen.</w:t>
      </w:r>
    </w:p>
    <w:p>
      <w:r>
        <w:rPr>
          <w:b/>
        </w:rPr>
        <w:t xml:space="preserve">Ergebnis: </w:t>
      </w:r>
      <w:r>
        <w:t>Schluckstörungsprävalenz blieb stabil (32% auf 33%), vier Verlaufsmuster identifiziert: keine (59%), neu aufgetreten (8%), remittiert (8%), persistent (25%). Persistente Schluckstörung assoziiert mit höherer Dyspnoe, schlechterer körperlicher Leistung und häufigeren Exazerbationen. CAT-Wert ≥10 unabhängig mit Schluckstörung verbunden.</w:t>
      </w:r>
    </w:p>
    <w:p>
      <w:r>
        <w:rPr>
          <w:b/>
          <w:sz w:val="19"/>
        </w:rPr>
        <w:t xml:space="preserve">Übertragbarkeit: </w:t>
      </w:r>
      <w:r>
        <w:rPr>
          <w:sz w:val="19"/>
        </w:rPr>
        <w:t>Schweden, vergleichbare Primärversorgungsstrukturen, Screening in COPD-Routinefolge übertragbar.</w:t>
      </w:r>
    </w:p>
    <w:p>
      <w:r>
        <w:rPr>
          <w:color w:val="5A7D3A"/>
          <w:sz w:val="18"/>
        </w:rPr>
        <w:t>https://pubmed.ncbi.nlm.nih.gov/42557931/</w:t>
      </w:r>
    </w:p>
    <w:p>
      <w:pPr>
        <w:pStyle w:val="Heading2"/>
      </w:pPr>
      <w:r>
        <w:t>Hyperkaliämie-Management: Ärzte bevorzugen RAASi-Erhalt trotz Barrieren</w:t>
      </w:r>
    </w:p>
    <w:p>
      <w:r>
        <w:rPr>
          <w:i/>
          <w:color w:val="666666"/>
          <w:sz w:val="18"/>
        </w:rPr>
        <w:t>Gimenez-Stamminger N et al.  ·  PLoS One  ·  30.07.2026  ·  PMID 42531230</w:t>
      </w:r>
    </w:p>
    <w:p>
      <w:r>
        <w:t>Qualitative Studie mit 12 spanischen Nephrologen zu Strategien der Hyperkaliämie-Behandlung unter Beibehaltung von Renin-Angiotensin-Aldosteron-Inhibitor-Therapie bei CKD-Stadien 3-5.</w:t>
      </w:r>
    </w:p>
    <w:p>
      <w:r>
        <w:rPr>
          <w:b/>
        </w:rPr>
        <w:t xml:space="preserve">Ergebnis: </w:t>
      </w:r>
      <w:r>
        <w:t>Fünf Themen identifiziert: (1) strukturierter Behandlungsalgorithmus für RAASi-Erhalt, (2) neue Kaliumbinder (Patiromer, Natriumzirkonium-Zykliosilikat) als effektiv und besser verträglich, (3) Systembarrieren (Visado-Anforderungen, regionale Formularvarianz) limitieren Zugang, (4) Patientenengagement durch Kommunikation und Pflege-Edukation fördert Adhärenz, (5) Lebensqualität wird selten formal erfasst. Kernempfehlung: Vereinfachte Zugangsswege und verbesserte Multidisziplinarität nötig.</w:t>
      </w:r>
    </w:p>
    <w:p>
      <w:r>
        <w:rPr>
          <w:b/>
          <w:sz w:val="19"/>
        </w:rPr>
        <w:t xml:space="preserve">Übertragbarkeit: </w:t>
      </w:r>
      <w:r>
        <w:rPr>
          <w:sz w:val="19"/>
        </w:rPr>
        <w:t>Spanien, vergleichbares öffentliches Gesundheitssystem, direkt übertragbar für deutsches CKD-Management.</w:t>
      </w:r>
    </w:p>
    <w:p>
      <w:r>
        <w:rPr>
          <w:color w:val="5A7D3A"/>
          <w:sz w:val="18"/>
        </w:rPr>
        <w:t>https://pubmed.ncbi.nlm.nih.gov/42531230/</w:t>
      </w:r>
    </w:p>
    <w:p>
      <w:pPr>
        <w:pStyle w:val="Heading1"/>
      </w:pPr>
      <w:r>
        <w:t>Aufgenommen am 26.08.2026</w:t>
      </w:r>
    </w:p>
    <w:p>
      <w:pPr>
        <w:pStyle w:val="Heading2"/>
      </w:pPr>
      <w:r>
        <w:t>Geschlechtsspezifische Trajectories bei Typ-2-Diabetes: Psychische Erkrankungen bei Frauen häufiger</w:t>
      </w:r>
    </w:p>
    <w:p>
      <w:r>
        <w:rPr>
          <w:i/>
          <w:color w:val="666666"/>
          <w:sz w:val="18"/>
        </w:rPr>
        <w:t>Eto F et al.  ·  PLoS Med  ·  25.08.2026  ·  PMID 42640878</w:t>
      </w:r>
    </w:p>
    <w:p>
      <w:r>
        <w:t>Kohortenstudie mit 28.720 Personen in Großbritannien untersucht unterschiedliche Krankheitsverlaufsmuster nach Typ-2-Diabetes-Diagnose, unterschieden nach Geschlecht.</w:t>
      </w:r>
    </w:p>
    <w:p>
      <w:r>
        <w:rPr>
          <w:b/>
        </w:rPr>
        <w:t xml:space="preserve">Ergebnis: </w:t>
      </w:r>
      <w:r>
        <w:t>Bei Frauen traten psychische Erkrankungen post-Diabetes signifikant häufiger auf als bei Männern (8,1% vs. 5,3%), während Männer höhere Raten für Herz-Kreislauf- und Nierenerkrankungen zeigten (8,4% vs. 5,3%). Beide Geschlechter mit kombiniertem Diabetes und psychischer Erkrankung erlebten vorzeitige Sterblichkeit.</w:t>
      </w:r>
    </w:p>
    <w:p>
      <w:r>
        <w:rPr>
          <w:b/>
          <w:sz w:val="19"/>
        </w:rPr>
        <w:t xml:space="preserve">Übertragbarkeit: </w:t>
      </w:r>
      <w:r>
        <w:rPr>
          <w:sz w:val="19"/>
        </w:rPr>
        <w:t>UK-Register-Daten, vergleichbar mit deutschen Disease-Management-Strukturen zur geschlechtsspezifischen Therapieplanung.</w:t>
      </w:r>
    </w:p>
    <w:p>
      <w:r>
        <w:rPr>
          <w:color w:val="5A7D3A"/>
          <w:sz w:val="18"/>
        </w:rPr>
        <w:t>https://pubmed.ncbi.nlm.nih.gov/42640878/</w:t>
      </w:r>
    </w:p>
    <w:p>
      <w:pPr>
        <w:pStyle w:val="Heading2"/>
      </w:pPr>
      <w:r>
        <w:t>Post-COVID-Endotheldysfunktion verschärft sich bei Patienten mit ME/CFS-Kriterien: Retinale Gefäßanalyse zeigt Arteriolenkatheteropathie</w:t>
      </w:r>
    </w:p>
    <w:p>
      <w:r>
        <w:rPr>
          <w:i/>
          <w:color w:val="666666"/>
          <w:sz w:val="18"/>
        </w:rPr>
        <w:t>Wallraven T et al.  ·  BMC Med  ·  19.08.2026  ·  PMID 42625188</w:t>
      </w:r>
    </w:p>
    <w:p>
      <w:r>
        <w:t>Prospektive Beobachtungsstudie mit 300 Teilnehmern (96 nie infiziert, 102 genesen, 102 mit Post-COVID-Syndrom, davon 62 mit ME/CFS-Kriterien) untersucht Mikrozirkulation mittels retinaler Gefäßanalyse.</w:t>
      </w:r>
    </w:p>
    <w:p>
      <w:r>
        <w:rPr>
          <w:b/>
        </w:rPr>
        <w:t xml:space="preserve">Ergebnis: </w:t>
      </w:r>
      <w:r>
        <w:t>Patienten mit Post-COVID zeigten reduzierte Venendilation (3,7% ± 2,2 vs. 4,8% ± 3,0, p=0,006), engere retinale Arteriolen (CRAE: 178,3 ± 15,5 vs. 186,1 ± 15,7 μm, p=0,001) und niedrigere Arteriol-Venol-Verhältnisse als Genesene (0,83 ± 0,06 vs. 0,86 ± 0,07, p&lt;0,001). Patienten mit ME/CFS-Kriterien zeigten stärkste Veränderungen (AUC 0,79).</w:t>
      </w:r>
    </w:p>
    <w:p>
      <w:r>
        <w:rPr>
          <w:b/>
          <w:sz w:val="19"/>
        </w:rPr>
        <w:t xml:space="preserve">Übertragbarkeit: </w:t>
      </w:r>
      <w:r>
        <w:rPr>
          <w:sz w:val="19"/>
        </w:rPr>
        <w:t>Multinationale Studie (Deutschland, Schweiz); relevanter für Versorgungsfragen zu Post-COVID-Rehabilitationsbedarfen.</w:t>
      </w:r>
    </w:p>
    <w:p>
      <w:r>
        <w:rPr>
          <w:color w:val="5A7D3A"/>
          <w:sz w:val="18"/>
        </w:rPr>
        <w:t>https://pubmed.ncbi.nlm.nih.gov/42625188/</w:t>
      </w:r>
    </w:p>
    <w:p>
      <w:pPr>
        <w:pStyle w:val="Heading1"/>
      </w:pPr>
      <w:r>
        <w:t>Aufgenommen am 24.08.2026</w:t>
      </w:r>
    </w:p>
    <w:p>
      <w:pPr>
        <w:pStyle w:val="Heading2"/>
      </w:pPr>
      <w:r>
        <w:t>Kontinuität der Versorgung senkt Krankenhauseinweisungen und Sterblichkeit bei COPD um 25–63 %</w:t>
      </w:r>
    </w:p>
    <w:p>
      <w:r>
        <w:rPr>
          <w:i/>
          <w:color w:val="666666"/>
          <w:sz w:val="18"/>
        </w:rPr>
        <w:t>Ko J et al.  ·  Int J Chron Obstruct Pulmon Dis  ·  18.08.2026  ·  PMID 42633418</w:t>
      </w:r>
    </w:p>
    <w:p>
      <w:r>
        <w:t>Retrospektive südkoreanische Kohortenstudie mit 29.316 neu diagnostizierten COPD-Patienten aus nationalen Versicherungsdaten 2002–2019 zur Wirkung der Versorgungskontinuität (CoC) auf Krankenhauseinweisungen und Sterblichkeit.</w:t>
      </w:r>
    </w:p>
    <w:p>
      <w:r>
        <w:rPr>
          <w:b/>
        </w:rPr>
        <w:t xml:space="preserve">Ergebnis: </w:t>
      </w:r>
      <w:r>
        <w:t>Niedrige CoC-Werte (&lt;0,7) assoziiert mit erhöhtem Risiko für 3-Jahres-Exazerbations-Krankenhauseinweisung (HR 1,63, 95% CI 1,45–1,83) und allgemeine Mortalität (HR 1,25, 95% CI 1,11–1,40) vs. hohe CoC. Progressiv: Intermediate CoC (0,4–0,7) HR 1,61 für Einweisungen und 1,24 für Mortalität; sehr niedrig (&lt;0,4) HR 1,65 und 1,26. Notaufnahmen HR 1,48, allgemeine Hospitalisierungen HR 1,70 bei niedriger CoC. Befunde konsistent über alternative Kontinuitäts-Indizes. Fragmentierte ambulante Versorgung erhöht vermeidbare Krankenhaus-Kontakte und Todesfälle erheblich.</w:t>
      </w:r>
    </w:p>
    <w:p>
      <w:r>
        <w:rPr>
          <w:b/>
          <w:sz w:val="19"/>
        </w:rPr>
        <w:t xml:space="preserve">Übertragbarkeit: </w:t>
      </w:r>
      <w:r>
        <w:rPr>
          <w:sz w:val="19"/>
        </w:rPr>
        <w:t>Südkorea, nationale Versicherungsdaten, zeigt Bedeutung von Kontinuität unabhängig vom Finanzsystem</w:t>
      </w:r>
    </w:p>
    <w:p>
      <w:r>
        <w:rPr>
          <w:color w:val="5A7D3A"/>
          <w:sz w:val="18"/>
        </w:rPr>
        <w:t>https://pubmed.ncbi.nlm.nih.gov/42633418/</w:t>
      </w:r>
    </w:p>
    <w:p>
      <w:pPr>
        <w:pStyle w:val="Heading1"/>
      </w:pPr>
      <w:r>
        <w:t>Aufgenommen am 23.08.2026</w:t>
      </w:r>
    </w:p>
    <w:p>
      <w:pPr>
        <w:pStyle w:val="Heading2"/>
      </w:pPr>
      <w:r>
        <w:t>Mehrfacherkrankung bei Vorhofflimmern nimmt zu: Gepräge und Verlauf stark heterogen</w:t>
      </w:r>
    </w:p>
    <w:p>
      <w:r>
        <w:rPr>
          <w:i/>
          <w:color w:val="666666"/>
          <w:sz w:val="18"/>
        </w:rPr>
        <w:t>Reinilä S et al.  ·  Eur J Clin Invest  ·  Aug. 2026  ·  PMID 42629441</w:t>
      </w:r>
    </w:p>
    <w:p>
      <w:r>
        <w:t>Finnische Kohorte aller Patienten mit neu diagnostiziertem Vorhofflimmern 2009–2018 (n=196.536); Erfassung von Begleiterkrankungen über nationale Register mit 5-Jahres-Lookback.</w:t>
      </w:r>
    </w:p>
    <w:p>
      <w:r>
        <w:rPr>
          <w:b/>
        </w:rPr>
        <w:t xml:space="preserve">Ergebnis: </w:t>
      </w:r>
      <w:r>
        <w:t>85% hatten ≥2 Begleiterkrankungsgruppen, 28% ≥6 Gruppen. Mittlere Anzahl von Diagnosegruppen stieg von 3,9 auf 4,2 Gruppen (2009–2018); nach Adjustment für Alter signifikant. Mehrfacherkrankung war bei Frauen häufiger (4,2 vs. 3,9 Gruppen) und nahm mit dem Alter zu. Häufigste Begleiterkrankungen: Hypertonie, Stoffwechselerkrankungen, Diabetes, andere kardiovaskuläre Erkrankungen. Eine bedeutende Versorgungsherausforderung mit wachsendem Bedarf für ganzheitliche Behandlung.</w:t>
      </w:r>
    </w:p>
    <w:p>
      <w:r>
        <w:rPr>
          <w:b/>
          <w:sz w:val="19"/>
        </w:rPr>
        <w:t xml:space="preserve">Übertragbarkeit: </w:t>
      </w:r>
      <w:r>
        <w:rPr>
          <w:sz w:val="19"/>
        </w:rPr>
        <w:t>Finnland, vergleichbares nordisches Gesundheitssystem, nationale Registerdaten</w:t>
      </w:r>
    </w:p>
    <w:p>
      <w:r>
        <w:rPr>
          <w:color w:val="5A7D3A"/>
          <w:sz w:val="18"/>
        </w:rPr>
        <w:t>https://pubmed.ncbi.nlm.nih.gov/42629441/</w:t>
      </w:r>
    </w:p>
    <w:p>
      <w:pPr>
        <w:pStyle w:val="Heading1"/>
      </w:pPr>
      <w:r>
        <w:t>Aufgenommen am 22.08.2026</w:t>
      </w:r>
    </w:p>
    <w:p>
      <w:pPr>
        <w:pStyle w:val="Heading2"/>
      </w:pPr>
      <w:r>
        <w:t>HAQ-DI-basierte Screening identifiziert Hochrisiko-Phänotyp mit funktioneller Behinderung in COPD</w:t>
      </w:r>
    </w:p>
    <w:p>
      <w:r>
        <w:rPr>
          <w:i/>
          <w:color w:val="666666"/>
          <w:sz w:val="18"/>
        </w:rPr>
        <w:t>Rogier J et al.  ·  Int J Chron Obstruct Pulmon Dis  ·  15.08.2026  ·  PMID 42621973</w:t>
      </w:r>
    </w:p>
    <w:p>
      <w:r>
        <w:t>Französische Kohortenstudie (n=117) der funktionalen Behinderung bei COPD-Patienten mittels Health Assessment Questionnaire – Disability Index (HAQ-DI) in Relation zu Krankheitsschwere und Krankheitslast.</w:t>
      </w:r>
    </w:p>
    <w:p>
      <w:r>
        <w:rPr>
          <w:b/>
        </w:rPr>
        <w:t xml:space="preserve">Ergebnis: </w:t>
      </w:r>
      <w:r>
        <w:t>Patienten mit COPD GOLD 3–4 zeigten höhere HAQ-DI-Werte als GOLD 1–2 (0,50 vs. 0,25, p=0,015); 20 Patienten (17,1%) erfüllten Kriterien für "Hochfunktionelle Behinderung" (HAQ-DI ≥1) mit ungünstigeren Prognose-Markern; HAQ-DI korrelierte mit Exazerbationen, Dyspnoe und Krankheitslast (alle p&lt;0,001). HAQ-DI ist ein praktisches Screening-Instrument zur Identifizierung von Patienten mit hohem funktionellem Risiko, die von Rehabilitations- und psychologischem Support profitieren könnten.</w:t>
      </w:r>
    </w:p>
    <w:p>
      <w:r>
        <w:rPr>
          <w:b/>
          <w:sz w:val="19"/>
        </w:rPr>
        <w:t xml:space="preserve">Übertragbarkeit: </w:t>
      </w:r>
      <w:r>
        <w:rPr>
          <w:sz w:val="19"/>
        </w:rPr>
        <w:t>Frankreich, vergleichbare Dokumentation von Komorbiditäten und Funktionalität</w:t>
      </w:r>
    </w:p>
    <w:p>
      <w:r>
        <w:rPr>
          <w:color w:val="5A7D3A"/>
          <w:sz w:val="18"/>
        </w:rPr>
        <w:t>https://pubmed.ncbi.nlm.nih.gov/42621973/</w:t>
      </w:r>
    </w:p>
    <w:p>
      <w:pPr>
        <w:pStyle w:val="Heading2"/>
      </w:pPr>
      <w:r>
        <w:t>SMART-Youth: Longitudinale Kohortenstudie zu kardiovaskulären Risikofaktoren für subklinische Atherosklerose bei Kindern mit chronischen Erkrankungen</w:t>
      </w:r>
    </w:p>
    <w:p>
      <w:r>
        <w:rPr>
          <w:i/>
          <w:color w:val="666666"/>
          <w:sz w:val="18"/>
        </w:rPr>
        <w:t>van der Linden IA et al.  ·  BMJ Open  ·  13.08.2026  ·  PMID 42595358</w:t>
      </w:r>
    </w:p>
    <w:p>
      <w:r>
        <w:t>Prospektive longitudinale Kohortenstudie in niederländischem Universitätskrankenhaus (geplant n&gt;2000, 8–18 Jahre) zu krankheits- und lebensstilassoziierten kardiovaskulären Risikofaktoren für subklinische Atherosklerose bei Kindern mit diversen chronischen Erkrankungen (CF, JIA, CKD, IBD, angeborene Herzerkrankung etc.); Rekrutierung seit August 2024.</w:t>
      </w:r>
    </w:p>
    <w:p>
      <w:r>
        <w:rPr>
          <w:b/>
        </w:rPr>
        <w:t xml:space="preserve">Ergebnis: </w:t>
      </w:r>
      <w:r>
        <w:t>Baseline-Charakterisierung: Erfassung von Blutdruck, BMI, Lipiden, HbA1c, CRP; Messung von Karotis-Intima-Media-Dicke, Karotis-Distension und Karotis-Femoral-Pulswellen-Geschwindigkeit bei Baseline, 2-Jahr-Follow-up und Alter 17–18 Jahren. Primärer Fokus: langfristige Assoziationen zwischen kardiovaskulären Risikofaktoren und früher subklinischer Atherosklerose bei chronisch erkrankten Kindern zur Risikostratifizierung und Früherkennung.</w:t>
      </w:r>
    </w:p>
    <w:p>
      <w:r>
        <w:rPr>
          <w:b/>
          <w:sz w:val="19"/>
        </w:rPr>
        <w:t xml:space="preserve">Übertragbarkeit: </w:t>
      </w:r>
      <w:r>
        <w:rPr>
          <w:sz w:val="19"/>
        </w:rPr>
        <w:t>Niederlande, Universitätskrankenhaus in vergleichbarem System; Mehrfacherkrankungen-Fokus bei Kindern</w:t>
      </w:r>
    </w:p>
    <w:p>
      <w:r>
        <w:rPr>
          <w:color w:val="5A7D3A"/>
          <w:sz w:val="18"/>
        </w:rPr>
        <w:t>https://pubmed.ncbi.nlm.nih.gov/42595358/</w:t>
      </w:r>
    </w:p>
    <w:p>
      <w:pPr>
        <w:pStyle w:val="Heading1"/>
      </w:pPr>
      <w:r>
        <w:t>Aufgenommen am 21.08.2026</w:t>
      </w:r>
    </w:p>
    <w:p>
      <w:pPr>
        <w:pStyle w:val="Heading2"/>
      </w:pPr>
      <w:r>
        <w:t>Self-Management-Interventionen zeigen Verbesserung in Verhalten, aber nicht in Lebensqualität bei Mehrfacherkrankung</w:t>
      </w:r>
    </w:p>
    <w:p>
      <w:r>
        <w:rPr>
          <w:i/>
          <w:color w:val="666666"/>
          <w:sz w:val="18"/>
        </w:rPr>
        <w:t>Hopwood E et al.  ·  J Eval Clin Pract  ·  Aug. 2026  ·  PMID 42623506</w:t>
      </w:r>
    </w:p>
    <w:p>
      <w:r>
        <w:t>Systematische Übersicht von 28 Studien zu Wirksamkeit und Erfahrungen mit Self-Management-Interventionen für Erwachsene mit Mehrfacherkrankung (quantitativ und qualitativ).</w:t>
      </w:r>
    </w:p>
    <w:p>
      <w:r>
        <w:rPr>
          <w:b/>
        </w:rPr>
        <w:t xml:space="preserve">Ergebnis: </w:t>
      </w:r>
      <w:r>
        <w:t>Quantitative Evidenz zeigte bescheidene Verbesserungen in spezifischen Self-Management-Verhaltensweisen (gesundheitsorientierte Aktivitäten, Selbstmonitoring), aber wenig bis kein Effekt auf Lebensqualität oder psychologische Outcomes. Qualitative Befunde deuteten auf subjektive Verbesserungen in Lebensqualität und psychischer Gesundheit hin – Diskrepanz unterstreicht Bedarf nach validierten Mehrfacherkrankungs-spezifischen Outcome-Maßen.</w:t>
      </w:r>
    </w:p>
    <w:p>
      <w:r>
        <w:rPr>
          <w:b/>
          <w:sz w:val="19"/>
        </w:rPr>
        <w:t xml:space="preserve">Übertragbarkeit: </w:t>
      </w:r>
      <w:r>
        <w:rPr>
          <w:sz w:val="19"/>
        </w:rPr>
        <w:t>Internationale Evidenz, vorwiegend europäisch, direkt auf Primärversorgung übertragbar</w:t>
      </w:r>
    </w:p>
    <w:p>
      <w:r>
        <w:rPr>
          <w:color w:val="5A7D3A"/>
          <w:sz w:val="18"/>
        </w:rPr>
        <w:t>https://pubmed.ncbi.nlm.nih.gov/42623506/</w:t>
      </w:r>
    </w:p>
    <w:p>
      <w:pPr>
        <w:pStyle w:val="Heading2"/>
      </w:pPr>
      <w:r>
        <w:t>Digitales Multikomponent-Programm reduziert Angst und Depression bei Mehrfacherkrankung um 2,6–2,9 Punkte auf HADS</w:t>
      </w:r>
    </w:p>
    <w:p>
      <w:r>
        <w:rPr>
          <w:i/>
          <w:color w:val="666666"/>
          <w:sz w:val="18"/>
        </w:rPr>
        <w:t>Johnson E et al.  ·  PLoS Med  ·  20.08.2026  ·  PMID 42623335</w:t>
      </w:r>
    </w:p>
    <w:p>
      <w:r>
        <w:t>Dreiarmige randomisierte Studie (825 Patienten über 13 Länder, online durchgeführt 2023–2024) zu Effekt eines digitalen Programms mit oder ohne menschliche Unterstützung versus Warteliste bei Angst und Depression bei chronischen Erkrankungen.</w:t>
      </w:r>
    </w:p>
    <w:p>
      <w:r>
        <w:rPr>
          <w:b/>
        </w:rPr>
        <w:t xml:space="preserve">Ergebnis: </w:t>
      </w:r>
      <w:r>
        <w:t>Primärer Vergleich (eMPower + Human Support vs. Kontrolle): HADS-Gesamtscore verbesserte sich um 2,9 Punkte (95%-KI 2,0–3,8; p&lt;0,001). Self-directed eMPower zeigte ähnliche Verbesserung (2,6 Punkte; 95%-KI 1,8–3,5; p&lt;0,001); kein signifikanter Unterschied zwischen Interventionen. Verbesserungen auch bei Müdigkeit (MFIS) und Lebensqualität (SF-12, EQ-5D-5L). Keine unerwünschten Ereignisse berichtet.</w:t>
      </w:r>
    </w:p>
    <w:p>
      <w:r>
        <w:rPr>
          <w:b/>
          <w:sz w:val="19"/>
        </w:rPr>
        <w:t xml:space="preserve">Übertragbarkeit: </w:t>
      </w:r>
      <w:r>
        <w:rPr>
          <w:sz w:val="19"/>
        </w:rPr>
        <w:t>Internetbasiert, international, aber auf Mehrfacherkrankung generell bezogen, gute Übertragbarkeit</w:t>
      </w:r>
    </w:p>
    <w:p>
      <w:r>
        <w:rPr>
          <w:color w:val="5A7D3A"/>
          <w:sz w:val="18"/>
        </w:rPr>
        <w:t>https://pubmed.ncbi.nlm.nih.gov/42623335/</w:t>
      </w:r>
    </w:p>
    <w:p>
      <w:pPr>
        <w:pStyle w:val="Heading2"/>
      </w:pPr>
      <w:r>
        <w:t>Psychische Erkrankungen mit 1,85- bis 3,16-fach erhöhtem Risiko für systemische Mehrfacherkrankung bei jungen Frauen</w:t>
      </w:r>
    </w:p>
    <w:p>
      <w:r>
        <w:rPr>
          <w:i/>
          <w:color w:val="666666"/>
          <w:sz w:val="18"/>
        </w:rPr>
        <w:t>Halstead S et al.  ·  Lancet Psychiatry  ·  Sept. 2026  ·  PMID 42586082</w:t>
      </w:r>
    </w:p>
    <w:p>
      <w:r>
        <w:t>Kohortenstudie mit 30.189 Patienten mit Schizophrenie-Spektrum/bipolaren Störungen und 148.476 Kontrollen (Queensland, Australien, 2000–2023) zu Inzidenz und absoluten Unterschieden in systemischer Mehrfacherkrankung (Multiple Systeme betroffen).</w:t>
      </w:r>
    </w:p>
    <w:p>
      <w:r>
        <w:rPr>
          <w:b/>
        </w:rPr>
        <w:t xml:space="preserve">Ergebnis: </w:t>
      </w:r>
      <w:r>
        <w:t>Relative Inzidenz der Mehrfacherkrankung signifikant erhöht: mindestens ein System HR=1,85 (95%-KI 1,81–1,88), fünf Systeme HR=3,16 (95%-KI 3,01–3,30). Bei 20 Jahren absolute Cumulative-Incidence-Unterschiede: 9,79 zusätzliche Fälle pro 100 Personen (≥1 System), höchste Effekte bei Frauen &lt;25 Jahren (HR=9,24 für ≥5 Systeme; 95%-KI 7,30–11,71).</w:t>
      </w:r>
    </w:p>
    <w:p>
      <w:r>
        <w:rPr>
          <w:b/>
          <w:sz w:val="19"/>
        </w:rPr>
        <w:t xml:space="preserve">Übertragbarkeit: </w:t>
      </w:r>
      <w:r>
        <w:rPr>
          <w:sz w:val="19"/>
        </w:rPr>
        <w:t>Australien (vergleichbar mit Mittelsystemländern), großes Register, aber klinisches Risikoprofil generell übertragbar</w:t>
      </w:r>
    </w:p>
    <w:p>
      <w:r>
        <w:rPr>
          <w:color w:val="5A7D3A"/>
          <w:sz w:val="18"/>
        </w:rPr>
        <w:t>https://pubmed.ncbi.nlm.nih.gov/42586082/</w:t>
      </w:r>
    </w:p>
    <w:p>
      <w:pPr>
        <w:pStyle w:val="Heading1"/>
      </w:pPr>
      <w:r>
        <w:t>Aufgenommen am 20.08.2026</w:t>
      </w:r>
    </w:p>
    <w:p>
      <w:pPr>
        <w:pStyle w:val="Heading2"/>
      </w:pPr>
      <w:r>
        <w:t>COPD mit Typ-2-Entzündung und Exazerbationen trotz Dreifachtherapie – 3-fach höhere Kosten und Hospitalisierungsrate</w:t>
      </w:r>
    </w:p>
    <w:p>
      <w:r>
        <w:rPr>
          <w:i/>
          <w:color w:val="666666"/>
          <w:sz w:val="18"/>
        </w:rPr>
        <w:t>Narendra DK et al.  ·  Int J Chron Obstruct Pulmon Dis  ·  13.08.2026  ·  PMID 42609821</w:t>
      </w:r>
    </w:p>
    <w:p>
      <w:r>
        <w:t>Retrospektive Analyse der Optum-Datenbank (über 28 Millionen Versicherte, USA) zu Exazerbationen und Versorgungslast bei COPD-Patienten mit Typ-2-Entzündung (erhöhte Eosinophile) und Exazerbationshistorie trotz Dreifachtherapie.</w:t>
      </w:r>
    </w:p>
    <w:p>
      <w:r>
        <w:rPr>
          <w:b/>
        </w:rPr>
        <w:t xml:space="preserve">Ergebnis: </w:t>
      </w:r>
      <w:r>
        <w:t>Bei 13.840 Patienten (6.389 mit Exazerbationen und Eosinophile ≥150 Zellen/μL): durchschnittlich 1,58 COPD-Exazerbationen/Jahr vs. 0,52 in der Kontrollgruppe; um ~6.700 USD höhere jährliche Kosten; höhere Notaufnahme- und Hospitalisierungsraten trotz optimierter medikamentöser Therapie. Ungedeckter Versorgungsbedarf.</w:t>
      </w:r>
    </w:p>
    <w:p>
      <w:r>
        <w:rPr>
          <w:b/>
          <w:sz w:val="19"/>
        </w:rPr>
        <w:t xml:space="preserve">Übertragbarkeit: </w:t>
      </w:r>
      <w:r>
        <w:rPr>
          <w:sz w:val="19"/>
        </w:rPr>
        <w:t>USA-Daten; Effektivitätsbefund (Exazerbationslast trotz optimaler medikamentöser Versorgung) übertragbar auf Deutschland.</w:t>
      </w:r>
    </w:p>
    <w:p>
      <w:r>
        <w:rPr>
          <w:color w:val="5A7D3A"/>
          <w:sz w:val="18"/>
        </w:rPr>
        <w:t>https://pubmed.ncbi.nlm.nih.gov/42609821/</w:t>
      </w:r>
    </w:p>
    <w:p>
      <w:pPr>
        <w:pStyle w:val="Heading2"/>
      </w:pPr>
      <w:r>
        <w:t>Cluster-Analyse identifiziert sechs Subtypen hochgradig multimorbider Patienten für gezielte Interventionen im englischen Gesundheitssystem</w:t>
      </w:r>
    </w:p>
    <w:p>
      <w:r>
        <w:rPr>
          <w:i/>
          <w:color w:val="666666"/>
          <w:sz w:val="18"/>
        </w:rPr>
        <w:t>Wood RM et al.  ·  Health Care Manag Sci  ·  07.08.2026  ·  PMID 42566017</w:t>
      </w:r>
    </w:p>
    <w:p>
      <w:r>
        <w:t>Clusteranalyse von 19.520 Hochmorbidität-Patienten (top 3% von 1 Million Versicherten, &gt;1/5 der Kosten) in Bristol, um heterogene Subgruppen und entsprechende Versorgungsziele zu definieren.</w:t>
      </w:r>
    </w:p>
    <w:p>
      <w:r>
        <w:rPr>
          <w:b/>
        </w:rPr>
        <w:t xml:space="preserve">Ergebnis: </w:t>
      </w:r>
      <w:r>
        <w:t>Sechs Cluster identifiziert: Ältere ohne Demenz (n=1.243); Krebs (n=1.055); Jünger/komplex (n=2.199); Atemwege (n=4.743); Kardiovaskulär (n=6.140); Demenz (n=4.579). Jeder Cluster erhielt wertbasierte Versorgungsziele und spezifische klinische Managemententscheidungen. Heterogenität innerhalb der Hochmorbidität erfordert maßgeschneiderte Interventionen.</w:t>
      </w:r>
    </w:p>
    <w:p>
      <w:r>
        <w:rPr>
          <w:b/>
          <w:sz w:val="19"/>
        </w:rPr>
        <w:t xml:space="preserve">Übertragbarkeit: </w:t>
      </w:r>
      <w:r>
        <w:rPr>
          <w:sz w:val="19"/>
        </w:rPr>
        <w:t>Vereinigtes Königreich, NHS-Struktur, ähnliche Versorgungsmotivation.</w:t>
      </w:r>
    </w:p>
    <w:p>
      <w:r>
        <w:rPr>
          <w:color w:val="5A7D3A"/>
          <w:sz w:val="18"/>
        </w:rPr>
        <w:t>https://pubmed.ncbi.nlm.nih.gov/42566017/</w:t>
      </w:r>
    </w:p>
    <w:p>
      <w:pPr>
        <w:pStyle w:val="Heading2"/>
      </w:pPr>
      <w:r>
        <w:t>Capability Cards unterstützen personzentrierte Gespräche bei Mehrfacherkrankungen in spanischer Primärversorgung – validiert</w:t>
      </w:r>
    </w:p>
    <w:p>
      <w:r>
        <w:rPr>
          <w:i/>
          <w:color w:val="666666"/>
          <w:sz w:val="18"/>
        </w:rPr>
        <w:t>Llubes-Arrià L et al.  ·  Prim Health Care Res Dev  ·  06.08.2026  ·  PMID 42559972</w:t>
      </w:r>
    </w:p>
    <w:p>
      <w:r>
        <w:t>Methodische Validierungsstudie der spanischen Übersetzung und kulturellen Anpassung der Capability Cards als Werkzeug für Patienten mit Mehrfacherkrankung in spanischen Gemeinschaftspraxen.</w:t>
      </w:r>
    </w:p>
    <w:p>
      <w:r>
        <w:rPr>
          <w:b/>
        </w:rPr>
        <w:t xml:space="preserve">Ergebnis: </w:t>
      </w:r>
      <w:r>
        <w:t>Hohe inhaltsliche Validität in allen Gruppen (Content Validity Index: Experten 0,88; Fachkräfte 0,96; Zielpopulation 0,98); ausgezeichnete Usability (System Usability Scale). Capability Cards zeigten starke kulturelle Angemessenheit und Eignung für strukturierte, personzentrierte Gespräche zur Förderung von Empowerment und partizipatorischer Versorgung bei Mehrfacherkrankung.</w:t>
      </w:r>
    </w:p>
    <w:p>
      <w:r>
        <w:rPr>
          <w:b/>
          <w:sz w:val="19"/>
        </w:rPr>
        <w:t xml:space="preserve">Übertragbarkeit: </w:t>
      </w:r>
      <w:r>
        <w:rPr>
          <w:sz w:val="19"/>
        </w:rPr>
        <w:t>Spanien, ambulante Primärversorgung ähnlich Deutschland.</w:t>
      </w:r>
    </w:p>
    <w:p>
      <w:r>
        <w:rPr>
          <w:color w:val="5A7D3A"/>
          <w:sz w:val="18"/>
        </w:rPr>
        <w:t>https://pubmed.ncbi.nlm.nih.gov/42559972/</w:t>
      </w:r>
    </w:p>
    <w:p>
      <w:pPr>
        <w:pStyle w:val="Heading1"/>
      </w:pPr>
      <w:r>
        <w:t>Aufgenommen am 19.08.2026</w:t>
      </w:r>
    </w:p>
    <w:p>
      <w:pPr>
        <w:pStyle w:val="Heading2"/>
      </w:pPr>
      <w:r>
        <w:t>Hybrid-Versorgung für COPD-Patienten mit hohem Risiko: Pflegeleitung, Personalisierung und digitale Unterstützung zeigen Machbarkeit</w:t>
      </w:r>
    </w:p>
    <w:p>
      <w:r>
        <w:rPr>
          <w:i/>
          <w:color w:val="666666"/>
          <w:sz w:val="18"/>
        </w:rPr>
        <w:t>Gómez-López A et al.  ·  J Med Internet Res  ·  18.08.2026  ·  PMID 42612086</w:t>
      </w:r>
    </w:p>
    <w:p>
      <w:r>
        <w:t>Co-Design-Studie in Barcelona mit vier PDSA-Zyklen zur Operationalisierung einer Hybrid-Care-Intervention (Pflege vor Ort, Personalisierung, digitale Unterstützung) für Patienten mit COPD, Asthma und Bronchiektasen bei exazerbierter und stabiler Erkrankung.</w:t>
      </w:r>
    </w:p>
    <w:p>
      <w:r>
        <w:rPr>
          <w:b/>
        </w:rPr>
        <w:t xml:space="preserve">Ergebnis: </w:t>
      </w:r>
      <w:r>
        <w:t>Am Ende PDSA-3 (August 2025) wurde Operationalisierung dreier Kernkomponenten erreicht: (1) Nurse-Led-Versorgung vor Ort, (2) Personalisierung der Intervention, (3) fortgeschrittene digitale Unterstützung. Konsens unter allen Stakeholdern zu Anwendbarkeit im klinisch stabilen und exazerbiertem Zustand sowie zu kurzfristiger Implementierungs- und nachhaltiger Übernahmestrategie.</w:t>
      </w:r>
    </w:p>
    <w:p>
      <w:r>
        <w:rPr>
          <w:b/>
          <w:sz w:val="19"/>
        </w:rPr>
        <w:t xml:space="preserve">Übertragbarkeit: </w:t>
      </w:r>
      <w:r>
        <w:rPr>
          <w:sz w:val="19"/>
        </w:rPr>
        <w:t>Spanien, katalanisches Gesundheitssystem – Erkenntnisse zur Integration digitaler Tools in koordinierte Versorgung relevant</w:t>
      </w:r>
    </w:p>
    <w:p>
      <w:r>
        <w:rPr>
          <w:color w:val="5A7D3A"/>
          <w:sz w:val="18"/>
        </w:rPr>
        <w:t>https://pubmed.ncbi.nlm.nih.gov/42612086/</w:t>
      </w:r>
    </w:p>
    <w:p>
      <w:pPr>
        <w:pStyle w:val="Heading2"/>
      </w:pPr>
      <w:r>
        <w:t>Patienten mit eosinophiler COPD und Exazerbationen haben hohes Hospitalisierungs- und Kostenrisiko trotz Dreifachtherapie</w:t>
      </w:r>
    </w:p>
    <w:p>
      <w:r>
        <w:rPr>
          <w:i/>
          <w:color w:val="666666"/>
          <w:sz w:val="18"/>
        </w:rPr>
        <w:t>Di Giorgi N et al.  ·  Int J Chron Obstruct Pulmon Dis  ·  13.08.2026  ·  PMID 42609817</w:t>
      </w:r>
    </w:p>
    <w:p>
      <w:r>
        <w:t>Reale-Welt-Datenanalyse von 3.279 COPD-Patienten in einem italienischen Tertiärkrankenhaus zur Identifikation von Patienten mit erhöhten Eosinophilen, die für zielgerichtete biologische Therapien (Dupilumab) infrage kommen.</w:t>
      </w:r>
    </w:p>
    <w:p>
      <w:r>
        <w:rPr>
          <w:b/>
        </w:rPr>
        <w:t xml:space="preserve">Ergebnis: </w:t>
      </w:r>
      <w:r>
        <w:t>Unter 224 Patienten mit Exazerbationen unter Dreifachtherapie hatten 87 (38,8 %) mindestens eine Eosinophilenzahl ≥300 Zellen/µL (Median-Messwerte 210 [IQR 130–335] Zellen/µL). Patienten mit EOS ≥300 gegenüber &lt;300: höhere Krankenhausaufnahmen (23,0 % vs. 12,2 %; p=0,005), größere Komorbiditätslast (71,3 % kardiovaskulär, 59,8 % metabolisch), numerisch höhere Gesamtsterblichkeit (19,5 % vs. 13,0 %, nicht signifikant), mehr jährliche Kontakte (4,5 vs. 3,0; p&lt;0,001).</w:t>
      </w:r>
    </w:p>
    <w:p>
      <w:r>
        <w:rPr>
          <w:b/>
          <w:sz w:val="19"/>
        </w:rPr>
        <w:t xml:space="preserve">Übertragbarkeit: </w:t>
      </w:r>
      <w:r>
        <w:rPr>
          <w:sz w:val="19"/>
        </w:rPr>
        <w:t>Italien, vergleichbares europäisches Krankenversicherungssystem; Eosinophil-Monitoring zur Therapiesteuerung</w:t>
      </w:r>
    </w:p>
    <w:p>
      <w:r>
        <w:rPr>
          <w:color w:val="5A7D3A"/>
          <w:sz w:val="18"/>
        </w:rPr>
        <w:t>https://pubmed.ncbi.nlm.nih.gov/42609817/</w:t>
      </w:r>
    </w:p>
    <w:p>
      <w:pPr>
        <w:pStyle w:val="Heading2"/>
      </w:pPr>
      <w:r>
        <w:t>Strukturierte Transitionsversorgung erhöht Übergangsbereitschaft junger Erwachsener mit chronischen Erkrankungen (COCCOS-Protokoll)</w:t>
      </w:r>
    </w:p>
    <w:p>
      <w:r>
        <w:rPr>
          <w:i/>
          <w:color w:val="666666"/>
          <w:sz w:val="18"/>
        </w:rPr>
        <w:t>Van Wilder L et al.  ·  PLoS One  ·  17.08.2026  ·  PMID 42607051</w:t>
      </w:r>
    </w:p>
    <w:p>
      <w:r>
        <w:t>Protokoll einer quasi-experimentellen Studie zur Evaluation eines co-gestalteten Übergangsprogramms von Kindermedizin zu Erwachsenenmedizin bei Patienten mit Typ-1-Diabetes, Asthma oder Adipositas in Belgien.</w:t>
      </w:r>
    </w:p>
    <w:p>
      <w:r>
        <w:rPr>
          <w:b/>
        </w:rPr>
        <w:t xml:space="preserve">Ergebnis: </w:t>
      </w:r>
      <w:r>
        <w:t>Ziel ist Test von vier strukturierten Konsultationen über 13–16 Monate. Primäres Outcome: Transition Readiness Assessment Questionnaire. Sekundäroutcomes: Patient Empowerment, Therapietreue, gesundheitsbezogene Lebensqualität, psychische Gesundheit. Kosteneffektivität aus Payer-Perspektive mit Quality-Adjusted Life Years gemessen. Mixed-Methods-Prozessevaluationen geplant. Im Stadium PDSA-3 (August 2025); Ergebnisse erwartet 2027.</w:t>
      </w:r>
    </w:p>
    <w:p>
      <w:r>
        <w:rPr>
          <w:b/>
          <w:sz w:val="19"/>
        </w:rPr>
        <w:t xml:space="preserve">Übertragbarkeit: </w:t>
      </w:r>
      <w:r>
        <w:rPr>
          <w:sz w:val="19"/>
        </w:rPr>
        <w:t>Belgien, ähnliche Versicherungssysteme und Versorgungspfade wie deutschsprachiger Raum</w:t>
      </w:r>
    </w:p>
    <w:p>
      <w:r>
        <w:rPr>
          <w:color w:val="5A7D3A"/>
          <w:sz w:val="18"/>
        </w:rPr>
        <w:t>https://pubmed.ncbi.nlm.nih.gov/42607051/</w:t>
      </w:r>
    </w:p>
    <w:p>
      <w:pPr>
        <w:pStyle w:val="Heading2"/>
      </w:pPr>
      <w:r>
        <w:t>Mehrfacherkrankung im Alter erhöht Gesamt-Versorgungsausgaben um 11,6 %; sozioökonomische Ungleichheiten verstärken den Effekt</w:t>
      </w:r>
    </w:p>
    <w:p>
      <w:r>
        <w:rPr>
          <w:i/>
          <w:color w:val="666666"/>
          <w:sz w:val="18"/>
        </w:rPr>
        <w:t>Doheny M et al.  ·  BMJ Open  ·  14.08.2026  ·  PMID 42601104</w:t>
      </w:r>
    </w:p>
    <w:p>
      <w:r>
        <w:t>Querschnittsuntersuchung von 371.583 Personen ≥65 Jahre in Region Stockholm zur Prävalenz und Kostenfolgen von Mehrfacherkrankung.</w:t>
      </w:r>
    </w:p>
    <w:p>
      <w:r>
        <w:rPr>
          <w:b/>
        </w:rPr>
        <w:t xml:space="preserve">Ergebnis: </w:t>
      </w:r>
      <w:r>
        <w:t>Mehrfacherkrankung bei 62,6 % der älteren Erwachsenen. Mit ≥4 Erkrankungen stiegen die Durchschnittsausgaben auf 143.063 SEK (gegenüber 34.346 SEK ohne Erkrankung). Multimorbidität assoziiert mit 11,6 % höheren Gesamtausgaben (Cost Ratio 1,116, KI 1,114–1,118). Tiefste Einkommensgruppe zeigte 3,8 % höhere Ausgaben als höchste Gruppe. Soziale Pflegeausgaben überstiegen ab Alter 80 Jahren die Gesundheitsausgaben.</w:t>
      </w:r>
    </w:p>
    <w:p>
      <w:r>
        <w:rPr>
          <w:b/>
          <w:sz w:val="19"/>
        </w:rPr>
        <w:t xml:space="preserve">Übertragbarkeit: </w:t>
      </w:r>
      <w:r>
        <w:rPr>
          <w:sz w:val="19"/>
        </w:rPr>
        <w:t>Schweden, vergleichbares öffentliches Versicherungssystem und Dokumentation wie Deutschland</w:t>
      </w:r>
    </w:p>
    <w:p>
      <w:r>
        <w:rPr>
          <w:color w:val="5A7D3A"/>
          <w:sz w:val="18"/>
        </w:rPr>
        <w:t>https://pubmed.ncbi.nlm.nih.gov/42601104/</w:t>
      </w:r>
    </w:p>
    <w:p>
      <w:pPr>
        <w:pStyle w:val="Heading2"/>
      </w:pPr>
      <w:r>
        <w:t>Pertussis-Hospitalisierungen bei chronischen Erkrankungen: Hochrisiko-Gruppen und Präventionsbedarf in Frankreich</w:t>
      </w:r>
    </w:p>
    <w:p>
      <w:r>
        <w:rPr>
          <w:i/>
          <w:color w:val="666666"/>
          <w:sz w:val="18"/>
        </w:rPr>
        <w:t>Vargas-Zambrano JC et al.  ·  Euro Surveill  ·  Aug. 2026  ·  PMID 42596896</w:t>
      </w:r>
    </w:p>
    <w:p>
      <w:r>
        <w:t>Retrospektive Analyse von 10.893 Patienten mit Keuchhusten-Hospitalisierungen 2008–2020 in Frankreich nach Präsenz chronischer Grunderkrankungen (Asthma, COPD, Diabetes, Immunsuppression).</w:t>
      </w:r>
    </w:p>
    <w:p>
      <w:r>
        <w:rPr>
          <w:b/>
        </w:rPr>
        <w:t xml:space="preserve">Ergebnis: </w:t>
      </w:r>
      <w:r>
        <w:t>Bei Kindern/Jugendlichen (n=7.212): 17,5 % mit Asthma, 0,9 % mit Immunsuppression. Höchste kumulierte Inzidenzrate bei Immunsuppression (adjustiert CIR 3,6; KI 2,8–4,6). Bei Erwachsenen (n=3.681): 62,4 % mit Asthma/COPD, 16,1 % immunsupprimiert, 12,3 % mit Diabetes. Höchste CIR bei Asthma/COPD (18,6; KI 17,4–19,9). Medianhosp.-kosten für Immunsupprimierte 4.401 EUR. Keine signifikanten Änderungen der Ressourcennutzung vor/nach Hospitalisierung bei Erwachsenen.</w:t>
      </w:r>
    </w:p>
    <w:p>
      <w:r>
        <w:rPr>
          <w:b/>
          <w:sz w:val="19"/>
        </w:rPr>
        <w:t xml:space="preserve">Übertragbarkeit: </w:t>
      </w:r>
      <w:r>
        <w:rPr>
          <w:sz w:val="19"/>
        </w:rPr>
        <w:t>Frankreich, französisches Gesundheitssystem und Krankenversicherungsdaten wie Deutschland</w:t>
      </w:r>
    </w:p>
    <w:p>
      <w:r>
        <w:rPr>
          <w:color w:val="5A7D3A"/>
          <w:sz w:val="18"/>
        </w:rPr>
        <w:t>https://pubmed.ncbi.nlm.nih.gov/42596896/</w:t>
      </w:r>
    </w:p>
    <w:p>
      <w:pPr>
        <w:pStyle w:val="Heading2"/>
      </w:pPr>
      <w:r>
        <w:t>Verzögerte Palliativversorgung in Primärversorgung treibt vermeidbare Notfallabteilungsbesuche bei älteren Menschen mit Mehrfacherkrankung</w:t>
      </w:r>
    </w:p>
    <w:p>
      <w:r>
        <w:rPr>
          <w:i/>
          <w:color w:val="666666"/>
          <w:sz w:val="18"/>
        </w:rPr>
        <w:t>Bring H et al.  ·  Scand J Prim Health Care  ·  12.08.2026  ·  PMID 42583708</w:t>
      </w:r>
    </w:p>
    <w:p>
      <w:r>
        <w:t>Qualitative Befragung von 100 Fachleuten (Ärzte, Pflegekräfte) über Gründe für Notfallabteilungsbesuche bei älteren Patienten mit Mehrfacherkrankung und Palliativbedarf in Stockholm.</w:t>
      </w:r>
    </w:p>
    <w:p>
      <w:r>
        <w:rPr>
          <w:b/>
        </w:rPr>
        <w:t xml:space="preserve">Ergebnis: </w:t>
      </w:r>
      <w:r>
        <w:t>Übergeordnetes Thema: ‚Verzögerte, fragmentierte Palliativversorgung trägt zu ED-Besuchen bei'. Zwei Kategorien identifiziert: (1) Palliativbeschlüsse in Primärversorgung (Erkennen von Bedarf, Initiierung, Einbeziehung von Patienten/Familien); (2) Versorgung zu Hause (Planung, Symptommanagement, Informationstransfer). Fachleute berichteten, dass fehlende Vorlaufplanung zu krisenhaften ED-Besuchen führt, die Patientenwünschen widersprechen.</w:t>
      </w:r>
    </w:p>
    <w:p>
      <w:r>
        <w:rPr>
          <w:b/>
          <w:sz w:val="19"/>
        </w:rPr>
        <w:t xml:space="preserve">Übertragbarkeit: </w:t>
      </w:r>
      <w:r>
        <w:rPr>
          <w:sz w:val="19"/>
        </w:rPr>
        <w:t>Schweden, vergleichbare Primärversorgungsstruktur und Palliativstandards mit Deutschland/DACH</w:t>
      </w:r>
    </w:p>
    <w:p>
      <w:r>
        <w:rPr>
          <w:color w:val="5A7D3A"/>
          <w:sz w:val="18"/>
        </w:rPr>
        <w:t>https://pubmed.ncbi.nlm.nih.gov/42583708/</w:t>
      </w:r>
    </w:p>
    <w:p>
      <w:pPr>
        <w:pStyle w:val="Heading2"/>
      </w:pPr>
      <w:r>
        <w:t>Polypharmazie konzentriert sich auf ältere, multimorbide und sozioökonomisch benachteiligte Personen – Versorgungsmuster in Spanien</w:t>
      </w:r>
    </w:p>
    <w:p>
      <w:r>
        <w:rPr>
          <w:i/>
          <w:color w:val="666666"/>
          <w:sz w:val="18"/>
        </w:rPr>
        <w:t>Aparicio-Rodriguez G et al.  ·  Front Public Health  ·  16.07.2026  ·  PMID 42535037</w:t>
      </w:r>
    </w:p>
    <w:p>
      <w:r>
        <w:t>Querschnittsstudie von 33.534 Personen mit Polypharmazie (≥5 verschiedene ATC4-Medikamentengruppen) in La Rioja, Spanien, zu Verteilung nach Alter, Geschlecht und sozioökonomischem Status.</w:t>
      </w:r>
    </w:p>
    <w:p>
      <w:r>
        <w:rPr>
          <w:b/>
        </w:rPr>
        <w:t xml:space="preserve">Ergebnis: </w:t>
      </w:r>
      <w:r>
        <w:t>Mittlere Medikamentenbelastung 7,07 Gruppen (SD 2,17); 58,4 % erhielten 6–9 Gruppen. 71,8 % gehörten zur unteren Einkommensgruppe, die höchsten Belastungen (≥10 Gruppen) zeigten 14,9 % der Armen gegen 8,0–9,2 % der mittleren und höheren Gruppen. Chronische Grunderkrankungen (Herzinsuffizienz, Nierenkrankheit, Gefäßerkrankung) stark assoziiert mit höherer Medikamentenbelastung.</w:t>
      </w:r>
    </w:p>
    <w:p>
      <w:r>
        <w:rPr>
          <w:b/>
          <w:sz w:val="19"/>
        </w:rPr>
        <w:t xml:space="preserve">Übertragbarkeit: </w:t>
      </w:r>
      <w:r>
        <w:rPr>
          <w:sz w:val="19"/>
        </w:rPr>
        <w:t>Spanien, deutschsprachiger Raum – Datenquellen aus öffentlich finanzierter Versorgung</w:t>
      </w:r>
    </w:p>
    <w:p>
      <w:r>
        <w:rPr>
          <w:color w:val="5A7D3A"/>
          <w:sz w:val="18"/>
        </w:rPr>
        <w:t>https://pubmed.ncbi.nlm.nih.gov/42535037/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Nicht uebertragbare Krankheiten</dc:title>
  <dc:subject/>
  <dc:creator>Monitor Versorgungsforschung</dc:creator>
  <cp:keywords/>
  <dc:description>generated by python-docx</dc:description>
  <cp:lastModifiedBy/>
  <cp:revision>1</cp:revision>
  <dcterms:created xsi:type="dcterms:W3CDTF">2026-09-07T06:00:00Z</dcterms:created>
  <dcterms:modified xsi:type="dcterms:W3CDTF">2026-09-07T06:00:00Z</dcterms:modified>
  <cp:category/>
</cp:coreProperties>
</file>