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06.09.2026  |  6 Studien  |  ncd.m-vf.de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Probiotikum Lactobacillus plantarum stabilisiert Nierenfunktion bei CKD Stadium 3-4</w:t>
      </w:r>
    </w:p>
    <w:p>
      <w:r>
        <w:rPr>
          <w:i/>
          <w:color w:val="666666"/>
          <w:sz w:val="18"/>
        </w:rPr>
        <w:t>Saleh SE et al.  ·  Sci Rep  ·  04.09.2026  ·  PMID 42697907</w:t>
      </w:r>
    </w:p>
    <w:p>
      <w:r>
        <w:t>Doppelblinde, randomisierte, placebokontrollierte Studie an 72 Patienten mit CKD Stadium 3-4 (keine Hämodialyse) über 6 Monate: Lactobacillus plantarum 10¹⁰ CFU täglich versus Placebo, primärer Endpunkt Änderung der eGFR.</w:t>
      </w:r>
    </w:p>
    <w:p>
      <w:r>
        <w:rPr>
          <w:b/>
        </w:rPr>
        <w:t xml:space="preserve">Ergebnis: </w:t>
      </w:r>
      <w:r>
        <w:t>Probiotika-Gruppe zeigte signifikanten eGFR-Anstieg, Placebo-Gruppe Rückgang; 0 Probiotika-Patienten versus 8,6% Placebo zeigten CKD-Progression. Effekt war unabhängig von Diabetesstatus und CKD-Stadium. Kein signifikanter Unterschied in Indoxyl-Sulfat-Spiegeln zwischen den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Ägyptisches Zentrum, Mechanismus unabhängig von Region, weitere Validierung nötig</w:t>
      </w:r>
    </w:p>
    <w:p>
      <w:r>
        <w:rPr>
          <w:color w:val="5A7D3A"/>
          <w:sz w:val="18"/>
        </w:rPr>
        <w:t>https://pubmed.ncbi.nlm.nih.gov/42697907/</w:t>
      </w:r>
    </w:p>
    <w:p>
      <w:pPr>
        <w:pStyle w:val="Heading2"/>
      </w:pPr>
      <w:r>
        <w:t>Antikoagulation bei Vorhofflimmern mit CKD Stadium 4-5: Apixaban senkt Schlaganfälle</w:t>
      </w:r>
    </w:p>
    <w:p>
      <w:r>
        <w:rPr>
          <w:i/>
          <w:color w:val="666666"/>
          <w:sz w:val="18"/>
        </w:rPr>
        <w:t>Chen Q et al.  ·  JAMA Netw Open  ·  01.09.2026  ·  PMID 42696280</w:t>
      </w:r>
    </w:p>
    <w:p>
      <w:r>
        <w:t>Retrospektive Kohortenstudie mit Zieltriallemulation an 42.052 Medicare- und Optum-Versicherten mit Vorhofflimmern und CKD Stadium 4-5 ohne Dialyse (Jan 2013–Feb 2025), Vergleich von Apixaban, Warfarin und Keine Antikoagulation.</w:t>
      </w:r>
    </w:p>
    <w:p>
      <w:r>
        <w:rPr>
          <w:b/>
        </w:rPr>
        <w:t xml:space="preserve">Ergebnis: </w:t>
      </w:r>
      <w:r>
        <w:t>Apixaban reduzierte Schlaganfallrate im Vergleich zu Kein-Antikoagulation (HR 0,46; 95%-KI 0,32–0,66), erhöhte aber Blutungsrate (HR 1,32; 95%-KI 1,11–1,58). Warfarin hatte höhere Blutungs- und Kompositrisiken. Apixaban versus Warfarin: HR 0,55 für schwere Blutungen (KI 0,46–0,65), HR 0,50 für Schlaganfall (KI 0,33–0,78).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USA-Versichertendaten, Wirkmechanismus unabhängig von Gesundheitssystem übertragbar</w:t>
      </w:r>
    </w:p>
    <w:p>
      <w:r>
        <w:rPr>
          <w:color w:val="5A7D3A"/>
          <w:sz w:val="18"/>
        </w:rPr>
        <w:t>https://pubmed.ncbi.nlm.nih.gov/42696280/</w:t>
      </w:r>
    </w:p>
    <w:p>
      <w:pPr>
        <w:pStyle w:val="Heading2"/>
      </w:pPr>
      <w:r>
        <w:t>Nierenfunktion und Urämietoxine korrelieren mit kognitiven Defiziten bei CKD</w:t>
      </w:r>
    </w:p>
    <w:p>
      <w:r>
        <w:rPr>
          <w:i/>
          <w:color w:val="666666"/>
          <w:sz w:val="18"/>
        </w:rPr>
        <w:t>Cheng TW et al.  ·  Int J Med Sci  ·  30.07.2026  ·  PMID 42694884</w:t>
      </w:r>
    </w:p>
    <w:p>
      <w:r>
        <w:t>Pilot-Beobachtungsstudie an 12 Patienten mit CKD Stadium 3-5 und früher kognitiver Einschränkung: Messung von Serumindoxyl-Sulfat, Serum-p-Kresyl-Sulfat, Brain-MRI und kognitiver Funktion per CANTAB.</w:t>
      </w:r>
    </w:p>
    <w:p>
      <w:r>
        <w:rPr>
          <w:b/>
        </w:rPr>
        <w:t xml:space="preserve">Ergebnis: </w:t>
      </w:r>
      <w:r>
        <w:t>Höhere eGFR korrelierte mit besserer räumlicher Arbeitsgedächtnisleistung (r = 0,695, p = 0,012). Indoxyl-Sulfat und p-Kresyl-Sulfat zeigten inverse Korrelation mit eGFR (r = -0,301 bis -0,461), aber keine klare Assoziation mit kognitiven Testergebnissen. MRI-Läsionenlast war gering, strukturelle Abnormitäten aber vorhanden.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kleine Pilotstichprobe, Konzept der Mehrfacherkrankung mit kognitiven Folgen zentral</w:t>
      </w:r>
    </w:p>
    <w:p>
      <w:r>
        <w:rPr>
          <w:color w:val="5A7D3A"/>
          <w:sz w:val="18"/>
        </w:rPr>
        <w:t>https://pubmed.ncbi.nlm.nih.gov/42694884/</w:t>
      </w:r>
    </w:p>
    <w:p>
      <w:pPr>
        <w:pStyle w:val="Heading2"/>
      </w:pPr>
      <w:r>
        <w:t>Behandlungslast verschlechtert Gesundheit bei Mehrfacherkrankung: Stressanpassung hilft</w:t>
      </w:r>
    </w:p>
    <w:p>
      <w:r>
        <w:rPr>
          <w:i/>
          <w:color w:val="666666"/>
          <w:sz w:val="18"/>
        </w:rPr>
        <w:t>Shi Y et al.  ·  Front Public Health  ·  20.08.2026  ·  PMID 42694161</w:t>
      </w:r>
    </w:p>
    <w:p>
      <w:r>
        <w:t>Querschnittsuntersuchung mit Mediationsanalyse an 507 älteren Patienten mit komplexer Mehrfacherkrankung in Zhejiang, China; Beziehung zwischen Behandlungslast und ganzheitlichem Gesundheitsstatus.</w:t>
      </w:r>
    </w:p>
    <w:p>
      <w:r>
        <w:rPr>
          <w:b/>
        </w:rPr>
        <w:t xml:space="preserve">Ergebnis: </w:t>
      </w:r>
      <w:r>
        <w:t>Behandlungslast hatte direkten negativen Effekt auf Gesundheitsstatus (B = -0,263; 95%-KI -0,357 bis -0,168), Gesamteffekt -0,449 (KI -0,538 bis -0,360). Depressive Symptome und Stressanpassungskapazität mediierten diesen Effekt partiell (jeweils ca. 10% indirekte Effekte).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Konzept der Behandlungslast international anerkannt, Intervention skalierbar</w:t>
      </w:r>
    </w:p>
    <w:p>
      <w:r>
        <w:rPr>
          <w:color w:val="5A7D3A"/>
          <w:sz w:val="18"/>
        </w:rPr>
        <w:t>https://pubmed.ncbi.nlm.nih.gov/42694161/</w:t>
      </w:r>
    </w:p>
    <w:p>
      <w:pPr>
        <w:pStyle w:val="Heading2"/>
      </w:pPr>
      <w:r>
        <w:t>Nephrologen unterschätzen Symptombelastung bei CKD – Patientensicht zählt</w:t>
      </w:r>
    </w:p>
    <w:p>
      <w:r>
        <w:rPr>
          <w:i/>
          <w:color w:val="666666"/>
          <w:sz w:val="18"/>
        </w:rPr>
        <w:t>Jessen B et al.  ·  Inn Med (Heidelb)  ·  22.07.2026  ·  PMID 42484874</w:t>
      </w:r>
    </w:p>
    <w:p>
      <w:r>
        <w:t>Deutschlandweite Online-Befragung: 108 Nephrologen bewerteten durchschnittliche Symptombelastung bei CKD (Chronic Kidney Disease Symptom Burden Index, CKD-SBI), Vergleich mit Selbstangaben von 222 CKD-Patienten ohne Dialysepflicht.</w:t>
      </w:r>
    </w:p>
    <w:p>
      <w:r>
        <w:rPr>
          <w:b/>
        </w:rPr>
        <w:t xml:space="preserve">Ergebnis: </w:t>
      </w:r>
      <w:r>
        <w:t>Nephrologen nannten Fatigue (69,4%), Ödeme (38,9%), Hypertonie (35,2%) als häufigste; Patienten nannten Nykturie (74,3%), Fatigue (61,3%), Schlafstörungen (47,3%). Nephrologen überschätzten Gesamtbelastung und fünf Einzelsymptome signifikant, unterschätzten Belastung von 12 Symptomen.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deutschsprachig, direkte Übertragbarkeit auf Praxis und Kliniken</w:t>
      </w:r>
    </w:p>
    <w:p>
      <w:r>
        <w:rPr>
          <w:color w:val="5A7D3A"/>
          <w:sz w:val="18"/>
        </w:rPr>
        <w:t>https://pubmed.ncbi.nlm.nih.gov/42484874/</w:t>
      </w:r>
    </w:p>
    <w:p>
      <w:pPr>
        <w:pStyle w:val="Heading2"/>
      </w:pPr>
      <w:r>
        <w:t>Wrist-Wearable Sensors erkennen COPD-Risiko früh durch digitale Gangmuster</w:t>
      </w:r>
    </w:p>
    <w:p>
      <w:r>
        <w:rPr>
          <w:i/>
          <w:color w:val="666666"/>
          <w:sz w:val="18"/>
        </w:rPr>
        <w:t>Fernandez N et al.  ·  Int J Chron Obstruct Pulmon Dis  ·  17.07.2026  ·  PMID 42482839</w:t>
      </w:r>
    </w:p>
    <w:p>
      <w:r>
        <w:t>Prospektive Kohortenstudie an 28.251 UK-Biobank-Teilnehmern (60-78 Jahre) mit Beschleunigungsmessern zur Prüfung, ob reale Mobilitätsmuster Hinweis auf künftiges COPD-Auftreten geben.</w:t>
      </w:r>
    </w:p>
    <w:p>
      <w:r>
        <w:rPr>
          <w:b/>
        </w:rPr>
        <w:t xml:space="preserve">Ergebnis: </w:t>
      </w:r>
      <w:r>
        <w:t>Bei 639 Teilnehmern (2,26%) trat COPD während des Beobachtungszeitraums von durchschnittlich 8,5 Jahren auf. Vier digitale Ganzbiomarker (niedrigere Laufdauer, langsamere maximale Gehgeschwindigkeit, kürzere Gehpausen, geringerer Anteil von Gängen länger als 8 Sekunden) waren unabhängig mit künftiger COPD assoziiert; ein Modell mit diesen vier Biomarkern plus Selbstangaben erreichte einen Konkordanzindex von 0,80 und ist damit vergleichbar mit klinischen Tests.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UK-Biobank-Daten, digitale Biometrie auf Smartwatches übertragbar</w:t>
      </w:r>
    </w:p>
    <w:p>
      <w:r>
        <w:rPr>
          <w:color w:val="5A7D3A"/>
          <w:sz w:val="18"/>
        </w:rPr>
        <w:t>https://pubmed.ncbi.nlm.nih.gov/42482839/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2026-09-06T06:00:00Z</dcterms:created>
  <dcterms:modified xsi:type="dcterms:W3CDTF">2026-09-06T06:00:00Z</dcterms:modified>
  <cp:category/>
</cp:coreProperties>
</file>