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18.09.2026  |  7 Studien  |  ncd.m-vf.de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Salzrestriktion senkte Nierenkomplikationen nur in frühem CKD-Stadium</w:t>
      </w:r>
    </w:p>
    <w:p>
      <w:r>
        <w:rPr>
          <w:i/>
          <w:color w:val="666666"/>
          <w:sz w:val="18"/>
        </w:rPr>
        <w:t>Miyauchi H et al.  ·  Nephrology (Carlton)  ·  Sept. 2026  ·  PMID 42754360</w:t>
      </w:r>
    </w:p>
    <w:p>
      <w:r>
        <w:t>Retrospektive Kohortenstudie mit 462 älteren Patienten (≥75 Jahre) untersuchte Zusammenhang zwischen Salzaufnahme und nierenspezifischen Outcomes nach CKD-Stadium stratifiziert.</w:t>
      </w:r>
    </w:p>
    <w:p>
      <w:r>
        <w:rPr>
          <w:b/>
        </w:rPr>
        <w:t xml:space="preserve">Ergebnis: </w:t>
      </w:r>
      <w:r>
        <w:t>In CKD-Stadium 3: höhere Salzaufnahme mit erhöhtem Risiko assoziiert (aHR 2,70; 95%-KI 1,02–7,12). In Stadien 4–5: keine signifikante Assoziation. Salzrestriktion scheint in frühen CKD-Stadien bei älteren Erwachsenen nutzbringend zu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Japan; ältere Population, Stadium-spezifische Empfehlung relevant für Deutsche Praxis.</w:t>
      </w:r>
    </w:p>
    <w:p>
      <w:r>
        <w:rPr>
          <w:color w:val="5A7D3A"/>
          <w:sz w:val="18"/>
        </w:rPr>
        <w:t>https://pubmed.ncbi.nlm.nih.gov/42754360/</w:t>
      </w:r>
    </w:p>
    <w:p>
      <w:pPr>
        <w:pStyle w:val="Heading2"/>
      </w:pPr>
      <w:r>
        <w:t>Symptombelastung korrelierte stark negativ mit Lebensqualität bei Chronischen Erkrankungen</w:t>
      </w:r>
    </w:p>
    <w:p>
      <w:r>
        <w:rPr>
          <w:i/>
          <w:color w:val="666666"/>
          <w:sz w:val="18"/>
        </w:rPr>
        <w:t>Shrestha H et al.  ·  Inquiry  ·  17.09.2026  ·  PMID 42751809</w:t>
      </w:r>
    </w:p>
    <w:p>
      <w:r>
        <w:t>Querschnittstudie mit 164 hospitalisierten Erwachsenen mit verschiedenen chronischen Erkrankungen untersuchte Symptombelastung (ESAS-r) und Lebensqualität (SF-36) sowie deren Assoziation.</w:t>
      </w:r>
    </w:p>
    <w:p>
      <w:r>
        <w:rPr>
          <w:b/>
        </w:rPr>
        <w:t xml:space="preserve">Ergebnis: </w:t>
      </w:r>
      <w:r>
        <w:t>92,1 % hatten hohe Symptombelastung (Median 50,5; IQR 40–57,5); 65,9 % berichteten schlechte Lebensqualität. Starke negative Korrelation zwischen Symptombelastung und Lebensqualität (rs=–0,620; 95%-KI [–0,941 bis –0,641]; p&lt;0,001). Symptombelastung war mit Komorbiditäten und Krankenhausaufenthalten signifikant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Nepal; zeigt universelles Muster bei Mehrfacherkrankung, Screening-Bedarf bei deutschen Chronikern.</w:t>
      </w:r>
    </w:p>
    <w:p>
      <w:r>
        <w:rPr>
          <w:color w:val="5A7D3A"/>
          <w:sz w:val="18"/>
        </w:rPr>
        <w:t>https://pubmed.ncbi.nlm.nih.gov/42751809/</w:t>
      </w:r>
    </w:p>
    <w:p>
      <w:pPr>
        <w:pStyle w:val="Heading2"/>
      </w:pPr>
      <w:r>
        <w:t>Grünflächen verringerten COPD-Risiko um 13–17 Prozent</w:t>
      </w:r>
    </w:p>
    <w:p>
      <w:r>
        <w:rPr>
          <w:i/>
          <w:color w:val="666666"/>
          <w:sz w:val="18"/>
        </w:rPr>
        <w:t>Chen Y et al.  ·  Int J Chron Obstruct Pulmon Dis  ·  12.09.2026  ·  PMID 42751338</w:t>
      </w:r>
    </w:p>
    <w:p>
      <w:r>
        <w:t>Prospektive Kohortenstudie mit 385.502 UK-Biobank-Teilnehmern untersuchte, ob Wohngebiete mit Grün- und Blauflächen das COPD-Inzidenzrisiko senken.</w:t>
      </w:r>
    </w:p>
    <w:p>
      <w:r>
        <w:rPr>
          <w:b/>
        </w:rPr>
        <w:t xml:space="preserve">Ergebnis: </w:t>
      </w:r>
      <w:r>
        <w:t>Höhere Exposition gegenüber Grünflächen (HR 0,87; 95%-KI 0,83–0,92) und natürlicher Umgebung (HR 0,83; 95%-KI 0,78–0,87) waren mit niedrigerem COPD-Risiko verbunden, unabhängig von genetischer Anfälligkeit. Die Assoziation deutet auf präventives Potenzial von Umweltmaßnahmen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UK-Kohortenstudie; Umweltfaktoren gelten international, Transfer auf Präventionsinfrastruktur hängt von Planung ab.</w:t>
      </w:r>
    </w:p>
    <w:p>
      <w:r>
        <w:rPr>
          <w:color w:val="5A7D3A"/>
          <w:sz w:val="18"/>
        </w:rPr>
        <w:t>https://pubmed.ncbi.nlm.nih.gov/42751338/</w:t>
      </w:r>
    </w:p>
    <w:p>
      <w:pPr>
        <w:pStyle w:val="Heading2"/>
      </w:pPr>
      <w:r>
        <w:t>Höhere Ballaststoffaufnahme senkte COPD-Prävalenz und Entzündungsmarker</w:t>
      </w:r>
    </w:p>
    <w:p>
      <w:r>
        <w:rPr>
          <w:i/>
          <w:color w:val="666666"/>
          <w:sz w:val="18"/>
        </w:rPr>
        <w:t>Tu X et al.  ·  Int J Chron Obstruct Pulmon Dis  ·  11.09.2026  ·  PMID 42751152</w:t>
      </w:r>
    </w:p>
    <w:p>
      <w:r>
        <w:t>Zweistufige epidemiologische und klinische Kohortenstudie (NHANES 2013–2018 und 331 klinische Teilnehmer) untersuchte Assoziation zwischen Ballaststoffaufnahme und COPD sowie Entzündungsmarkern und zirkulierendem Lipopolysaccharid.</w:t>
      </w:r>
    </w:p>
    <w:p>
      <w:r>
        <w:rPr>
          <w:b/>
        </w:rPr>
        <w:t xml:space="preserve">Ergebnis: </w:t>
      </w:r>
      <w:r>
        <w:t>NHANES: höhere energieadjustierte Ballaststoffaufnahme war mit niedrigerer COPD-Prävalenz assoziiert. Klinische Kohorte: höhere Ballaststoffaufnahme bei COPD-Patienten korrelierte mit niedrigeren Entzündungsmarkern und zirkulierendem LPS. WBC und Neutrophile zeigten statistische Signifikanz mit jeweils 1,36 % und 4,22 % indirektem Effekt.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(NHANES) und klinische Kohortendaten; Ernährungsintervention ist übertragbar, prospektive Studien erforderlich.</w:t>
      </w:r>
    </w:p>
    <w:p>
      <w:r>
        <w:rPr>
          <w:color w:val="5A7D3A"/>
          <w:sz w:val="18"/>
        </w:rPr>
        <w:t>https://pubmed.ncbi.nlm.nih.gov/42751152/</w:t>
      </w:r>
    </w:p>
    <w:p>
      <w:pPr>
        <w:pStyle w:val="Heading2"/>
      </w:pPr>
      <w:r>
        <w:t>HIV/Hepatitis-B-Koinfektion verschlechterte Lebensqualität erheblich</w:t>
      </w:r>
    </w:p>
    <w:p>
      <w:r>
        <w:rPr>
          <w:i/>
          <w:color w:val="666666"/>
          <w:sz w:val="18"/>
        </w:rPr>
        <w:t>Okeke E et al.  ·  BMC Infect Dis  ·  07.08.2026  ·  PMID 42750015</w:t>
      </w:r>
    </w:p>
    <w:p>
      <w:r>
        <w:t>Querschnittsanalyse von 884 Erwachsenen mit chronischer Hepatitis B in West- und Zentralafrika untersuchte gesundheitsbezogene Lebensqualität (SF-36) stratifiziert nach Behandlungsstatus und HIV-Status.</w:t>
      </w:r>
    </w:p>
    <w:p>
      <w:r>
        <w:rPr>
          <w:b/>
        </w:rPr>
        <w:t xml:space="preserve">Ergebnis: </w:t>
      </w:r>
      <w:r>
        <w:t>Mittlere Lebensqualität 77,8 (SD 16,9) insgesamt, aber signifikant niedriger bei HIV/HBV-Koinfektion unbehandelt (59,38 vs. 80,56 bei HBV-monoinfiziert; p&lt;0,01). Erhöhte Fibrosescores, Komorbiditäten und höheres Alter waren mit schlechterer Lebensqualität assoziiert; Energie war am meisten beeinträchtigt.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Subsaharische Länder mit hoher HBV/HIV-Prävalenz; zeigt Bedarf für integrierte Versorgung auch bei deutscher Mehrfacherkrankung.</w:t>
      </w:r>
    </w:p>
    <w:p>
      <w:r>
        <w:rPr>
          <w:color w:val="5A7D3A"/>
          <w:sz w:val="18"/>
        </w:rPr>
        <w:t>https://pubmed.ncbi.nlm.nih.gov/42750015/</w:t>
      </w:r>
    </w:p>
    <w:p>
      <w:pPr>
        <w:pStyle w:val="Heading2"/>
      </w:pPr>
      <w:r>
        <w:t>Gemeindevolontäre steigerten Hepatitis-B-Therapietreue um 25 Prozentpunkte</w:t>
      </w:r>
    </w:p>
    <w:p>
      <w:r>
        <w:rPr>
          <w:i/>
          <w:color w:val="666666"/>
          <w:sz w:val="18"/>
        </w:rPr>
        <w:t>Western Pac Surveill Response J  ·  15.07.2026  ·  PMID 42746034</w:t>
      </w:r>
    </w:p>
    <w:p>
      <w:r>
        <w:t>Pilotstudie in Kiribati testete Gemeindevolontäre zur Verbesserung der Adhärenz zur Hepatitis-B-Antivirentherapie bei schwangeren Frauen und Patienten mit Zirrhose von Januar bis August 2025.</w:t>
      </w:r>
    </w:p>
    <w:p>
      <w:r>
        <w:rPr>
          <w:b/>
        </w:rPr>
        <w:t xml:space="preserve">Ergebnis: </w:t>
      </w:r>
      <w:r>
        <w:t>Therapietreue war 77,4 % in der Interventionsgruppe vs. 52,5 % in der Kontrollgruppe (p&lt;0,001); bei schwangeren Frauen 89,7 %; Adhärenz &gt;80 % erreichten 58,8 % der Intervention vs. 34,1 % der Kontrollen (p=0,0012). Die Strategie ist vielversprechend, aber vorläufig ohne Matching zwischen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Pazifikischer Inselstaat mit hoher Prävalenz; Modell könnte auch andere chronische Erkrankungen erreichen, Transfer hängt von lokalen Ressourcen ab.</w:t>
      </w:r>
    </w:p>
    <w:p>
      <w:r>
        <w:rPr>
          <w:color w:val="5A7D3A"/>
          <w:sz w:val="18"/>
        </w:rPr>
        <w:t>https://pubmed.ncbi.nlm.nih.gov/42746034/</w:t>
      </w:r>
    </w:p>
    <w:p>
      <w:pPr>
        <w:pStyle w:val="Heading2"/>
      </w:pPr>
      <w:r>
        <w:t>SP16-Behandlung könnte Akute-Nierenschädigung bei Herzoperation verhindern</w:t>
      </w:r>
    </w:p>
    <w:p>
      <w:r>
        <w:rPr>
          <w:i/>
          <w:color w:val="666666"/>
          <w:sz w:val="18"/>
        </w:rPr>
        <w:t>Jobst-Schwan T et al.  ·  Trials  ·  28.08.2026  ·  PMID 42665834</w:t>
      </w:r>
    </w:p>
    <w:p>
      <w:r>
        <w:t>Phase-IIa-Studie prüft Sicherheit und Wirksamkeit von SP16 (LRP1-Agonist) zur Prävention akuter Nierenschädigung bei 120 Hochrisiko-Patienten mit chronischer Nierenkrankheit unter Herzoperation.</w:t>
      </w:r>
    </w:p>
    <w:p>
      <w:r>
        <w:rPr>
          <w:b/>
        </w:rPr>
        <w:t xml:space="preserve">Ergebnis: </w:t>
      </w:r>
      <w:r>
        <w:t>Geplante Primärendpunkte: Inzidenz akuter Nierenschädigung innerhalb 7 Tage postoperativ und Häufigkeit von Nebenwirkungen in 72 h. Rekrutierung geplant ab August 2026; Phase-IIa-Ergebnisse ausstehend. Frühe Phase-I-Sicherheit war gegeben.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Zentrum (Erlangen); experimentelles Stadium, externe Validierung erforderlich.</w:t>
      </w:r>
    </w:p>
    <w:p>
      <w:r>
        <w:rPr>
          <w:color w:val="5A7D3A"/>
          <w:sz w:val="18"/>
        </w:rPr>
        <w:t>https://pubmed.ncbi.nlm.nih.gov/42665834/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2026-09-18T06:00:00Z</dcterms:created>
  <dcterms:modified xsi:type="dcterms:W3CDTF">2026-09-18T06:00:00Z</dcterms:modified>
  <cp:category/>
</cp:coreProperties>
</file>