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NCD und chronische Krankheiten</w:t>
      </w:r>
    </w:p>
    <w:p>
      <w:r>
        <w:rPr>
          <w:i/>
          <w:color w:val="666666"/>
          <w:sz w:val="18"/>
        </w:rPr>
        <w:t>Stand: 17.10.2026  |  335 Studien  |  ncd.m-vf.de</w:t>
      </w:r>
    </w:p>
    <w:p>
      <w:pPr>
        <w:pStyle w:val="Heading1"/>
      </w:pPr>
      <w:r>
        <w:t>Aufgenommen am 17.10.2026</w:t>
      </w:r>
    </w:p>
    <w:p>
      <w:pPr>
        <w:pStyle w:val="Heading2"/>
      </w:pPr>
      <w:r>
        <w:t>Nierentransplantation verbessert Lebensqualität deutlich auch in Ländern mit niedrigem Einkommen</w:t>
      </w:r>
    </w:p>
    <w:p>
      <w:r>
        <w:rPr>
          <w:i/>
          <w:color w:val="666666"/>
          <w:sz w:val="18"/>
        </w:rPr>
        <w:t>Jafry NH et al.  ·  Exp Clin Transplant  ·  Sept. 2026  ·  PMID 42885702</w:t>
      </w:r>
    </w:p>
    <w:p>
      <w:r>
        <w:t>Querschnittstudie mit 205 erwachsenen Nierentransplantatempfängern (≥1 Jahr nach Transplantation) in Pakistan zu gesundheitsbezogener Lebensqualität mittels SF-36.</w:t>
      </w:r>
    </w:p>
    <w:p>
      <w:r>
        <w:rPr>
          <w:b/>
        </w:rPr>
        <w:t xml:space="preserve">Ergebnis: </w:t>
      </w:r>
      <w:r>
        <w:t>SF-36-Durchschnittswert 99,5±4,81 (hohe Lebensqualität). Körperfunktion 96,8±8,5 und soziale Funktion 95,5±15,7 besonders hoch; Allgemeingesundheitswahrnehmung niedriger (82,5±22,5). Männliche Patienten hatten bessere körperliche Funktion als weibliche (p=0,031). Strukturierte Transplantprogramme wirksam auch unter Ressourcenmangel; geschlechtsspezifische Nachsorge empfohlen.</w:t>
      </w:r>
    </w:p>
    <w:p>
      <w:r>
        <w:rPr>
          <w:b/>
          <w:sz w:val="19"/>
        </w:rPr>
        <w:t xml:space="preserve">Übertragbarkeit: </w:t>
      </w:r>
      <w:r>
        <w:rPr>
          <w:sz w:val="19"/>
        </w:rPr>
        <w:t>Pakistan; begrenzt auf ähnlich strukturierte Gesundheitssysteme ohne Versicherungsschutz</w:t>
      </w:r>
    </w:p>
    <w:p>
      <w:r>
        <w:rPr>
          <w:color w:val="5A7D3A"/>
          <w:sz w:val="18"/>
        </w:rPr>
        <w:t>https://pubmed.ncbi.nlm.nih.gov/42885702/</w:t>
      </w:r>
    </w:p>
    <w:p>
      <w:pPr>
        <w:pStyle w:val="Heading2"/>
      </w:pPr>
      <w:r>
        <w:t>Polypharmaka-Intensität erhöht Funktionsbehinderung bei Mehrfacherkrankung: 5-Jahres-Longitudinalstudie in China</w:t>
      </w:r>
    </w:p>
    <w:p>
      <w:r>
        <w:rPr>
          <w:i/>
          <w:color w:val="666666"/>
          <w:sz w:val="18"/>
        </w:rPr>
        <w:t>Wang QC et al.  ·  Geriatr Gerontol Int  ·  Okt. 2026  ·  PMID 42885111</w:t>
      </w:r>
    </w:p>
    <w:p>
      <w:r>
        <w:t>Längsschnittstudie mit 7.477 chinesischen Teilnehmern ≥45 Jahren mit ≥2 chronischen Erkrankungen (CHARLS 2015–2020) zum Zusammenhang zwischen multimorbidity-adjusted pharmacotherapy intensity (MA-PI) und funktioneller Behinderung.</w:t>
      </w:r>
    </w:p>
    <w:p>
      <w:r>
        <w:rPr>
          <w:b/>
        </w:rPr>
        <w:t xml:space="preserve">Ergebnis: </w:t>
      </w:r>
      <w:r>
        <w:t>2020: 33,5% mit ADL-Behinderung, 22,8% mit incident ADL-Behinderung, 26,3% mit Hospitalisierung. Höhere MA-PI (Q3 vs. Q1): OR 1,21 (95%-KI 1,01–1,44) für ADL-Behinderung; Q4: OR 1,28 (95%-KI 1,07–1,53). Incident disability ohne Baseline-Behinderung: Q4 OR 1,32 (95%-KI 1,06–1,64). Hospitalisierung Q3/Q4: OR 1,24/1,29. MA-PI kann Überbehandlung und Funktionsverlust in der Population identifizieren.</w:t>
      </w:r>
    </w:p>
    <w:p>
      <w:r>
        <w:rPr>
          <w:b/>
          <w:sz w:val="19"/>
        </w:rPr>
        <w:t xml:space="preserve">Übertragbarkeit: </w:t>
      </w:r>
      <w:r>
        <w:rPr>
          <w:sz w:val="19"/>
        </w:rPr>
        <w:t>China; Mehrfacherkrankung und Polypharmaka-Problematik universal, Übertragung auf deutsche Kohorte sinnvoll</w:t>
      </w:r>
    </w:p>
    <w:p>
      <w:r>
        <w:rPr>
          <w:color w:val="5A7D3A"/>
          <w:sz w:val="18"/>
        </w:rPr>
        <w:t>https://pubmed.ncbi.nlm.nih.gov/42885111/</w:t>
      </w:r>
    </w:p>
    <w:p>
      <w:pPr>
        <w:pStyle w:val="Heading2"/>
      </w:pPr>
      <w:r>
        <w:t>Mehrfacherkrankung im Krankenhaus: Was erschwert Entscheidungen bei komplexen Patienten</w:t>
      </w:r>
    </w:p>
    <w:p>
      <w:r>
        <w:rPr>
          <w:i/>
          <w:color w:val="666666"/>
          <w:sz w:val="18"/>
        </w:rPr>
        <w:t>Pretorius S et al.  ·  BMC Med  ·  16.10.2026  ·  PMID 42881454</w:t>
      </w:r>
    </w:p>
    <w:p>
      <w:r>
        <w:t>Qualitative Studie mit 40 Klinikstaffmitarbeitern in England zu Entscheidungsfindung bei hospitalisierten Patienten mit Mehrfacherkrankung.</w:t>
      </w:r>
    </w:p>
    <w:p>
      <w:r>
        <w:rPr>
          <w:b/>
        </w:rPr>
        <w:t xml:space="preserve">Ergebnis: </w:t>
      </w:r>
      <w:r>
        <w:t>Personalentscheidungen werden durch komplexe Patientenprofile, Systemdruck und inflexible Strukturen behindert. Ärzte nutzen Heuristiken und relationale Strategien zur Risikominderung, berichten aber, dass compensatory work allein unzureichend ist. Systemische Änderungen – bessere Gemeindeversorgung, generalistisches Fachwissen, flexible Versorgungspfade – könnten helfen.</w:t>
      </w:r>
    </w:p>
    <w:p>
      <w:r>
        <w:rPr>
          <w:b/>
          <w:sz w:val="19"/>
        </w:rPr>
        <w:t xml:space="preserve">Übertragbarkeit: </w:t>
      </w:r>
      <w:r>
        <w:rPr>
          <w:sz w:val="19"/>
        </w:rPr>
        <w:t>England, NHS-System; übertragbar auf deutsche Kliniken mit ähnlicher Spezialisierungslogik</w:t>
      </w:r>
    </w:p>
    <w:p>
      <w:r>
        <w:rPr>
          <w:color w:val="5A7D3A"/>
          <w:sz w:val="18"/>
        </w:rPr>
        <w:t>https://pubmed.ncbi.nlm.nih.gov/42881454/</w:t>
      </w:r>
    </w:p>
    <w:p>
      <w:pPr>
        <w:pStyle w:val="Heading2"/>
      </w:pPr>
      <w:r>
        <w:t>Patientenerfahrung mit Mehrfacherkrankung im Krankenhaus: Spezialisierung als Hindernis</w:t>
      </w:r>
    </w:p>
    <w:p>
      <w:r>
        <w:rPr>
          <w:i/>
          <w:color w:val="666666"/>
          <w:sz w:val="18"/>
        </w:rPr>
        <w:t>Bellass S et al.  ·  BMC Med  ·  16.10.2026  ·  PMID 42881406</w:t>
      </w:r>
    </w:p>
    <w:p>
      <w:r>
        <w:t>Qualitative Studie mit 44 hospitalisierten Patienten (44 mit 2–11 Erkrankungen) in England zu deren Versorgungserfahrung.</w:t>
      </w:r>
    </w:p>
    <w:p>
      <w:r>
        <w:rPr>
          <w:b/>
        </w:rPr>
        <w:t xml:space="preserve">Ergebnis: </w:t>
      </w:r>
      <w:r>
        <w:t>Patienten erleben Krankenhaus als Spezialistenumgebung, die auf Einzelerkrankungen ausgerichtet ist. Positive Versorgung hängt von Alignment zwischen Kliniker- und Patientenwissen ab. Organisatorische Barrieren gegen holistische Betreuung wahrgenommen. Empfehlung: Einbezug von Patient-Expertise in Entscheidungsprozesse; flexibles Servicedesign erforderlich.</w:t>
      </w:r>
    </w:p>
    <w:p>
      <w:r>
        <w:rPr>
          <w:b/>
          <w:sz w:val="19"/>
        </w:rPr>
        <w:t xml:space="preserve">Übertragbarkeit: </w:t>
      </w:r>
      <w:r>
        <w:rPr>
          <w:sz w:val="19"/>
        </w:rPr>
        <w:t>England, NHS-Universitätskliniken; Struktur- und Koordinationsprobleme vergleichbar mit deutschen Klinikabläufen</w:t>
      </w:r>
    </w:p>
    <w:p>
      <w:r>
        <w:rPr>
          <w:color w:val="5A7D3A"/>
          <w:sz w:val="18"/>
        </w:rPr>
        <w:t>https://pubmed.ncbi.nlm.nih.gov/42881406/</w:t>
      </w:r>
    </w:p>
    <w:p>
      <w:pPr>
        <w:pStyle w:val="Heading2"/>
      </w:pPr>
      <w:r>
        <w:t>Atemmuskelkraft prognostiziert Symptomverschlechterung bei COPD besser als Standard-Spirometrie</w:t>
      </w:r>
    </w:p>
    <w:p>
      <w:r>
        <w:rPr>
          <w:i/>
          <w:color w:val="666666"/>
          <w:sz w:val="18"/>
        </w:rPr>
        <w:t>Niu M et al.  ·  Clin Respir J  ·  Okt. 2026  ·  PMID 42878658</w:t>
      </w:r>
    </w:p>
    <w:p>
      <w:r>
        <w:t>Retrospektive Kohortenstudie mit 203 stabilen COPD-Patienten zur Vorhersage klinisch signifikanter CAT-Score-Verschlechterung (≥2 Punkte/12 Monate) mittels Atemmuskelkraft.</w:t>
      </w:r>
    </w:p>
    <w:p>
      <w:r>
        <w:rPr>
          <w:b/>
        </w:rPr>
        <w:t xml:space="preserve">Ergebnis: </w:t>
      </w:r>
      <w:r>
        <w:t>62 Patienten (30,5%) erlebten CAT-Verschlechterung. Niedrigere FEV₁%-Vorhersage, maximale inspiratorische Druckfunktion (MIP) und Zwerchfellverdickungsfraktion (DTF) waren protektiv. Modell mit MIP/DTF: AUC 0,873 (95%-KI 0,822–0,924), nach Optimismus-Korrektur 0,859. MIP/DTF erhöhten AUC von 0,801 auf 0,873 (NRI 0,527, IDI 0,058). Externe Validierung erforderlich.</w:t>
      </w:r>
    </w:p>
    <w:p>
      <w:r>
        <w:rPr>
          <w:b/>
          <w:sz w:val="19"/>
        </w:rPr>
        <w:t xml:space="preserve">Übertragbarkeit: </w:t>
      </w:r>
      <w:r>
        <w:rPr>
          <w:sz w:val="19"/>
        </w:rPr>
        <w:t>China; Atemmuskelprüfung in allen Ländern möglich, Übertragbarkeit des Prognose-Modells offen</w:t>
      </w:r>
    </w:p>
    <w:p>
      <w:r>
        <w:rPr>
          <w:color w:val="5A7D3A"/>
          <w:sz w:val="18"/>
        </w:rPr>
        <w:t>https://pubmed.ncbi.nlm.nih.gov/42878658/</w:t>
      </w:r>
    </w:p>
    <w:p>
      <w:pPr>
        <w:pStyle w:val="Heading2"/>
      </w:pPr>
      <w:r>
        <w:t>Akutes Nierenschädigungssyndrom nach akutem Nierenversagen: 45,6% entwickeln Chronizität innerhalb von 90 Tagen</w:t>
      </w:r>
    </w:p>
    <w:p>
      <w:r>
        <w:rPr>
          <w:i/>
          <w:color w:val="666666"/>
          <w:sz w:val="18"/>
        </w:rPr>
        <w:t>Hu S et al.  ·  Ren Fail  ·  15.10.2026  ·  PMID 42876246</w:t>
      </w:r>
    </w:p>
    <w:p>
      <w:r>
        <w:t>Retrospektive Kohortenstudie mit 23.868 erwachsenen Patienten nach mindestens einer AKI-Episode (2015–2024) in China zur Inzidenz und Prognose des Acute Kidney Disease (AKD).</w:t>
      </w:r>
    </w:p>
    <w:p>
      <w:r>
        <w:rPr>
          <w:b/>
        </w:rPr>
        <w:t xml:space="preserve">Ergebnis: </w:t>
      </w:r>
      <w:r>
        <w:t>10.884 von 23.868 Patienten (45,6%) entwickelten AKD. Unabhängige Risikofaktoren: hohes Alter, Hypertonie, Herzinsuffizienz, Zirrhose, Diuretikagebrauch, höheres AKI-Stadium, Dialyse-Bedarf. Unter 6.597 Patienten ohne vorbestehende CKD entwickelten 19,8% de novo CKD (HR 1,92; 95%-KI 1,70–2,17). Frühe Erkennung und Zielinterventionen für Risikopatienten essenziell.</w:t>
      </w:r>
    </w:p>
    <w:p>
      <w:r>
        <w:rPr>
          <w:b/>
          <w:sz w:val="19"/>
        </w:rPr>
        <w:t xml:space="preserve">Übertragbarkeit: </w:t>
      </w:r>
      <w:r>
        <w:rPr>
          <w:sz w:val="19"/>
        </w:rPr>
        <w:t>China; Datengründung und Risikofaktoren auf nicht-europäische Population bezogen</w:t>
      </w:r>
    </w:p>
    <w:p>
      <w:r>
        <w:rPr>
          <w:color w:val="5A7D3A"/>
          <w:sz w:val="18"/>
        </w:rPr>
        <w:t>https://pubmed.ncbi.nlm.nih.gov/42876246/</w:t>
      </w:r>
    </w:p>
    <w:p>
      <w:pPr>
        <w:pStyle w:val="Heading2"/>
      </w:pPr>
      <w:r>
        <w:t>Antivirale Therapie bei HBV-HCC untergenutzt: 3- und 5-Jahres-Überlebensraten um 20% höher mit Behandlung</w:t>
      </w:r>
    </w:p>
    <w:p>
      <w:r>
        <w:rPr>
          <w:i/>
          <w:color w:val="666666"/>
          <w:sz w:val="18"/>
        </w:rPr>
        <w:t>Kudaravalli S et al.  ·  J Viral Hepat  ·  Nov. 2026  ·  PMID 42876044</w:t>
      </w:r>
    </w:p>
    <w:p>
      <w:r>
        <w:t>Systematischer Review und Meta-Analyse von 78 Studien (68.243 Patienten, 2006–2024) zur Nutzung von Nukleosid(t)id-Analoga und Überleben bei HBV-assoziiertem hepatozellulärem Karzinom.</w:t>
      </w:r>
    </w:p>
    <w:p>
      <w:r>
        <w:rPr>
          <w:b/>
        </w:rPr>
        <w:t xml:space="preserve">Ergebnis: </w:t>
      </w:r>
      <w:r>
        <w:t>Gepoolte antivirale Behandlungsrate 53,1% (52 Studien, 41.345 Patienten); nur 17,2% erhielten Therapie vor HCC-Diagnose. Behandelte vs. Unbehandelte: 3-Jahres-OS 80,4% vs. 59,2% (p&lt;0,01), 5-Jahres-OS 72,1% vs. 46,8% (p&lt;0,01). Bei inaktivem HCC 5-Jahres-OS 78,0% vs. 56,4% (p&lt;0,01). Antivirale Therapie bleibt unabhängig mit verbessertem 5-Jahres-Überleben assoziiert.</w:t>
      </w:r>
    </w:p>
    <w:p>
      <w:r>
        <w:rPr>
          <w:b/>
          <w:sz w:val="19"/>
        </w:rPr>
        <w:t xml:space="preserve">Übertragbarkeit: </w:t>
      </w:r>
      <w:r>
        <w:rPr>
          <w:sz w:val="19"/>
        </w:rPr>
        <w:t>Globale Daten; Versorgungslücke universal, Kosteneffektivität muss regional geklärt werden</w:t>
      </w:r>
    </w:p>
    <w:p>
      <w:r>
        <w:rPr>
          <w:color w:val="5A7D3A"/>
          <w:sz w:val="18"/>
        </w:rPr>
        <w:t>https://pubmed.ncbi.nlm.nih.gov/42876044/</w:t>
      </w:r>
    </w:p>
    <w:p>
      <w:pPr>
        <w:pStyle w:val="Heading1"/>
      </w:pPr>
      <w:r>
        <w:t>Aufgenommen am 16.10.2026</w:t>
      </w:r>
    </w:p>
    <w:p>
      <w:pPr>
        <w:pStyle w:val="Heading2"/>
      </w:pPr>
      <w:r>
        <w:t>α1-Antitrypsin-Mangel unterdiagnostiziert: Testung bei nur 5,8 % der COPD-Patienten</w:t>
      </w:r>
    </w:p>
    <w:p>
      <w:r>
        <w:rPr>
          <w:i/>
          <w:color w:val="666666"/>
          <w:sz w:val="18"/>
        </w:rPr>
        <w:t>Baldomero AK et al.  ·  JAMA Netw Open  ·  01.10.2026  ·  PMID 42879152</w:t>
      </w:r>
    </w:p>
    <w:p>
      <w:r>
        <w:t>Retrospektive multizentrische Kohortenstudie mit 2.384.913 Personen mit COPD/Asthma aus US-Veteranensystem 2020–2024 zur Testungsrate und Therapie des α1-Antitrypsin-Mangels und deren Ungleichverteilung.</w:t>
      </w:r>
    </w:p>
    <w:p>
      <w:r>
        <w:rPr>
          <w:b/>
        </w:rPr>
        <w:t xml:space="preserve">Ergebnis: </w:t>
      </w:r>
      <w:r>
        <w:t>Von 2.384.913 Patienten wurden 138.278 (5,8 %) getestet; von 8.564 Diagnosefällen erhielten nur 320 (3,7 %) Augmentationstherapie. Assoziationen: höhere Testung mit Zirrhose (aOR 6,40; 95%-KI: 6,29–6,51) und Bronchiektasen (aOR 3,73; 95%-KI: 3,59–3,87). Niedrigere Testung: höheres Alter, aktiver Tabakkonsum, längere Anfahrtszeiten (&gt;90 vs. ≤30 min: aOR 0,63). Disparitäten nach Ethnizität und sozioökonomischem Status.</w:t>
      </w:r>
    </w:p>
    <w:p>
      <w:r>
        <w:rPr>
          <w:b/>
          <w:sz w:val="19"/>
        </w:rPr>
        <w:t xml:space="preserve">Übertragbarkeit: </w:t>
      </w:r>
      <w:r>
        <w:rPr>
          <w:sz w:val="19"/>
        </w:rPr>
        <w:t>USA – Befund der Unterdiagnose und Ungleichverteilung ist grundsätzlich übertragbar; System unterscheidet sich erheblich.</w:t>
      </w:r>
    </w:p>
    <w:p>
      <w:r>
        <w:rPr>
          <w:color w:val="5A7D3A"/>
          <w:sz w:val="18"/>
        </w:rPr>
        <w:t>https://pubmed.ncbi.nlm.nih.gov/42879152/</w:t>
      </w:r>
    </w:p>
    <w:p>
      <w:pPr>
        <w:pStyle w:val="Heading2"/>
      </w:pPr>
      <w:r>
        <w:t>Glukoseverwertung sagt Mehrfacherkrankung besser voraus als andere Marker</w:t>
      </w:r>
    </w:p>
    <w:p>
      <w:r>
        <w:rPr>
          <w:i/>
          <w:color w:val="666666"/>
          <w:sz w:val="18"/>
        </w:rPr>
        <w:t>Wang Z et al.  ·  Front Endocrinol (Lausanne)  ·  30.09.2026  ·  PMID 42877036</w:t>
      </w:r>
    </w:p>
    <w:p>
      <w:r>
        <w:t>Longitudinale Kohortenstudie mit 6.407 chinesischen Teilnehmern (45–79 Jahre) aus CHARLS 2011–2020 zur Vorhersage von kardiometabolischer Mehrfacherkrankung (mind. 2 von: Diabetes, Herzerkrankung, Schlaganfall) mittels eGDR, TyG und AIP.</w:t>
      </w:r>
    </w:p>
    <w:p>
      <w:r>
        <w:rPr>
          <w:b/>
        </w:rPr>
        <w:t xml:space="preserve">Ergebnis: </w:t>
      </w:r>
      <w:r>
        <w:t>593 Fälle von Mehrfacherkrankung. eGDR: HR 1,92 (95%-KI: 1,77–2,09) pro SD ungünstiger Richtung; TyG: HR 1,69 (95%-KI: 1,57–1,82); AIP: HR 1,51 (95%-KI: 1,39–1,64). eGDR zeigte größten Einzelmarker-Gewinn (ΔC-Index 0,041), TyG komplementär; AIP marginal. Interne Validierung bestätigt.</w:t>
      </w:r>
    </w:p>
    <w:p>
      <w:r>
        <w:rPr>
          <w:b/>
          <w:sz w:val="19"/>
        </w:rPr>
        <w:t xml:space="preserve">Übertragbarkeit: </w:t>
      </w:r>
      <w:r>
        <w:rPr>
          <w:sz w:val="19"/>
        </w:rPr>
        <w:t>China, repräsentative Kohortenstudie; Risikoscores unabhängig vom Gesundheitssystem übertragbar.</w:t>
      </w:r>
    </w:p>
    <w:p>
      <w:r>
        <w:rPr>
          <w:color w:val="5A7D3A"/>
          <w:sz w:val="18"/>
        </w:rPr>
        <w:t>https://pubmed.ncbi.nlm.nih.gov/42877036/</w:t>
      </w:r>
    </w:p>
    <w:p>
      <w:pPr>
        <w:pStyle w:val="Heading2"/>
      </w:pPr>
      <w:r>
        <w:t>PaCO₂-Schwellwert sagt Scheitern der NIV bei COPD-Exazerbation voraus</w:t>
      </w:r>
    </w:p>
    <w:p>
      <w:r>
        <w:rPr>
          <w:i/>
          <w:color w:val="666666"/>
          <w:sz w:val="18"/>
        </w:rPr>
        <w:t>Song F et al.  ·  Int J Chron Obstruct Pulmon Dis  ·  09.10.2026  ·  PMID 42876922</w:t>
      </w:r>
    </w:p>
    <w:p>
      <w:r>
        <w:t>Zweizentrische retrospektive Kohortenstudie mit 676 Patienten mit akuter COPD-Exazerbation und Typ-II-Ateminsuffizienz, behandelt mit nicht-invasiver Beatmung (NIV), zur Vorhersage von NIV-Versagen.</w:t>
      </w:r>
    </w:p>
    <w:p>
      <w:r>
        <w:rPr>
          <w:b/>
        </w:rPr>
        <w:t xml:space="preserve">Ergebnis: </w:t>
      </w:r>
      <w:r>
        <w:t>NIV-Versagen in 10,8 % (73 Patienten). Nach vollständiger Anpassung: jede Steigerung von PaCO₂ um 1 mmHg mit 3 % höherer Versagenswahrscheinlichkeit (OR 1,03; 95%-KI: 1,01–1,06). Schwellwert bei 60,2 mmHg identifiziert Hochrisikopatienten; AUC 0,805 des multivariaten Modells.</w:t>
      </w:r>
    </w:p>
    <w:p>
      <w:r>
        <w:rPr>
          <w:b/>
          <w:sz w:val="19"/>
        </w:rPr>
        <w:t xml:space="preserve">Übertragbarkeit: </w:t>
      </w:r>
      <w:r>
        <w:rPr>
          <w:sz w:val="19"/>
        </w:rPr>
        <w:t>China, klinische Routine; verfügbarer Bedside-Parameter, unabhängig von Gesundheitssystem.</w:t>
      </w:r>
    </w:p>
    <w:p>
      <w:r>
        <w:rPr>
          <w:color w:val="5A7D3A"/>
          <w:sz w:val="18"/>
        </w:rPr>
        <w:t>https://pubmed.ncbi.nlm.nih.gov/42876922/</w:t>
      </w:r>
    </w:p>
    <w:p>
      <w:pPr>
        <w:pStyle w:val="Heading2"/>
      </w:pPr>
      <w:r>
        <w:t>Koordinierte Pflege verbessert Versorgung von älteren Menschen mit Mehrfacherkrankungen</w:t>
      </w:r>
    </w:p>
    <w:p>
      <w:r>
        <w:rPr>
          <w:i/>
          <w:color w:val="666666"/>
          <w:sz w:val="18"/>
        </w:rPr>
        <w:t>Lagerin A et al.  ·  BMC Prim Care  ·  09.10.2026  ·  PMID 42875741</w:t>
      </w:r>
    </w:p>
    <w:p>
      <w:r>
        <w:t>Qualitative Studie mit 15 Bezirkspflegerinnen an fünf schwedischen Hausarztpraxen zur Versorgung älterer Menschen mit komplexer Mehrfacherkrankung und psychischen Problemen.</w:t>
      </w:r>
    </w:p>
    <w:p>
      <w:r>
        <w:rPr>
          <w:b/>
        </w:rPr>
        <w:t xml:space="preserve">Ergebnis: </w:t>
      </w:r>
      <w:r>
        <w:t>Fachkräfte fühlen sich fachlich kompetent und bereit, Verantwortung für Patienten mit Mehrfacherkrankungen zu übernehmen – wenn Zeit, Unterstützung und Struktur vorhanden sind. Zentrale Erkenntnisse: Bedarf nach verbindlich definierten Rollen, Grenzen für Koordinierungsaufgaben und struktureller Entlastung bei Kooperationslücken.</w:t>
      </w:r>
    </w:p>
    <w:p>
      <w:r>
        <w:rPr>
          <w:b/>
          <w:sz w:val="19"/>
        </w:rPr>
        <w:t xml:space="preserve">Übertragbarkeit: </w:t>
      </w:r>
      <w:r>
        <w:rPr>
          <w:sz w:val="19"/>
        </w:rPr>
        <w:t>Schweden, Hausarztpraxen; ähnliche Primärversorgungsstruktur wie Deutschland-Ansätze ohne verbindliche Steuerung.</w:t>
      </w:r>
    </w:p>
    <w:p>
      <w:r>
        <w:rPr>
          <w:color w:val="5A7D3A"/>
          <w:sz w:val="18"/>
        </w:rPr>
        <w:t>https://pubmed.ncbi.nlm.nih.gov/42875741/</w:t>
      </w:r>
    </w:p>
    <w:p>
      <w:pPr>
        <w:pStyle w:val="Heading2"/>
      </w:pPr>
      <w:r>
        <w:t>Post-COVID-Symptome bei Migranten: ethnische Unterschiede in Amsterdam</w:t>
      </w:r>
    </w:p>
    <w:p>
      <w:r>
        <w:rPr>
          <w:i/>
          <w:color w:val="666666"/>
          <w:sz w:val="18"/>
        </w:rPr>
        <w:t>Spronk M et al.  ·  Epidemiol Infect  ·  14.10.2026  ·  PMID 42870569</w:t>
      </w:r>
    </w:p>
    <w:p>
      <w:r>
        <w:t>Retrospektive Kohortenstudie mit 932 COVID-19-Erkrankten in Amsterdam zur Prävalenz von post-COVID-Symptomen (≥3 Monate) stratifiziert nach sechs ethnischen Gruppen.</w:t>
      </w:r>
    </w:p>
    <w:p>
      <w:r>
        <w:rPr>
          <w:b/>
        </w:rPr>
        <w:t xml:space="preserve">Ergebnis: </w:t>
      </w:r>
      <w:r>
        <w:t>31 % (95%-KI: 27–37 %) entwickelten post-COVID-Symptome. Nach 3 Monaten: 17 % bei niederländischer Herkunft vs. 41 % (95%-KI: 34–48 %) bei südostasiatisch-surinamischer Herkunft, beide p &lt; 0,001. Risikofaktoren: südostasiatisch-surinamische, türkische oder marokkanische Herkunft, höheres Alter, weiblich, niedrigere Bildung, Adipositas.</w:t>
      </w:r>
    </w:p>
    <w:p>
      <w:r>
        <w:rPr>
          <w:b/>
          <w:sz w:val="19"/>
        </w:rPr>
        <w:t xml:space="preserve">Übertragbarkeit: </w:t>
      </w:r>
      <w:r>
        <w:rPr>
          <w:sz w:val="19"/>
        </w:rPr>
        <w:t>Niederlande, vergleichbares Sozialsicherungssystem und Versorgungskontext.</w:t>
      </w:r>
    </w:p>
    <w:p>
      <w:r>
        <w:rPr>
          <w:color w:val="5A7D3A"/>
          <w:sz w:val="18"/>
        </w:rPr>
        <w:t>https://pubmed.ncbi.nlm.nih.gov/42870569/</w:t>
      </w:r>
    </w:p>
    <w:p>
      <w:pPr>
        <w:pStyle w:val="Heading2"/>
      </w:pPr>
      <w:r>
        <w:t>AA-Amyloidose bei autoinflammatorischen Erkrankungen: verzögerte Diagnose und hohe Krankheitslast</w:t>
      </w:r>
    </w:p>
    <w:p>
      <w:r>
        <w:rPr>
          <w:i/>
          <w:color w:val="666666"/>
          <w:sz w:val="18"/>
        </w:rPr>
        <w:t>El Moussaoui M et al.  ·  J Intern Med  ·  07.09.2026  ·  PMID 42706496</w:t>
      </w:r>
    </w:p>
    <w:p>
      <w:r>
        <w:t>Retrospektive Studie am französischen Referenzzentrum mit 181 Patienten mit sekundärer AA-Amyloidose; 50 davon (28 %) mit familiärem Mittelmeerfieber, CAPS, MKD oder TRAPS.</w:t>
      </w:r>
    </w:p>
    <w:p>
      <w:r>
        <w:rPr>
          <w:b/>
        </w:rPr>
        <w:t xml:space="preserve">Ergebnis: </w:t>
      </w:r>
      <w:r>
        <w:t>AA-Amyloidose ging der Diagnose der Grunderkrankung in 40 % der Fälle voraus (besonders bei Non-FMF). 46 % benötigten Nierentransplantation, Mortalität 26 % während Nachverfolgung. Erkrankungslast bleibt hoch trotz bekannter Erkrankung – weist auf verzögerte Diagnose hin.</w:t>
      </w:r>
    </w:p>
    <w:p>
      <w:r>
        <w:rPr>
          <w:b/>
          <w:sz w:val="19"/>
        </w:rPr>
        <w:t xml:space="preserve">Übertragbarkeit: </w:t>
      </w:r>
      <w:r>
        <w:rPr>
          <w:sz w:val="19"/>
        </w:rPr>
        <w:t>Frankreich, europäisches Referenzzentrum; übertragbar auf strukturierte Früherkennung in Deutschland.</w:t>
      </w:r>
    </w:p>
    <w:p>
      <w:r>
        <w:rPr>
          <w:color w:val="5A7D3A"/>
          <w:sz w:val="18"/>
        </w:rPr>
        <w:t>https://pubmed.ncbi.nlm.nih.gov/42706496/</w:t>
      </w:r>
    </w:p>
    <w:p>
      <w:pPr>
        <w:pStyle w:val="Heading1"/>
      </w:pPr>
      <w:r>
        <w:t>Aufgenommen am 15.10.2026</w:t>
      </w:r>
    </w:p>
    <w:p>
      <w:pPr>
        <w:pStyle w:val="Heading2"/>
      </w:pPr>
      <w:r>
        <w:t>COPD-Leitlinie: Gestaffelte Therapie senkt Exazerbationen in der Praxis</w:t>
      </w:r>
    </w:p>
    <w:p>
      <w:r>
        <w:rPr>
          <w:i/>
          <w:color w:val="666666"/>
          <w:sz w:val="18"/>
        </w:rPr>
        <w:t>D'Urzo AD et al.  ·  Can Fam Physician  ·  Okt. 2026  ·  PMID 42875068</w:t>
      </w:r>
    </w:p>
    <w:p>
      <w:r>
        <w:t>Umsetzungsleitlinie für Hausärzte zur 2023-Empfehlung der Canadian Thoracic Society beschreibt, wie Bronchodilator-Monotherapie bei leichter, Dualtherapie bei moderater und Tripeltherapie bei schwerer stabiler COPD die Symptome reduziert und Exazerbationen verhindert.</w:t>
      </w:r>
    </w:p>
    <w:p>
      <w:r>
        <w:rPr>
          <w:b/>
        </w:rPr>
        <w:t xml:space="preserve">Ergebnis: </w:t>
      </w:r>
      <w:r>
        <w:t>Stratifizierte Pharmakotherapie nach Symptombelastung und Exazerbationsrisiko: Single long-acting bronchodilator für milde, dual long-acting bronchodilator für moderate und single-inhaler triple therapy für schwere COPD mit hochem Exazerbationsrisiko reduziert Mortalität. Richtlinie betont Therapietreue als Erfolgsfaktor für Überlebensvorteil.</w:t>
      </w:r>
    </w:p>
    <w:p>
      <w:r>
        <w:rPr>
          <w:b/>
          <w:sz w:val="19"/>
        </w:rPr>
        <w:t xml:space="preserve">Übertragbarkeit: </w:t>
      </w:r>
      <w:r>
        <w:rPr>
          <w:sz w:val="19"/>
        </w:rPr>
        <w:t>Kanada, vergleichbare Primärversorgungsstruktur; direkt auf deutsche Disease-Management-Programme übertragbar</w:t>
      </w:r>
    </w:p>
    <w:p>
      <w:r>
        <w:rPr>
          <w:color w:val="5A7D3A"/>
          <w:sz w:val="18"/>
        </w:rPr>
        <w:t>https://pubmed.ncbi.nlm.nih.gov/42875068/</w:t>
      </w:r>
    </w:p>
    <w:p>
      <w:pPr>
        <w:pStyle w:val="Heading2"/>
      </w:pPr>
      <w:r>
        <w:t>Integriertes Care-Modell senkt Notaufnahmen bei High-Risk-COPD um 78 %</w:t>
      </w:r>
    </w:p>
    <w:p>
      <w:r>
        <w:rPr>
          <w:i/>
          <w:color w:val="666666"/>
          <w:sz w:val="18"/>
        </w:rPr>
        <w:t>Organista D et al.  ·  Acta Med Port  ·  01.10.2026  ·  PMID 42874036</w:t>
      </w:r>
    </w:p>
    <w:p>
      <w:r>
        <w:t>Portugiesische Vorher-nachher-Studie an 53 Hochrisiko-COPD-Patienten (LACE-Index &gt;9) evaluierte ein frühes, multidisziplinäres Versorgungsmodell mit ärztlicher, pflegerischer und sozialer Betreuung sowie hybrider Überwachung (vor Ort und remote).</w:t>
      </w:r>
    </w:p>
    <w:p>
      <w:r>
        <w:rPr>
          <w:b/>
        </w:rPr>
        <w:t xml:space="preserve">Ergebnis: </w:t>
      </w:r>
      <w:r>
        <w:t>Nach einem Jahr sanken mittlere Notaufnahmen von 3,09 auf 0,67 Besuche (−78 %, p&lt;0,001) und Hospitalisierungen von 1,39 auf 0,33 (−76 %, p&lt;0,001). Remote-Monitoring ermöglichte frühe klinische Interventionen; nur zwei Patienten mussten bei schwerem respiratorischen Versagen aufgenommen werden. Soziale Intervention half den meisten, häusliche Unterstützung zu halten.</w:t>
      </w:r>
    </w:p>
    <w:p>
      <w:r>
        <w:rPr>
          <w:b/>
          <w:sz w:val="19"/>
        </w:rPr>
        <w:t xml:space="preserve">Übertragbarkeit: </w:t>
      </w:r>
      <w:r>
        <w:rPr>
          <w:sz w:val="19"/>
        </w:rPr>
        <w:t>Portugal, ähnliche Sozialversicherungsstruktur; Koordination und Überwachungsmodelle auf deutsche integrierte Versorgung übertragbar</w:t>
      </w:r>
    </w:p>
    <w:p>
      <w:r>
        <w:rPr>
          <w:color w:val="5A7D3A"/>
          <w:sz w:val="18"/>
        </w:rPr>
        <w:t>https://pubmed.ncbi.nlm.nih.gov/42874036/</w:t>
      </w:r>
    </w:p>
    <w:p>
      <w:pPr>
        <w:pStyle w:val="Heading2"/>
      </w:pPr>
      <w:r>
        <w:t>Schwangerschaftskomplikationen erhöhen Risiko für Herz-Nieren-Erkrankungen</w:t>
      </w:r>
    </w:p>
    <w:p>
      <w:r>
        <w:rPr>
          <w:i/>
          <w:color w:val="666666"/>
          <w:sz w:val="18"/>
        </w:rPr>
        <w:t>Wambua S et al.  ·  BMJ Med  ·  06.10.2026  ·  PMID 42872422</w:t>
      </w:r>
    </w:p>
    <w:p>
      <w:r>
        <w:t>Longitudinale Kohortenstudie an 1,4 Millionen englischen Frauen untersuchte, wie Schwangerschaftskomplikationen das Risiko für kardiovaskuläre Erkrankungen, Typ-2-Diabetes, Hypertonie und chronische Nierenkrankheit in den Jahren nach der Schwangerschaft beeinflussen.</w:t>
      </w:r>
    </w:p>
    <w:p>
      <w:r>
        <w:rPr>
          <w:b/>
        </w:rPr>
        <w:t xml:space="preserve">Ergebnis: </w:t>
      </w:r>
      <w:r>
        <w:t>Gestationsdiabetes erhöhte das Typ-2-Diabetes-Risiko siebenfach (HR 7,0); Präeklampsie verdreifachte das Hypertonierisiko (HR 3,05) und verdoppelte das Nierenkrankheitsrisiko (HR 2,0). Postpartale Depression erhöhte alle vier Endpunkte um 35–56 % (HR 1,35–1,56). Diese Befunde unterstützen präventive Interventionen in der postpartalen Phase bei Frauen mit Schwangerschaftskomplikationen.</w:t>
      </w:r>
    </w:p>
    <w:p>
      <w:r>
        <w:rPr>
          <w:b/>
          <w:sz w:val="19"/>
        </w:rPr>
        <w:t xml:space="preserve">Übertragbarkeit: </w:t>
      </w:r>
      <w:r>
        <w:rPr>
          <w:sz w:val="19"/>
        </w:rPr>
        <w:t>England, vergleichbares Gesundheitssystem; Daten aus Primärversorgungsdatenbank</w:t>
      </w:r>
    </w:p>
    <w:p>
      <w:r>
        <w:rPr>
          <w:color w:val="5A7D3A"/>
          <w:sz w:val="18"/>
        </w:rPr>
        <w:t>https://pubmed.ncbi.nlm.nih.gov/42872422/</w:t>
      </w:r>
    </w:p>
    <w:p>
      <w:pPr>
        <w:pStyle w:val="Heading2"/>
      </w:pPr>
      <w:r>
        <w:t>Chronische Urtikaria erleichtert Früherkennung, aber nicht Kontrolle von Herz-Kreislauf-Erkrankungen</w:t>
      </w:r>
    </w:p>
    <w:p>
      <w:r>
        <w:rPr>
          <w:i/>
          <w:color w:val="666666"/>
          <w:sz w:val="18"/>
        </w:rPr>
        <w:t>Yang ZH et al.  ·  Biomed Environ Sci  ·  20.09.2026  ·  PMID 42870596</w:t>
      </w:r>
    </w:p>
    <w:p>
      <w:r>
        <w:t>Chinesische nationale Querschnittsstudie an 118.036 Erwachsenen mit Herz-Kreislauf-Erkrankungen untersuchte Prävalenz, Risikofaktoren und Auswirkungen chronischer Urtikaria auf Bewusstsein, Behandlung und Kontrolle von Hypertonie, Diabetes und Dyslipidämie.</w:t>
      </w:r>
    </w:p>
    <w:p>
      <w:r>
        <w:rPr>
          <w:b/>
        </w:rPr>
        <w:t xml:space="preserve">Ergebnis: </w:t>
      </w:r>
      <w:r>
        <w:t>Urtikaria-Prävalenz: 2,90 %, höher bei Frauen (3,41 % vs. 2,56 %) und Landbevölkerung. Risikofaktoren: aktuelles Rauchen (OR 1,17), Schlafmangel &lt;5h (OR 1,79) und &gt;10h (OR 1,39). Patienten mit Urtikaria zeigten höhere CMD-Bewusstseinraten (Hypertonie 50,7 % vs. 40,3 %) und Behandlungsquoten (Hypertonie 41,4 % vs. 34,2 %), aber vergleichbare Kontrollraten. Urtikaria wirkt als Marker, verbessert aber nicht die Krankheitskontrolle.</w:t>
      </w:r>
    </w:p>
    <w:p>
      <w:r>
        <w:rPr>
          <w:b/>
          <w:sz w:val="19"/>
        </w:rPr>
        <w:t xml:space="preserve">Übertragbarkeit: </w:t>
      </w:r>
      <w:r>
        <w:rPr>
          <w:sz w:val="19"/>
        </w:rPr>
        <w:t>China; Mehrfacherkrankung-Befunde aber unabhängig von Gesundheitssystem relevant</w:t>
      </w:r>
    </w:p>
    <w:p>
      <w:r>
        <w:rPr>
          <w:color w:val="5A7D3A"/>
          <w:sz w:val="18"/>
        </w:rPr>
        <w:t>https://pubmed.ncbi.nlm.nih.gov/42870596/</w:t>
      </w:r>
    </w:p>
    <w:p>
      <w:pPr>
        <w:pStyle w:val="Heading2"/>
      </w:pPr>
      <w:r>
        <w:t>Maresin-1-Profil markiert pädiatrische Nierenschädigung stadienabhängig</w:t>
      </w:r>
    </w:p>
    <w:p>
      <w:r>
        <w:rPr>
          <w:i/>
          <w:color w:val="666666"/>
          <w:sz w:val="18"/>
        </w:rPr>
        <w:t>Guler MA et al.  ·  BMC Nephrol  ·  28.09.2026  ·  PMID 42870244</w:t>
      </w:r>
    </w:p>
    <w:p>
      <w:r>
        <w:t>Türkische Querschnittsstudie an gesunden Kindern und Patienten mit CKD-Stadien 1–5 gemessen Serum-Maresin-1 (MaR1), ein pro-resolutives Lipidmediator-Biomarker, um dessen Rolle bei entzündlich-degenerativen Nierenprozessen zu charakterisieren.</w:t>
      </w:r>
    </w:p>
    <w:p>
      <w:r>
        <w:rPr>
          <w:b/>
        </w:rPr>
        <w:t xml:space="preserve">Ergebnis: </w:t>
      </w:r>
      <w:r>
        <w:t>Serum-MaR1-Konzentrationen zeigten stadienabhängiges Muster: Kontrollen 110,2 pg/mL, Stadium 1 CKD 20,0 pg/mL (deutlicher Abfall), dann progressive Erhöhung Stadium 2 (39,6), 3 (60,7), 4 (203,9), Stadium 5 (284,6 pg/mL). Markante Suppression in frühem Stadium gefolgt von progressiver Elevation in fortgeschrittenen Stadien deutet auf Biomarker-Potenzial hin, erfordert aber Validierung in Längsschnittstudien.</w:t>
      </w:r>
    </w:p>
    <w:p>
      <w:r>
        <w:rPr>
          <w:b/>
          <w:sz w:val="19"/>
        </w:rPr>
        <w:t xml:space="preserve">Übertragbarkeit: </w:t>
      </w:r>
      <w:r>
        <w:rPr>
          <w:sz w:val="19"/>
        </w:rPr>
        <w:t>Türkei; diagnostischer Biomarker-Ansatz prinzipiell systemunabhängig</w:t>
      </w:r>
    </w:p>
    <w:p>
      <w:r>
        <w:rPr>
          <w:color w:val="5A7D3A"/>
          <w:sz w:val="18"/>
        </w:rPr>
        <w:t>https://pubmed.ncbi.nlm.nih.gov/42870244/</w:t>
      </w:r>
    </w:p>
    <w:p>
      <w:pPr>
        <w:pStyle w:val="Heading2"/>
      </w:pPr>
      <w:r>
        <w:t>Frühe Nierenkoordinator-Überweisung verhindert ungeplante Dialyseeinleitung</w:t>
      </w:r>
    </w:p>
    <w:p>
      <w:r>
        <w:rPr>
          <w:i/>
          <w:color w:val="666666"/>
          <w:sz w:val="18"/>
        </w:rPr>
        <w:t>Tiew HW et al.  ·  BMC Nephrol  ·  05.08.2026  ·  PMID 42870239</w:t>
      </w:r>
    </w:p>
    <w:p>
      <w:r>
        <w:t>Singapurer Kohortenstudie mit 282 Patienten im Stadium 5 CKD untersuchte, wie der Zeitpunkt der Überweisung zu einem Nierenkoordinator (bei verschiedenen eGFR-Schwellwerten) das Risiko für ungeplante Dialyseeinleitung beeinflusst.</w:t>
      </w:r>
    </w:p>
    <w:p>
      <w:r>
        <w:rPr>
          <w:b/>
        </w:rPr>
        <w:t xml:space="preserve">Ergebnis: </w:t>
      </w:r>
      <w:r>
        <w:t>Überweisung bei eGFR 9–14 mL/min/1,73m² war mit 55 % niedrigerem Risiko für ungeplante Dialyseeinleitung assoziiert (HR 0,45, 95%-KI 0,22–0,91) im Vergleich zu späteren Überweisungen. Ungeplante Einleitung war häufiger bei CKD Stage 5 als Stage 4 (78,8 % vs. 62,5 %). Frühzeitige Koordination ermöglichte ausreichend Zeit für Vorbereitung eines permanenten Zugangs.</w:t>
      </w:r>
    </w:p>
    <w:p>
      <w:r>
        <w:rPr>
          <w:b/>
          <w:sz w:val="19"/>
        </w:rPr>
        <w:t xml:space="preserve">Übertragbarkeit: </w:t>
      </w:r>
      <w:r>
        <w:rPr>
          <w:sz w:val="19"/>
        </w:rPr>
        <w:t>Singapur, aber Case-Management-Prinzip auf deutsches Versorgungssystem und Hausarzt-Steuerung übertragbar</w:t>
      </w:r>
    </w:p>
    <w:p>
      <w:r>
        <w:rPr>
          <w:color w:val="5A7D3A"/>
          <w:sz w:val="18"/>
        </w:rPr>
        <w:t>https://pubmed.ncbi.nlm.nih.gov/42870239/</w:t>
      </w:r>
    </w:p>
    <w:p>
      <w:pPr>
        <w:pStyle w:val="Heading1"/>
      </w:pPr>
      <w:r>
        <w:t>Aufgenommen am 14.10.2026</w:t>
      </w:r>
    </w:p>
    <w:p>
      <w:pPr>
        <w:pStyle w:val="Heading2"/>
      </w:pPr>
      <w:r>
        <w:t>Arbeitsinklusion verbessert Therapietreue bei chronischen Erkrankungen</w:t>
      </w:r>
    </w:p>
    <w:p>
      <w:r>
        <w:rPr>
          <w:i/>
          <w:color w:val="666666"/>
          <w:sz w:val="18"/>
        </w:rPr>
        <w:t>Aalbers E et al.  ·  PLoS One  ·  13.10.2026  ·  PMID 42868134</w:t>
      </w:r>
    </w:p>
    <w:p>
      <w:r>
        <w:t>Niederländische Querschnittsstudie mit 309 erwerbstätigen Personen mit chronischen Erkrankungen und Medikamenteneinnahme untersuchte, wie Arbeitsmerkmale die Therapietreue beeinflussen.</w:t>
      </w:r>
    </w:p>
    <w:p>
      <w:r>
        <w:rPr>
          <w:b/>
        </w:rPr>
        <w:t xml:space="preserve">Ergebnis: </w:t>
      </w:r>
      <w:r>
        <w:t>Therapietreue betrug 56%. Arbeitsinklusion war unabhängig mit besserer Adhärenz assoziiert (AOR 1,50; 95%-KI 1,00–2,25; p=0,049). Moderate körperliche Arbeitsbelastung zeigte paradoxe schützende Assoziation (AOR 0,49; 95%-KI 0,26–0,92; p=0,026). Praktische Arbeitsmerkmale wie Stundenanzahl oder Vertragstyp waren nicht signifikant mit Adhärenz assoziiert.</w:t>
      </w:r>
    </w:p>
    <w:p>
      <w:r>
        <w:rPr>
          <w:b/>
          <w:sz w:val="19"/>
        </w:rPr>
        <w:t xml:space="preserve">Übertragbarkeit: </w:t>
      </w:r>
      <w:r>
        <w:rPr>
          <w:sz w:val="19"/>
        </w:rPr>
        <w:t>Niederlande, Versicherungssystem vergleichbar mit Deutschland; Frage der Arbeitsintegration für chronisch Kranke universell relevant.</w:t>
      </w:r>
    </w:p>
    <w:p>
      <w:r>
        <w:rPr>
          <w:color w:val="5A7D3A"/>
          <w:sz w:val="18"/>
        </w:rPr>
        <w:t>https://pubmed.ncbi.nlm.nih.gov/42868134/</w:t>
      </w:r>
    </w:p>
    <w:p>
      <w:pPr>
        <w:pStyle w:val="Heading2"/>
      </w:pPr>
      <w:r>
        <w:t>Kardiovaskuläre Mehrfacherkrankung verschärft Krankenhausergebnisse bei COPD-Exazerbation</w:t>
      </w:r>
    </w:p>
    <w:p>
      <w:r>
        <w:rPr>
          <w:i/>
          <w:color w:val="666666"/>
          <w:sz w:val="18"/>
        </w:rPr>
        <w:t>Fu Y et al.  ·  Int J Chron Obstruct Pulmon Dis  ·  07.10.2026  ·  PMID 42865926</w:t>
      </w:r>
    </w:p>
    <w:p>
      <w:r>
        <w:t>Chinesische Rückwärtskohorte mit 3.684 Aufnahmen von 2.281 COPD-Patienten (2015–2024) untersuchte den Einfluss kardiovaskulärer Komorbiditäten auf Krankenhausverweildauer und Wiederaufnahmen.</w:t>
      </w:r>
    </w:p>
    <w:p>
      <w:r>
        <w:rPr>
          <w:b/>
        </w:rPr>
        <w:t xml:space="preserve">Ergebnis: </w:t>
      </w:r>
      <w:r>
        <w:t>71,7% hatten mindestens eine kardiovaskuläre Erkrankung. Nach vollständiger Adjustierung: 2 kardiovaskuläre Erkrankungen erhöhten verlängerte Verweildauer (≥14 Tage) OR 1,60 (95%-KI 1,18–2,16); ≥3 Erkrankungen OR 1,95 (95%-KI 1,30–2,93; p&lt;0,001 Trend). 1-Jahres-Wiederaufnahmerate stieg mit Komorbidität (HR 1,38 für 1; 1,42 für 2; 1,68 für ≥3 Erkrankungen; p=0,006). HTN+IHD+PAD höchstes Risiko (OR 2,53). Kardiovaskuläre Mehrfacherkrankung ist unabhängiger Risikofaktor für Hospitalisierungsergebnisse bei AECOPD.</w:t>
      </w:r>
    </w:p>
    <w:p>
      <w:r>
        <w:rPr>
          <w:b/>
          <w:sz w:val="19"/>
        </w:rPr>
        <w:t xml:space="preserve">Übertragbarkeit: </w:t>
      </w:r>
      <w:r>
        <w:rPr>
          <w:sz w:val="19"/>
        </w:rPr>
        <w:t>China, aber Mehrfacherkrankung und klinische Ergebnisse in ähnlicher Versorgungsstruktur messbar.</w:t>
      </w:r>
    </w:p>
    <w:p>
      <w:r>
        <w:rPr>
          <w:color w:val="5A7D3A"/>
          <w:sz w:val="18"/>
        </w:rPr>
        <w:t>https://pubmed.ncbi.nlm.nih.gov/42865926/</w:t>
      </w:r>
    </w:p>
    <w:p>
      <w:pPr>
        <w:pStyle w:val="Heading2"/>
      </w:pPr>
      <w:r>
        <w:t>Sozialverschreibung wirkt durch Teilnahme, nicht bloße Überweisung</w:t>
      </w:r>
    </w:p>
    <w:p>
      <w:r>
        <w:rPr>
          <w:i/>
          <w:color w:val="666666"/>
          <w:sz w:val="18"/>
        </w:rPr>
        <w:t>Huang M et al.  ·  Front Public Health  ·  28.09.2026  ·  PMID 42865730</w:t>
      </w:r>
    </w:p>
    <w:p>
      <w:r>
        <w:t>Bayesianische Re-Analyse von 10 randomisierten Studien (4.840 Teilnehmer) zur Sozialverschreibung (Social Prescribing) bei chronischen Erkrankungen untersuchte, ob Empfehlung oder Programmteilnahme den Nutzen erklärt.</w:t>
      </w:r>
    </w:p>
    <w:p>
      <w:r>
        <w:rPr>
          <w:b/>
        </w:rPr>
        <w:t xml:space="preserve">Ergebnis: </w:t>
      </w:r>
      <w:r>
        <w:t>Intention-to-treat-Effekt auf körperliche Aktivität: OR 1,31 (95%-CrI 1,07–1,67; posterior probability 0,991). Kein konsistenter Dosis-Response-Effekt (Slope -1,29; 95%-CrI -6,17 bis 3,48). Hohe Programmteilnahme zeigte zusätzlichen Benefit von 0,26 klinisch bedeutsamen Einheiten (95%-CrI -0,07 bis 0,63; posterior probability 0,940). Positive Effekte über körperliche Aktivität, Körpergewicht, Blutdruck, psychisches Wohlbefinden, Lebensqualität. Erfolgreiche Teilnahme – nicht bloße Überweisung – ist primärer Wirkmechanismus.</w:t>
      </w:r>
    </w:p>
    <w:p>
      <w:r>
        <w:rPr>
          <w:b/>
          <w:sz w:val="19"/>
        </w:rPr>
        <w:t xml:space="preserve">Übertragbarkeit: </w:t>
      </w:r>
      <w:r>
        <w:rPr>
          <w:sz w:val="19"/>
        </w:rPr>
        <w:t>Überwiegend europäische und kanadische Studien; Konzept Social Prescribing mit Partizipation über Systeme hinweg relevant.</w:t>
      </w:r>
    </w:p>
    <w:p>
      <w:r>
        <w:rPr>
          <w:color w:val="5A7D3A"/>
          <w:sz w:val="18"/>
        </w:rPr>
        <w:t>https://pubmed.ncbi.nlm.nih.gov/42865730/</w:t>
      </w:r>
    </w:p>
    <w:p>
      <w:pPr>
        <w:pStyle w:val="Heading2"/>
      </w:pPr>
      <w:r>
        <w:t>Strukturiertes Trainungsprogramm verbessert Lungenfunktion bei COPD</w:t>
      </w:r>
    </w:p>
    <w:p>
      <w:r>
        <w:rPr>
          <w:i/>
          <w:color w:val="666666"/>
          <w:sz w:val="18"/>
        </w:rPr>
        <w:t>Cederberg A et al.  ·  Respir Res  ·  12.10.2026  ·  PMID 42864666</w:t>
      </w:r>
    </w:p>
    <w:p>
      <w:r>
        <w:t>Schwedische prospektive Interventionsstudie mit 62 COPD-Patienten evaluierte 12 Wochen ambulantes Kraft- und Ausdauertraining (3×/Woche) auf Lungenfunktion, Belastbarkeit und Symptombelastung.</w:t>
      </w:r>
    </w:p>
    <w:p>
      <w:r>
        <w:rPr>
          <w:b/>
        </w:rPr>
        <w:t xml:space="preserve">Ergebnis: </w:t>
      </w:r>
      <w:r>
        <w:t>Impulse-Oszillometrie zeigte signifikante Verbesserungen: R5 Δ=-0,75 z-Score (p=0,001), R5-R20 Δ=-0,18 z-Score (p=0,007), Fres Δ=-0,33 Hz (p=0,022), AX Δ=-0,05 kPa·s⁻¹ (p=0,042). 6-Minuten-Gehtest verbesserte sich um 15 m (p=0,002), 1-Minuten-Sit-to-Stand um 3 Wiederholungen (p&lt;0,0001). CAT-Score sank um 1,0 Punkt (p=0,014), CCQ um 0,1 (p=0,011). Spirometrie zeigte nur kleine FVC-Zunahme. Verbesserung der peripheren Atemwegsphysiologie ohne signifikante Spirometrieänderung.</w:t>
      </w:r>
    </w:p>
    <w:p>
      <w:r>
        <w:rPr>
          <w:b/>
          <w:sz w:val="19"/>
        </w:rPr>
        <w:t xml:space="preserve">Übertragbarkeit: </w:t>
      </w:r>
      <w:r>
        <w:rPr>
          <w:sz w:val="19"/>
        </w:rPr>
        <w:t>Schweden, vergleichbare Primärversorgung; strukturiertes Trainingskonzept für Praxen und Reha übertragbar.</w:t>
      </w:r>
    </w:p>
    <w:p>
      <w:r>
        <w:rPr>
          <w:color w:val="5A7D3A"/>
          <w:sz w:val="18"/>
        </w:rPr>
        <w:t>https://pubmed.ncbi.nlm.nih.gov/42864666/</w:t>
      </w:r>
    </w:p>
    <w:p>
      <w:pPr>
        <w:pStyle w:val="Heading2"/>
      </w:pPr>
      <w:r>
        <w:t>ME/CFS bei jungen Menschen: Unmet Needs in Versorgung und Betreuung</w:t>
      </w:r>
    </w:p>
    <w:p>
      <w:r>
        <w:rPr>
          <w:i/>
          <w:color w:val="666666"/>
          <w:sz w:val="18"/>
        </w:rPr>
        <w:t>Kircher A et al.  ·  BMC Public Health  ·  29.09.2026  ·  PMID 42864639</w:t>
      </w:r>
    </w:p>
    <w:p>
      <w:r>
        <w:t>Qualitative deutsche Studie mit 14 Patienten (12–25 Jahre) und 18 Eltern (Fokusgruppen und Tagebuch) identifizierte unerfüllte Versorgungsbedarfe bei ME/CFS.</w:t>
      </w:r>
    </w:p>
    <w:p>
      <w:r>
        <w:rPr>
          <w:b/>
        </w:rPr>
        <w:t xml:space="preserve">Ergebnis: </w:t>
      </w:r>
      <w:r>
        <w:t>Patienten benannten vier zentrale unerfüllte Bedarfe: (1) nicht alleine gelassen werden mit der Krankheit, (2) Flexibilität und Verständnis von Gesundheitsanbietern, (3) weniger Erklärungsdruck gegenüber anderen, (4) Anerkennung des Familieneinsatzes als Lückenbüßer. Eltern identifizierten parallel vier Themen: nicht alleine sein, krankheitsgerechte Versorgung, Wissen und Verständnis für ME/CFS, Handlungskompetenz. Bedarfe von Patienten und Eltern überlappten deutlich und zeigen Bedarf für bedarfsadaptierte Versorgungsstrukturen.</w:t>
      </w:r>
    </w:p>
    <w:p>
      <w:r>
        <w:rPr>
          <w:b/>
          <w:sz w:val="19"/>
        </w:rPr>
        <w:t xml:space="preserve">Übertragbarkeit: </w:t>
      </w:r>
      <w:r>
        <w:rPr>
          <w:sz w:val="19"/>
        </w:rPr>
        <w:t>Deutsche Studie; direkter Versorgungsbezug für Ausgestaltung von ME/CFS-Programmen in Deutschland.</w:t>
      </w:r>
    </w:p>
    <w:p>
      <w:r>
        <w:rPr>
          <w:color w:val="5A7D3A"/>
          <w:sz w:val="18"/>
        </w:rPr>
        <w:t>https://pubmed.ncbi.nlm.nih.gov/42864639/</w:t>
      </w:r>
    </w:p>
    <w:p>
      <w:pPr>
        <w:pStyle w:val="Heading2"/>
      </w:pPr>
      <w:r>
        <w:t>Sequenzielle Tyrosinkinase-Inhibitor-Therapie bei resistenter chronischer myeloischer Leukämie</w:t>
      </w:r>
    </w:p>
    <w:p>
      <w:r>
        <w:rPr>
          <w:i/>
          <w:color w:val="666666"/>
          <w:sz w:val="18"/>
        </w:rPr>
        <w:t>Gugliotta G et al.  ·  Clin Lymphoma Myeloma Leuk  ·  24.07.2026  ·  PMID 42608256</w:t>
      </w:r>
    </w:p>
    <w:p>
      <w:r>
        <w:t>Italienische Real-World-Kohortenstudie mit 69 CML-Patienten in chronischer Phase untersuchte Ergebnisse nach Wechsel auf Zweitlinien-TKI bei Versagen von Nilotinib oder Dasatinib.</w:t>
      </w:r>
    </w:p>
    <w:p>
      <w:r>
        <w:rPr>
          <w:b/>
        </w:rPr>
        <w:t xml:space="preserve">Ergebnis: </w:t>
      </w:r>
      <w:r>
        <w:t>Medianer Zeitpunkt zum Wechsel: 15 Monate. Ponatinib am häufigsten eingesetzt (68%). Als beste Molekülresponse: 78% erreichten BCR::ABL1IS &lt;1%. 3-Jahres-Rate für MR3: 69,4% (95%-KI 53,2–84,2%). 30% benötigten nach median 9 Monaten Drittlinien-Therapie, meist wegen Resistenz (81%); von diesen erreichten 50% BCR::ABL1IS &lt;1%. 9% zur Stammzelltransplantation; 7% Blastentransformation (alle starben). 5-Jahres-progressionsfreies und Gesamtüberleben: 87% (95%-KI 67,1–95,2%) und 83% (95%-KI 61,7–93%).</w:t>
      </w:r>
    </w:p>
    <w:p>
      <w:r>
        <w:rPr>
          <w:b/>
          <w:sz w:val="19"/>
        </w:rPr>
        <w:t xml:space="preserve">Übertragbarkeit: </w:t>
      </w:r>
      <w:r>
        <w:rPr>
          <w:sz w:val="19"/>
        </w:rPr>
        <w:t>Italien, ähnliche Versorgungsstrukturen und Dokumentation wie Deutschland; real-world Wirk­lichkeit von Sequenztherapien.</w:t>
      </w:r>
    </w:p>
    <w:p>
      <w:r>
        <w:rPr>
          <w:color w:val="5A7D3A"/>
          <w:sz w:val="18"/>
        </w:rPr>
        <w:t>https://pubmed.ncbi.nlm.nih.gov/42608256/</w:t>
      </w:r>
    </w:p>
    <w:p>
      <w:pPr>
        <w:pStyle w:val="Heading1"/>
      </w:pPr>
      <w:r>
        <w:t>Aufgenommen am 13.10.2026</w:t>
      </w:r>
    </w:p>
    <w:p>
      <w:pPr>
        <w:pStyle w:val="Heading2"/>
      </w:pPr>
      <w:r>
        <w:t>Selbstvertretung bei Hämodialysepatienten: aktive Partizipation nur bei 15%</w:t>
      </w:r>
    </w:p>
    <w:p>
      <w:r>
        <w:rPr>
          <w:i/>
          <w:color w:val="666666"/>
          <w:sz w:val="18"/>
        </w:rPr>
        <w:t>Xu W et al.  ·  BMC Nephrol  ·  07.08.2026  ·  PMID 42859166</w:t>
      </w:r>
    </w:p>
    <w:p>
      <w:r>
        <w:t>Querschnittsstudie an 429 Hämodialysepatienten zur Identifikation von Profilen der Patientenselbstvertretung und deren Einflussfaktoren.</w:t>
      </w:r>
    </w:p>
    <w:p>
      <w:r>
        <w:rPr>
          <w:b/>
        </w:rPr>
        <w:t xml:space="preserve">Ergebnis: </w:t>
      </w:r>
      <w:r>
        <w:t>Nur 15,0% der Patienten zeigten aktive Selbstvertretung ("Active Striving Type"), 58,5% moderate Partizipation und 26,5% passive Akzeptanz. Wahrgenommene soziale Unterstützung, Selbstmanagementfähigkeit und emotionale Last waren signifikante Einflussfaktoren (p&lt;0,05). Die Netzwerkanalyse identifizierte unterschiedliche zentrale Symptomknoten pro Gruppe.</w:t>
      </w:r>
    </w:p>
    <w:p>
      <w:r>
        <w:rPr>
          <w:b/>
          <w:sz w:val="19"/>
        </w:rPr>
        <w:t xml:space="preserve">Übertragbarkeit: </w:t>
      </w:r>
      <w:r>
        <w:rPr>
          <w:sz w:val="19"/>
        </w:rPr>
        <w:t>China, Versorgungspraxis anwendbar; Selbstvertretung als Versorgungsqualitätsmerkmal</w:t>
      </w:r>
    </w:p>
    <w:p>
      <w:r>
        <w:rPr>
          <w:color w:val="5A7D3A"/>
          <w:sz w:val="18"/>
        </w:rPr>
        <w:t>https://pubmed.ncbi.nlm.nih.gov/42859166/</w:t>
      </w:r>
    </w:p>
    <w:p>
      <w:pPr>
        <w:pStyle w:val="Heading2"/>
      </w:pPr>
      <w:r>
        <w:t>U-förmige Beziehung zwischen Schlaf und Nierenfunktion: CKD-Prävalenz bei Kurz- und Langschläfern erhöht</w:t>
      </w:r>
    </w:p>
    <w:p>
      <w:r>
        <w:rPr>
          <w:i/>
          <w:color w:val="666666"/>
          <w:sz w:val="18"/>
        </w:rPr>
        <w:t>Oh J et al.  ·  Medicine (Baltimore)  ·  09.10.2026  ·  PMID 42854001</w:t>
      </w:r>
    </w:p>
    <w:p>
      <w:r>
        <w:t>Populationsstudie mit 87.246 koreanischen Erwachsenen (≥19 Jahre) zur Assoziation zwischen Schlafmuster und CKD-Prävalenz über 16 Jahre.</w:t>
      </w:r>
    </w:p>
    <w:p>
      <w:r>
        <w:rPr>
          <w:b/>
        </w:rPr>
        <w:t xml:space="preserve">Ergebnis: </w:t>
      </w:r>
      <w:r>
        <w:t>CKD-Prävalenz zeigte U-förmige Assoziation mit Schlafdauer: &lt;6 h täglicher Schlaf (adjustierte OR 2,34, 95%-KI 2,04-2,69), ≥9 h Schlaf (OR 2,07, 95%-KI 1,77-2,41) versus optimale 7-8 h. Die CKD-Gesamtprävalenz sank von 2007-2009 (5,13%) auf 2020-2022 (3,53%). Assoziation blieb nach Adjustment für kardio-metabolische Komorbiditäten stabil.</w:t>
      </w:r>
    </w:p>
    <w:p>
      <w:r>
        <w:rPr>
          <w:b/>
          <w:sz w:val="19"/>
        </w:rPr>
        <w:t xml:space="preserve">Übertragbarkeit: </w:t>
      </w:r>
      <w:r>
        <w:rPr>
          <w:sz w:val="19"/>
        </w:rPr>
        <w:t>Südkorea mit universalversorgtem System; Schlafqualität als modifizierbarer Präventionfaktor</w:t>
      </w:r>
    </w:p>
    <w:p>
      <w:r>
        <w:rPr>
          <w:color w:val="5A7D3A"/>
          <w:sz w:val="18"/>
        </w:rPr>
        <w:t>https://pubmed.ncbi.nlm.nih.gov/42854001/</w:t>
      </w:r>
    </w:p>
    <w:p>
      <w:pPr>
        <w:pStyle w:val="Heading2"/>
      </w:pPr>
      <w:r>
        <w:t>Kamerun: 43% aller Todesfälle durch nicht übertragbare Krankheiten, aber nur 6% der Prävention finanziert</w:t>
      </w:r>
    </w:p>
    <w:p>
      <w:r>
        <w:rPr>
          <w:i/>
          <w:color w:val="666666"/>
          <w:sz w:val="18"/>
        </w:rPr>
        <w:t>Saidu Y et al.  ·  J Glob Health  ·  09.10.2026  ·  PMID 42853019</w:t>
      </w:r>
    </w:p>
    <w:p>
      <w:r>
        <w:t>Priorisierungsstudie auf Basis von Global Burden of Disease 2019 und systematischer Literaturanalyse zur Krankheitslast und Versorgungsinvestitionen für nicht übertragbare Erkrankungen in Kamerun.</w:t>
      </w:r>
    </w:p>
    <w:p>
      <w:r>
        <w:rPr>
          <w:b/>
        </w:rPr>
        <w:t xml:space="preserve">Ergebnis: </w:t>
      </w:r>
      <w:r>
        <w:t>NCD/Verletzungen verursachten 2019 43% aller Todesfälle, 29% davon in der Altersgruppe &lt;40 Jahre. DALYs stiegen seit 1990 kontinuierlich an. 61% der NCDI-DALYs stammen aus Bereichen außerhalb der "Big Four" (Diabetes, Krebs, Atemwegserkrankungen, Kardiovaskulär). Trotz dieser Last wurden 2016-2020 nur 6% der Präventionsmittel für NCD verwendet. 49 Prioritätsbedingungen und 123 Interventionen identifiziert.</w:t>
      </w:r>
    </w:p>
    <w:p>
      <w:r>
        <w:rPr>
          <w:b/>
          <w:sz w:val="19"/>
        </w:rPr>
        <w:t xml:space="preserve">Übertragbarkeit: </w:t>
      </w:r>
      <w:r>
        <w:rPr>
          <w:sz w:val="19"/>
        </w:rPr>
        <w:t>Kamerun/LMIC; zentral für Versorgungsungleichheit und Priorisierung in ressourcenbegrenzten Systemen</w:t>
      </w:r>
    </w:p>
    <w:p>
      <w:r>
        <w:rPr>
          <w:color w:val="5A7D3A"/>
          <w:sz w:val="18"/>
        </w:rPr>
        <w:t>https://pubmed.ncbi.nlm.nih.gov/42853019/</w:t>
      </w:r>
    </w:p>
    <w:p>
      <w:pPr>
        <w:pStyle w:val="Heading2"/>
      </w:pPr>
      <w:r>
        <w:t>Long COVID: Olfaktorische Dysfunktion bei 77% trotz schwacher Selbstwahrnehmung</w:t>
      </w:r>
    </w:p>
    <w:p>
      <w:r>
        <w:rPr>
          <w:i/>
          <w:color w:val="666666"/>
          <w:sz w:val="18"/>
        </w:rPr>
        <w:t>Degen CV et al.  ·  Am J Otolaryngol  ·  25.08.2026  ·  PMID 42679644</w:t>
      </w:r>
    </w:p>
    <w:p>
      <w:r>
        <w:t>Querschnittsstudie mit 154 Teilnehmern (Long COVID n=122, genesen n=9, Kontrollen n=24) zur objektiven und subjektiven Erfassung von Riech- und Geschmacksstörungen.</w:t>
      </w:r>
    </w:p>
    <w:p>
      <w:r>
        <w:rPr>
          <w:b/>
        </w:rPr>
        <w:t xml:space="preserve">Ergebnis: </w:t>
      </w:r>
      <w:r>
        <w:t>Long-COVID-Patienten zeigten signifikant schlechtere Ergebnisse bei objektivem Riech- und Geschmackstest versus Kontrollen. Subjektive Einschätzung korrelierte nur schwach mit objektiven Messwerten (r=-0,525, p&lt;0,001). Zeitspanne seit Infektion korrelierte nicht mit Schweregrad. Olfaktorisches Training als wirksame Behandlung ist verfügbar.</w:t>
      </w:r>
    </w:p>
    <w:p>
      <w:r>
        <w:rPr>
          <w:b/>
          <w:sz w:val="19"/>
        </w:rPr>
        <w:t xml:space="preserve">Übertragbarkeit: </w:t>
      </w:r>
      <w:r>
        <w:rPr>
          <w:sz w:val="19"/>
        </w:rPr>
        <w:t>Deutschland, deutsche Studienzentren; Screening-Empfehlung für Long-COVID-Management</w:t>
      </w:r>
    </w:p>
    <w:p>
      <w:r>
        <w:rPr>
          <w:color w:val="5A7D3A"/>
          <w:sz w:val="18"/>
        </w:rPr>
        <w:t>https://pubmed.ncbi.nlm.nih.gov/42679644/</w:t>
      </w:r>
    </w:p>
    <w:p>
      <w:pPr>
        <w:pStyle w:val="Heading2"/>
      </w:pPr>
      <w:r>
        <w:t>EIT-gestützte Inhalationstechnik verbessert Hyperinflation bei COPD</w:t>
      </w:r>
    </w:p>
    <w:p>
      <w:r>
        <w:rPr>
          <w:i/>
          <w:color w:val="666666"/>
          <w:sz w:val="18"/>
        </w:rPr>
        <w:t>Stolz S et al.  ·  Sci Rep  ·  24.08.2026  ·  PMID 42637795</w:t>
      </w:r>
    </w:p>
    <w:p>
      <w:r>
        <w:t>Randomisierte, kontrollierte Pilotstudie (n=29 COPD-Patienten) zum Effekt von visueller EIT-Rückmeldung auf Lungenfunktion während Inhalationstherapie.</w:t>
      </w:r>
    </w:p>
    <w:p>
      <w:r>
        <w:rPr>
          <w:b/>
        </w:rPr>
        <w:t xml:space="preserve">Ergebnis: </w:t>
      </w:r>
      <w:r>
        <w:t>Interventionsgruppe mit EIT-Feedback zeigte signifikante FRC-Reduktion gegenüber Kontrolle (Intervention -0,4 L vs. Kontrolle -0,1 L, p&lt;0,05). Keine signifikanten Unterschiede bei FEV1 zwischen Gruppen. Widerstände tendierten zur Zunahme in der Interventionsgruppe. Subjektiver Benefit und EIT-Parameter zeigten keine Unterschiede.</w:t>
      </w:r>
    </w:p>
    <w:p>
      <w:r>
        <w:rPr>
          <w:b/>
          <w:sz w:val="19"/>
        </w:rPr>
        <w:t xml:space="preserve">Übertragbarkeit: </w:t>
      </w:r>
      <w:r>
        <w:rPr>
          <w:sz w:val="19"/>
        </w:rPr>
        <w:t>Deutschland, Universitätsklinik Saarland; methodische Machbarkeitsstudie, längerfristige Effekte offen</w:t>
      </w:r>
    </w:p>
    <w:p>
      <w:r>
        <w:rPr>
          <w:color w:val="5A7D3A"/>
          <w:sz w:val="18"/>
        </w:rPr>
        <w:t>https://pubmed.ncbi.nlm.nih.gov/42637795/</w:t>
      </w:r>
    </w:p>
    <w:p>
      <w:pPr>
        <w:pStyle w:val="Heading2"/>
      </w:pPr>
      <w:r>
        <w:t>CKD-Screening in der Hausarztpraxis: Politischer Aktionsplan für Europa</w:t>
      </w:r>
    </w:p>
    <w:p>
      <w:r>
        <w:rPr>
          <w:i/>
          <w:color w:val="666666"/>
          <w:sz w:val="18"/>
        </w:rPr>
        <w:t>De Nicola L et al.  ·  J Nephrol  ·  10.10.2026  ·  PMID 42627753</w:t>
      </w:r>
    </w:p>
    <w:p>
      <w:r>
        <w:t>Positionspapier der Italienischen Nephrologischen Gesellschaft zu einem strukturierten CKD-Screening und Managementprogramm für die primäre Versorgung.</w:t>
      </w:r>
    </w:p>
    <w:p>
      <w:r>
        <w:rPr>
          <w:b/>
        </w:rPr>
        <w:t xml:space="preserve">Ergebnis: </w:t>
      </w:r>
      <w:r>
        <w:t>WHO und UN erkannten CKD 2025 als globale Gesundheitspriorität an. Die Italienische Gesellschaft hat ein Screening-Programm für die Hausarztpraxis entwickelt (aktuell im italienischen Parlament in Diskussion) mit kombinierter Edukation zur CKD-Früherkennung. Remission von CKD ist zunehmend erreichbar; niedriges Bewusstsein bei Patienten und Nicht-Nephrologen bleibt Hauptbarriere.</w:t>
      </w:r>
    </w:p>
    <w:p>
      <w:r>
        <w:rPr>
          <w:b/>
          <w:sz w:val="19"/>
        </w:rPr>
        <w:t xml:space="preserve">Übertragbarkeit: </w:t>
      </w:r>
      <w:r>
        <w:rPr>
          <w:sz w:val="19"/>
        </w:rPr>
        <w:t>Italien/Europa, vergleichbare Gesundheitssysteme; skalierbar auf Deutschland</w:t>
      </w:r>
    </w:p>
    <w:p>
      <w:r>
        <w:rPr>
          <w:color w:val="5A7D3A"/>
          <w:sz w:val="18"/>
        </w:rPr>
        <w:t>https://pubmed.ncbi.nlm.nih.gov/42627753/</w:t>
      </w:r>
    </w:p>
    <w:p>
      <w:pPr>
        <w:pStyle w:val="Heading1"/>
      </w:pPr>
      <w:r>
        <w:t>Aufgenommen am 12.10.2026</w:t>
      </w:r>
    </w:p>
    <w:p>
      <w:pPr>
        <w:pStyle w:val="Heading2"/>
      </w:pPr>
      <w:r>
        <w:t>Sturzrisiko bei COPD: Gleichgewichtsstörungen stärker assoziiert als Muskelschwäche</w:t>
      </w:r>
    </w:p>
    <w:p>
      <w:r>
        <w:rPr>
          <w:i/>
          <w:color w:val="666666"/>
          <w:sz w:val="18"/>
        </w:rPr>
        <w:t>Zangi M et al.  ·  Int J Chron Obstruct Pulmon Dis  ·  06.10.2026  ·  PMID 42859794</w:t>
      </w:r>
    </w:p>
    <w:p>
      <w:r>
        <w:t>Systematische Übersicht von 25 Studien mit 1.295 Teilnehmenden zu Zusammenhängen zwischen neuromuskulären Faktoren, Balance, Gangcharakteristika und Sturzereignissen bei COPD.</w:t>
      </w:r>
    </w:p>
    <w:p>
      <w:r>
        <w:rPr>
          <w:b/>
        </w:rPr>
        <w:t xml:space="preserve">Ergebnis: </w:t>
      </w:r>
      <w:r>
        <w:t>17 von 25 Studien zeigten signifikante Assoziationen zwischen Studienparametern und Sturzrisiko. Gleichgewichtsstörungen wiesen die konsistenteste Beziehung auf (14 von 17 Studien mit positiven Assoziationen). Die Evidenz für Muskelkraft war gemischt: Während einige Studien Quadrizeps-Schwäche mit erhöhtem Sturzrisiko verbanden (Odds Ratio 2,9 in einer Studie), fanden andere keine signifikante Assoziation. Veränderte Gangcharakteristika, insbesondere erhöhte Schrittzeit-Variabilität, wurden ebenfalls mit Stürzen assoziiert.</w:t>
      </w:r>
    </w:p>
    <w:p>
      <w:r>
        <w:rPr>
          <w:b/>
          <w:sz w:val="19"/>
        </w:rPr>
        <w:t xml:space="preserve">Übertragbarkeit: </w:t>
      </w:r>
      <w:r>
        <w:rPr>
          <w:sz w:val="19"/>
        </w:rPr>
        <w:t>Deutsche Rehaeinrichtungen, weit verbreitet in COPD-Versorgung; prospektive Studien zur Kausalität noch ausstehend.</w:t>
      </w:r>
    </w:p>
    <w:p>
      <w:r>
        <w:rPr>
          <w:color w:val="5A7D3A"/>
          <w:sz w:val="18"/>
        </w:rPr>
        <w:t>https://pubmed.ncbi.nlm.nih.gov/42859794/</w:t>
      </w:r>
    </w:p>
    <w:p>
      <w:pPr>
        <w:pStyle w:val="Heading2"/>
      </w:pPr>
      <w:r>
        <w:t>Mehrfacherkrankung verschlechtert Lebensqualität in Dosis-Wirkungs-Beziehung</w:t>
      </w:r>
    </w:p>
    <w:p>
      <w:r>
        <w:rPr>
          <w:i/>
          <w:color w:val="666666"/>
          <w:sz w:val="18"/>
        </w:rPr>
        <w:t>Manríquez-Robles D et al.  ·  Qual Life Res  ·  10.10.2026  ·  PMID 42859314</w:t>
      </w:r>
    </w:p>
    <w:p>
      <w:r>
        <w:t>Bevölkerungsrepräsentative chilenische Stichprobe (n=16.469) zur Identifikation von Mehrfacherkrankungs-Profilen und deren Zusammenhang mit globaler Lebensqualität mittels Latent-Class-Analyse und Strukturgleichungsmodellierung.</w:t>
      </w:r>
    </w:p>
    <w:p>
      <w:r>
        <w:rPr>
          <w:b/>
        </w:rPr>
        <w:t xml:space="preserve">Ergebnis: </w:t>
      </w:r>
      <w:r>
        <w:t>Drei Klassen wurden identifiziert: niedrige Belastung (untere Gruppe), mittlere Belastung (58,5%) und hohe Belastung (15,0%). Globale Lebensqualität war bei Personen mit mittlerer Belastung um β=-0,132 (p&lt;0,001) und bei hoher Belastung um β=-0,341 (p&lt;0,001) niedriger als in der Referenzgruppe. Schulbildung (β=0,142) und Haushaltseinkommen (β=0,139) waren positiv mit Lebensqualität assoziiert. Mehrfacherkrankung und funktionale Einschränkung waren die stärksten Differenzierungsmerkmale der Profile.</w:t>
      </w:r>
    </w:p>
    <w:p>
      <w:r>
        <w:rPr>
          <w:b/>
          <w:sz w:val="19"/>
        </w:rPr>
        <w:t xml:space="preserve">Übertragbarkeit: </w:t>
      </w:r>
      <w:r>
        <w:rPr>
          <w:sz w:val="19"/>
        </w:rPr>
        <w:t>Lateinamerika; ähnliche Sozialversicherungsstruktur wie deutschsprachige Länder; vergleichbare Erfassung chronischer Erkrankungen.</w:t>
      </w:r>
    </w:p>
    <w:p>
      <w:r>
        <w:rPr>
          <w:color w:val="5A7D3A"/>
          <w:sz w:val="18"/>
        </w:rPr>
        <w:t>https://pubmed.ncbi.nlm.nih.gov/42859314/</w:t>
      </w:r>
    </w:p>
    <w:p>
      <w:pPr>
        <w:pStyle w:val="Heading2"/>
      </w:pPr>
      <w:r>
        <w:t>Körperzusammensetzung bei älteren Menschen: Fettmasse stärker mit Hypertonie assoziiert als BMI allein</w:t>
      </w:r>
    </w:p>
    <w:p>
      <w:r>
        <w:rPr>
          <w:i/>
          <w:color w:val="666666"/>
          <w:sz w:val="18"/>
        </w:rPr>
        <w:t>Wei M et al.  ·  Front Public Health  ·  24.09.2026  ·  PMID 42851637</w:t>
      </w:r>
    </w:p>
    <w:p>
      <w:r>
        <w:t>Chinesische Querschnittsstudie mit 324 älteren Erwachsenen (≥65 Jahre) zur Messung der Körperzusammensetzung mittels InBody-Analysegerät und Assoziation mit Hypertonie, Dyslipidämie und Diabetes.</w:t>
      </w:r>
    </w:p>
    <w:p>
      <w:r>
        <w:rPr>
          <w:b/>
        </w:rPr>
        <w:t xml:space="preserve">Ergebnis: </w:t>
      </w:r>
      <w:r>
        <w:t>Prävalenzen: Hypertonie 62,3%, Dyslipidämie 53,7%, Diabetes 19,8%. Signifikante Geschlechts- und Altersunterschiede: Frauen hatten höheren Körperfettanteil (PBF) und niedrigere Skelettmuskelmasse (SMM), Personen ≥75 Jahre niedrigere SMM und höheres PBF. Multivariate Regressionen zeigten: höheres PBF und höheres Viszeralfett (VFL) unabhängig mit Hypertonie assoziiert; niedrigere SMM und höheres PBF mit Dyslipidämie; höheres PBF, niedrigere SMM und höherer Rumpffettanteil mit Diabetes. Assoziationen zeigten Heterogenität nach Geschlecht und Alter: Überschüssiges Körperfett prominenter bei Frauen, niedrige SMM stärker bei älteren Altersgruppen.</w:t>
      </w:r>
    </w:p>
    <w:p>
      <w:r>
        <w:rPr>
          <w:b/>
          <w:sz w:val="19"/>
        </w:rPr>
        <w:t xml:space="preserve">Übertragbarkeit: </w:t>
      </w:r>
      <w:r>
        <w:rPr>
          <w:sz w:val="19"/>
        </w:rPr>
        <w:t>China; ähnliche demografische Struktur und Mehrfacherkrankungs-Muster wie alternde deutsche Bevölkerung.</w:t>
      </w:r>
    </w:p>
    <w:p>
      <w:r>
        <w:rPr>
          <w:color w:val="5A7D3A"/>
          <w:sz w:val="18"/>
        </w:rPr>
        <w:t>https://pubmed.ncbi.nlm.nih.gov/42851637/</w:t>
      </w:r>
    </w:p>
    <w:p>
      <w:pPr>
        <w:pStyle w:val="Heading2"/>
      </w:pPr>
      <w:r>
        <w:t>Nierenfunktionsstörung bei indigener Bevölkerung: Machine Learning identifiziert Hochrisiko-Profile für Screening</w:t>
      </w:r>
    </w:p>
    <w:p>
      <w:r>
        <w:rPr>
          <w:i/>
          <w:color w:val="666666"/>
          <w:sz w:val="18"/>
        </w:rPr>
        <w:t>Kshatri JS et al.  ·  Indian J Med Res  ·  Aug. 2026  ·  PMID 42851230</w:t>
      </w:r>
    </w:p>
    <w:p>
      <w:r>
        <w:t>Sekundäranalyse der Odisha Tribal Family Health Survey mit 19.703 erwachsenen Angehörigen von 53 indigenen Gemeinschaften zur Prävalenz eingeschränkter Nierenfunktion (eGFR &lt;90) und Entwicklung von Deep-Neural-Network- und XGBoost-Vorhersagemodellen.</w:t>
      </w:r>
    </w:p>
    <w:p>
      <w:r>
        <w:rPr>
          <w:b/>
        </w:rPr>
        <w:t xml:space="preserve">Ergebnis: </w:t>
      </w:r>
      <w:r>
        <w:t>Gesamtprävalenz eingeschränkter Nierenfunktion 24,8% (95%-KI 23,8-25,9): davon 16,6% mild, 6,4% moderat, 1,5% schwer, 0,3% Nierenversagen. Prävalenz stieg mit Alter (5,6% bei 18-30 Jahren vs. 79,4% bei &gt;70 Jahren). Deep-Neural-Network-Modell: Genauigkeit 0,78, Recall 0,69 (verbessert auf 0,78 bei Schwellenwert 0,4). SHAP-Analyse identifizierte Alter, Hypertonie, Diabetes, Tabak- und Alkoholkonsum sowie niedrige Ernährungsdiversität als Schlüsselprädikatoren. Decision-Curve-Analyse deutete auf Nutzen ML-basierter gezielter Screenings hin.</w:t>
      </w:r>
    </w:p>
    <w:p>
      <w:r>
        <w:rPr>
          <w:b/>
          <w:sz w:val="19"/>
        </w:rPr>
        <w:t xml:space="preserve">Übertragbarkeit: </w:t>
      </w:r>
      <w:r>
        <w:rPr>
          <w:sz w:val="19"/>
        </w:rPr>
        <w:t>Südasien mit extremem Ressourcenmangel; ML-Modelle könnten auch in ähnlich ressourcenlimitierten deutschen Settings (ländliche Regionen) einsetzbar sein.</w:t>
      </w:r>
    </w:p>
    <w:p>
      <w:r>
        <w:rPr>
          <w:color w:val="5A7D3A"/>
          <w:sz w:val="18"/>
        </w:rPr>
        <w:t>https://pubmed.ncbi.nlm.nih.gov/42851230/</w:t>
      </w:r>
    </w:p>
    <w:p>
      <w:pPr>
        <w:pStyle w:val="Heading2"/>
      </w:pPr>
      <w:r>
        <w:t>Post-Lyme-Syndrom nach Antibiotika: Kliniker identifizieren weniger Fälle als Patienten-Fragebögen</w:t>
      </w:r>
    </w:p>
    <w:p>
      <w:r>
        <w:rPr>
          <w:i/>
          <w:color w:val="666666"/>
          <w:sz w:val="18"/>
        </w:rPr>
        <w:t>Yu H et al.  ·  Pathogens  ·  01.08.2026  ·  PMID 42654748</w:t>
      </w:r>
    </w:p>
    <w:p>
      <w:r>
        <w:t>Prospektive europäische Multiländer-Studie (Frankreich, Deutschland, Polen, Österreich, Skandinavien, Slowenien) zur Prävalenz und Klassifikation von Post-Behandlungs-Lyme-Borreliose-Syndrom (PTLDS) anhand klinischer Bewertung versus Patient-Reported Outcomes (n=242 mit kompletter Antibiotikabehandlung).</w:t>
      </w:r>
    </w:p>
    <w:p>
      <w:r>
        <w:rPr>
          <w:b/>
        </w:rPr>
        <w:t xml:space="preserve">Ergebnis: </w:t>
      </w:r>
      <w:r>
        <w:t>299 Patienten (40,9%) berichteten ≥1 Symptom (Müdigkeit, Muskel-Skelett-Schmerz oder kognitives Defizit) 10 Monate nach Diagnose. 15 Patienten (6,2%) erfüllten PTLDS-Kriterien nach klinischer oder Fragebogen-Bewertung; 4 (1,7%) erfüllten beide Kriterien. Fragebogen-PTLDS und Patienten mit persistierenden Symptomen berichteten höhere Symptomschweregrad und schlechtere physische Funktion als klinisch diagnostiziertes PTLDS, was darauf hindeutet, dass unterschiedliche Bewertungsmethoden teilweise unterschiedliche Patientengruppen erfassen.</w:t>
      </w:r>
    </w:p>
    <w:p>
      <w:r>
        <w:rPr>
          <w:b/>
          <w:sz w:val="19"/>
        </w:rPr>
        <w:t xml:space="preserve">Übertragbarkeit: </w:t>
      </w:r>
      <w:r>
        <w:rPr>
          <w:sz w:val="19"/>
        </w:rPr>
        <w:t>Europäische Mehrzenterdaten; direkt auf Deutschland und deutschsprachigen Raum übertragbar.</w:t>
      </w:r>
    </w:p>
    <w:p>
      <w:r>
        <w:rPr>
          <w:color w:val="5A7D3A"/>
          <w:sz w:val="18"/>
        </w:rPr>
        <w:t>https://pubmed.ncbi.nlm.nih.gov/42654748/</w:t>
      </w:r>
    </w:p>
    <w:p>
      <w:pPr>
        <w:pStyle w:val="Heading2"/>
      </w:pPr>
      <w:r>
        <w:t>Erektile Dysfunktion bei COPD: 87,5% Prävalenz; Dyslipidämie und Airflow-Limitation sind unabhängige Prädiktoren</w:t>
      </w:r>
    </w:p>
    <w:p>
      <w:r>
        <w:rPr>
          <w:i/>
          <w:color w:val="666666"/>
          <w:sz w:val="18"/>
        </w:rPr>
        <w:t>Alcalá-Rivera N et al.  ·  Rev Assoc Med Bras (1992)  ·  07.08.2026  ·  PMID 42585471</w:t>
      </w:r>
    </w:p>
    <w:p>
      <w:r>
        <w:t>Spanische Querschnittsstudie mit 120 männlichen COPD-Patienten zur Erfassung sexueller Funktionsstörungen mittels International Index of Erectile Function (IIEF ≤16 als klinisch signifikant).</w:t>
      </w:r>
    </w:p>
    <w:p>
      <w:r>
        <w:rPr>
          <w:b/>
        </w:rPr>
        <w:t xml:space="preserve">Ergebnis: </w:t>
      </w:r>
      <w:r>
        <w:t>113 Patienten (94,2%) berichteten Veränderungen ihrer Sexualfunktion, 42 (36%) waren unzufrieden. Erektile Dysfunktion-Prävalenz 87,5% (mild 27,5%, mild-moderat 21,7%, moderat 17,5%, schwer 20,8%). Hauptursachen laut Patientenaussage: Grunderkrankung (53,3%), Medikamente (20,8%), psychische Probleme (20%). Multivariate Analyse: Dyslipidämie (OR 4,03; 95%-KI 1,43-11,36; p=0,008) und verminderte %pFEV1 (OR 0,937; 95%-KI 0,906-0,968; p&lt;0,001) waren unabhängige Prädiktoren für klinisch signifikante erektile Dysfunktion.</w:t>
      </w:r>
    </w:p>
    <w:p>
      <w:r>
        <w:rPr>
          <w:b/>
          <w:sz w:val="19"/>
        </w:rPr>
        <w:t xml:space="preserve">Übertragbarkeit: </w:t>
      </w:r>
      <w:r>
        <w:rPr>
          <w:sz w:val="19"/>
        </w:rPr>
        <w:t>Südeuropa, vergleichbare COPD-Versorgungsstrukturen; sexuelle Gesundheit als unterschätzte Komponente chronischer Erkrankungen in der Praxis.</w:t>
      </w:r>
    </w:p>
    <w:p>
      <w:r>
        <w:rPr>
          <w:color w:val="5A7D3A"/>
          <w:sz w:val="18"/>
        </w:rPr>
        <w:t>https://pubmed.ncbi.nlm.nih.gov/42585471/</w:t>
      </w:r>
    </w:p>
    <w:p>
      <w:pPr>
        <w:pStyle w:val="Heading1"/>
      </w:pPr>
      <w:r>
        <w:t>Aufgenommen am 11.10.2026</w:t>
      </w:r>
    </w:p>
    <w:p>
      <w:pPr>
        <w:pStyle w:val="Heading2"/>
      </w:pPr>
      <w:r>
        <w:t>Urin-Dipstick-Test verbessert CKD-Screening durch Albumin-Kreatinin-Ratio</w:t>
      </w:r>
    </w:p>
    <w:p>
      <w:r>
        <w:rPr>
          <w:i/>
          <w:color w:val="666666"/>
          <w:sz w:val="18"/>
        </w:rPr>
        <w:t>Samaan F et al.  ·  BMC Nephrol  ·  03.09.2026  ·  PMID 42855677</w:t>
      </w:r>
    </w:p>
    <w:p>
      <w:r>
        <w:t>Brasilianische Pilotvalidierungsstudie an 410 Erwachsenen mit ≥1 CKD-Risikofaktor; Vergleich von zwei kommerziellen Urin-Dipsticks (Gesamtprotein vs. Albumin-Kreatinin-Ratio) gegen Referenzstandard quantitative UACR.</w:t>
      </w:r>
    </w:p>
    <w:p>
      <w:r>
        <w:rPr>
          <w:b/>
        </w:rPr>
        <w:t xml:space="preserve">Ergebnis: </w:t>
      </w:r>
      <w:r>
        <w:t>Albumin-Kreatinin-Dipstick (S12) zeigte höhere Sensitivität als Gesamtprotein-Dipstick (S10) für UACR ≥30 mg/g: 95% (95%-CI 92–98%) vs. 64% (57–71%; p&lt;0,001), für UACR 30–300 mg/g 56% vs. 36% (p=0,009), für UACR &gt;300 mg/g 95% vs. 79% (p=0,001). Hochrechnung auf 777.096 jährliche Routinetests: Ersatz würde 12.045 falsch-negative Fälle (86%) mit UACR ≥30 mg/g verhindern.</w:t>
      </w:r>
    </w:p>
    <w:p>
      <w:r>
        <w:rPr>
          <w:b/>
          <w:sz w:val="19"/>
        </w:rPr>
        <w:t xml:space="preserve">Übertragbarkeit: </w:t>
      </w:r>
      <w:r>
        <w:rPr>
          <w:sz w:val="19"/>
        </w:rPr>
        <w:t>Brasilien, private Krankenversicherung; Screening-Ansatz auf primärversorgende Strukturen übertragbar</w:t>
      </w:r>
    </w:p>
    <w:p>
      <w:r>
        <w:rPr>
          <w:color w:val="5A7D3A"/>
          <w:sz w:val="18"/>
        </w:rPr>
        <w:t>https://pubmed.ncbi.nlm.nih.gov/42855677/</w:t>
      </w:r>
    </w:p>
    <w:p>
      <w:pPr>
        <w:pStyle w:val="Heading2"/>
      </w:pPr>
      <w:r>
        <w:t>Semaglutid plus Dapagliflozin senkt HbA1c und Proteinurie bei Diabetes und CKD</w:t>
      </w:r>
    </w:p>
    <w:p>
      <w:r>
        <w:rPr>
          <w:i/>
          <w:color w:val="666666"/>
          <w:sz w:val="18"/>
        </w:rPr>
        <w:t>Gong C et al.  ·  Medicine (Baltimore)  ·  09.10.2026  ·  PMID 42854065</w:t>
      </w:r>
    </w:p>
    <w:p>
      <w:r>
        <w:t>Retrospektive chinesische Beobachtungsstudie an 126 Patienten mit Typ-2-Diabetes und CKD; Vergleich von Monotherapien (Semaglutid oder Dapagliflozin) mit Kombinationstherapie über 8 Wochen; Messung von Glukoseindizes, Nierenfunktion und Entzündungsmarkern.</w:t>
      </w:r>
    </w:p>
    <w:p>
      <w:r>
        <w:rPr>
          <w:b/>
        </w:rPr>
        <w:t xml:space="preserve">Ergebnis: </w:t>
      </w:r>
      <w:r>
        <w:t>Kombinationstherapie zeigte signifikant stärkere Reduktionen: HbA1c -1,8% (Kombination) vs. -1,2% (Monotherapie), 24-h-Proteinurie -0,42 g/Tag (Kombination) vs. -0,28 g/Tag (Monotherapie), IL-6 und CRP stärker gesenkt. Klinische Ansprechrate höher in Kombinationsgruppe. Keine erhöhten Nebenwirkungen nach 8 Wochen. Befunde begrenzt durch retrospektives Design und kurze Beobachtungsdauer.</w:t>
      </w:r>
    </w:p>
    <w:p>
      <w:r>
        <w:rPr>
          <w:b/>
          <w:sz w:val="19"/>
        </w:rPr>
        <w:t xml:space="preserve">Übertragbarkeit: </w:t>
      </w:r>
      <w:r>
        <w:rPr>
          <w:sz w:val="19"/>
        </w:rPr>
        <w:t>China, ähnliche Mehrfacherkrankungen; kurze Beobachtung, längerfristige Effekte unklar</w:t>
      </w:r>
    </w:p>
    <w:p>
      <w:r>
        <w:rPr>
          <w:color w:val="5A7D3A"/>
          <w:sz w:val="18"/>
        </w:rPr>
        <w:t>https://pubmed.ncbi.nlm.nih.gov/42854065/</w:t>
      </w:r>
    </w:p>
    <w:p>
      <w:pPr>
        <w:pStyle w:val="Heading2"/>
      </w:pPr>
      <w:r>
        <w:t>Lungenvolumenreduktion bei Antikoagulation sicher durchführbar</w:t>
      </w:r>
    </w:p>
    <w:p>
      <w:r>
        <w:rPr>
          <w:i/>
          <w:color w:val="666666"/>
          <w:sz w:val="18"/>
        </w:rPr>
        <w:t>Aleem MS et al.  ·  COPD  ·  27.09.2026  ·  PMID 42852569</w:t>
      </w:r>
    </w:p>
    <w:p>
      <w:r>
        <w:t>Retrospektive US-Datenbankanalyse der National Inpatient Sample (2016–2023) an 16.340 gewichteten Bronchoskopie-Hospitalisierungen mit Lungenvolumenreduktion; 7,8% erhielten chronische Antikoagulation; Vergleich von Blutungs- und anderen Komplikationen.</w:t>
      </w:r>
    </w:p>
    <w:p>
      <w:r>
        <w:rPr>
          <w:b/>
        </w:rPr>
        <w:t xml:space="preserve">Ergebnis: </w:t>
      </w:r>
      <w:r>
        <w:t>Antikoagulierte Patienten: Hämothorax 2,7% vs. 1,1% (nicht-antikoaguliert), Lungenblutung 7,1% vs. 4,7%, jedoch nach multivariater Analyse kein signifikanter unabhängiger Unterschied. Keine signifikanten Unterschiede in Mortalität, Pneumothorax oder Krankenhausverweildauer. Die Studie zeigt, dass Lungenvolumenreduktion auch bei antikoagulierten COPD-Patienten mit vergleichbaren Kurzzeitergebnissen durchführbar ist.</w:t>
      </w:r>
    </w:p>
    <w:p>
      <w:r>
        <w:rPr>
          <w:b/>
          <w:sz w:val="19"/>
        </w:rPr>
        <w:t xml:space="preserve">Übertragbarkeit: </w:t>
      </w:r>
      <w:r>
        <w:rPr>
          <w:sz w:val="19"/>
        </w:rPr>
        <w:t>USA-Krankenhauskodierungsdaten; Procedere übertragbar, Finanzierungsstrukturen unterscheiden sich</w:t>
      </w:r>
    </w:p>
    <w:p>
      <w:r>
        <w:rPr>
          <w:color w:val="5A7D3A"/>
          <w:sz w:val="18"/>
        </w:rPr>
        <w:t>https://pubmed.ncbi.nlm.nih.gov/42852569/</w:t>
      </w:r>
    </w:p>
    <w:p>
      <w:pPr>
        <w:pStyle w:val="Heading2"/>
      </w:pPr>
      <w:r>
        <w:t>Symptombelastung und Exazerbationen prägen Lebensqualität bei Alpha-1-Antitrypsinmangel</w:t>
      </w:r>
    </w:p>
    <w:p>
      <w:r>
        <w:rPr>
          <w:i/>
          <w:color w:val="666666"/>
          <w:sz w:val="18"/>
        </w:rPr>
        <w:t>Aljama C et al.  ·  Pulmonology  ·  07.10.2026  ·  PMID 42841174</w:t>
      </w:r>
    </w:p>
    <w:p>
      <w:r>
        <w:t>Europäische Querschnittsstudie aus dem EARCO-Register an 1710 Pi*ZZ-Patienten; Messung der gesundheitsbezogenen Lebensqualität (EQ-5D); Identifikation von Faktoren, die Lebensqualität beeinflussen.</w:t>
      </w:r>
    </w:p>
    <w:p>
      <w:r>
        <w:rPr>
          <w:b/>
        </w:rPr>
        <w:t xml:space="preserve">Ergebnis: </w:t>
      </w:r>
      <w:r>
        <w:t>Mittleres EQ-5D-Index 0,82±0,22; Patienten mit COPD hatten signifikant schlechtere Werte (0,75±0,24 vs. 0,90±0,16; p&lt;0,001). In multivariater Analyse: höhere Symptombelastung (CAT, mMRC), Langzeitsauerstofftherapie, Arbeitslosigkeit, Exazerbationen, Bronchiektasen und niedrigeres Bildungsniveau waren unabhängig mit schlechterer Lebensqualität assoziiert. Symptombelastung und Exazerbationen waren stärkere Determinanten der Lebensqualität als Lungenfunktion allein.</w:t>
      </w:r>
    </w:p>
    <w:p>
      <w:r>
        <w:rPr>
          <w:b/>
          <w:sz w:val="19"/>
        </w:rPr>
        <w:t xml:space="preserve">Übertragbarkeit: </w:t>
      </w:r>
      <w:r>
        <w:rPr>
          <w:sz w:val="19"/>
        </w:rPr>
        <w:t>Europäische Multizenterstudie (Spanien, Schweden, UK, Dänemark, Schweiz, Portugal, Italien, Frankreich, Tschechien), vergleichbare Gesundheitssysteme</w:t>
      </w:r>
    </w:p>
    <w:p>
      <w:r>
        <w:rPr>
          <w:color w:val="5A7D3A"/>
          <w:sz w:val="18"/>
        </w:rPr>
        <w:t>https://pubmed.ncbi.nlm.nih.gov/42841174/</w:t>
      </w:r>
    </w:p>
    <w:p>
      <w:pPr>
        <w:pStyle w:val="Heading2"/>
      </w:pPr>
      <w:r>
        <w:t>KRT verbesserte Überleben bei über 80-jährigen mit fortgeschrittener Nierenerkrankung</w:t>
      </w:r>
    </w:p>
    <w:p>
      <w:r>
        <w:rPr>
          <w:i/>
          <w:color w:val="666666"/>
          <w:sz w:val="18"/>
        </w:rPr>
        <w:t>Gómez-Rojas I et al.  ·  J Nephrol  ·  10.10.2026  ·  PMID 42634179</w:t>
      </w:r>
    </w:p>
    <w:p>
      <w:r>
        <w:t>Spanische Multizenterstudie an 492 Patienten über 80 Jahren mit eGFR &lt;15 mL/min/1,73 m², die konservative Therapie oder Nierenersatztherapie erhielten; Vergleich von Sterblichkeit und Krankenhausaufenthalten.</w:t>
      </w:r>
    </w:p>
    <w:p>
      <w:r>
        <w:rPr>
          <w:b/>
        </w:rPr>
        <w:t xml:space="preserve">Ergebnis: </w:t>
      </w:r>
      <w:r>
        <w:t>262 Patienten (53,3%) wählten konservative Therapie, 230 (46,7%) begannen Nierenersatztherapie. Konservative Therapie war unabhängig mit höherer Mortalität assoziiert (HR 2,554; p&lt;0,001). Bei geplanter (nicht dringlicher) Nierenersatztherapie bessere Prognose als bei dringlicher Einleitung. Bei erwarteter Überlebensdauer &lt;12 Monate ähnliche Ergebnisse in beiden Gruppen. Die Studie zeigt, dass strukturierte Nierenersatztherapie auch bei sehr alten Patienten mit fortgeschrittener CKD Überlebensvorteil bringt, sofern nicht dringlich eingeleitet.</w:t>
      </w:r>
    </w:p>
    <w:p>
      <w:r>
        <w:rPr>
          <w:b/>
          <w:sz w:val="19"/>
        </w:rPr>
        <w:t xml:space="preserve">Übertragbarkeit: </w:t>
      </w:r>
      <w:r>
        <w:rPr>
          <w:sz w:val="19"/>
        </w:rPr>
        <w:t>Spanische Klinikdaten, vergleichbares Versicherungssystem zur deutschen Versorgung</w:t>
      </w:r>
    </w:p>
    <w:p>
      <w:r>
        <w:rPr>
          <w:color w:val="5A7D3A"/>
          <w:sz w:val="18"/>
        </w:rPr>
        <w:t>https://pubmed.ncbi.nlm.nih.gov/42634179/</w:t>
      </w:r>
    </w:p>
    <w:p>
      <w:pPr>
        <w:pStyle w:val="Heading2"/>
      </w:pPr>
      <w:r>
        <w:t>Self-Management bei Nierenerkrankung: Hürden im NHS-System</w:t>
      </w:r>
    </w:p>
    <w:p>
      <w:r>
        <w:rPr>
          <w:i/>
          <w:color w:val="666666"/>
          <w:sz w:val="18"/>
        </w:rPr>
        <w:t>Patel NA et al.  ·  J Nephrol  ·  10.10.2026  ·  PMID 42598916</w:t>
      </w:r>
    </w:p>
    <w:p>
      <w:r>
        <w:t>Qualitative Studie mit 42 UK-Fachkräften des NHS zu deren Sicht auf Self-Management-Unterstützung bei Nierenerkrankung; Erkundung von Barrieren und Ressourcenbedarf in der Routinepraxis.</w:t>
      </w:r>
    </w:p>
    <w:p>
      <w:r>
        <w:rPr>
          <w:b/>
        </w:rPr>
        <w:t xml:space="preserve">Ergebnis: </w:t>
      </w:r>
      <w:r>
        <w:t>Vier übergeordnete Themen identifiziert: (1) Unzureichende Unterstützung durch NHS-Struktur für Self-Management, (2) Notwendigkeit personalisierter Ansätze, (3) Mangel an zugänglichen Self-Management-Ressourcen, (4) Forderung nach Gesundheitsgerechtigkeit. Fachkräfte berichten, dass strukturierte, evidenzbasierte Interventionen für Self-Management fehlen und dass individuelle Bedürfnisse nicht adäquat berücksichtigt werden.</w:t>
      </w:r>
    </w:p>
    <w:p>
      <w:r>
        <w:rPr>
          <w:b/>
          <w:sz w:val="19"/>
        </w:rPr>
        <w:t xml:space="preserve">Übertragbarkeit: </w:t>
      </w:r>
      <w:r>
        <w:rPr>
          <w:sz w:val="19"/>
        </w:rPr>
        <w:t>Großbritannien, NHS-System; Koordinierungsprobleme sind übertragbar auf deutsche Praxen</w:t>
      </w:r>
    </w:p>
    <w:p>
      <w:r>
        <w:rPr>
          <w:color w:val="5A7D3A"/>
          <w:sz w:val="18"/>
        </w:rPr>
        <w:t>https://pubmed.ncbi.nlm.nih.gov/42598916/</w:t>
      </w:r>
    </w:p>
    <w:p>
      <w:pPr>
        <w:pStyle w:val="Heading1"/>
      </w:pPr>
      <w:r>
        <w:t>Aufgenommen am 10.10.2026</w:t>
      </w:r>
    </w:p>
    <w:p>
      <w:pPr>
        <w:pStyle w:val="Heading2"/>
      </w:pPr>
      <w:r>
        <w:t>Kognitive Verhaltenstherapie reduzierte Müdigkeit und verbesserte Funktionsfähigkeit bei CFS nachhaltig</w:t>
      </w:r>
    </w:p>
    <w:p>
      <w:r>
        <w:rPr>
          <w:i/>
          <w:color w:val="666666"/>
          <w:sz w:val="18"/>
        </w:rPr>
        <w:t>Jiang X et al.  ·  Medicine (Baltimore)  ·  09.10.2026  ·  PMID 42854071</w:t>
      </w:r>
    </w:p>
    <w:p>
      <w:r>
        <w:t>Systematische Übersicht und Metaanalyse von 15 randomisierten Studien mit 2.270 CFS-Patienten prüfte Langzeiteffektivität von kognitiver Verhaltenstherapie auf Müdigkeit und Lebensqualität.</w:t>
      </w:r>
    </w:p>
    <w:p>
      <w:r>
        <w:rPr>
          <w:b/>
        </w:rPr>
        <w:t xml:space="preserve">Ergebnis: </w:t>
      </w:r>
      <w:r>
        <w:t>CBT reduzierte Müdigkeit postinterventionell (Chalder: SMD −0,44; KI −0,57 bis −0,32), verbesserte körperliche Funktionsfähigkeit (SMD 0,32; KI 0,23–0,41) und Psyche (Symptom Checklist 90: SMD −0,44). Nutzen blieben in Kurz- (≤6 Monate) und Langzeitfolge (6–24 Monate) bestehen (Müdigkeit SMD −0,35; KI −0,50 bis −0,19). Keine signifikanten Nebenwirkungen.</w:t>
      </w:r>
    </w:p>
    <w:p>
      <w:r>
        <w:rPr>
          <w:b/>
          <w:sz w:val="19"/>
        </w:rPr>
        <w:t xml:space="preserve">Übertragbarkeit: </w:t>
      </w:r>
      <w:r>
        <w:rPr>
          <w:sz w:val="19"/>
        </w:rPr>
        <w:t>Metaanalyse internationaler Studien, Versorgungsevidenz, psychologische Verfahren</w:t>
      </w:r>
    </w:p>
    <w:p>
      <w:r>
        <w:rPr>
          <w:color w:val="5A7D3A"/>
          <w:sz w:val="18"/>
        </w:rPr>
        <w:t>https://pubmed.ncbi.nlm.nih.gov/42854071/</w:t>
      </w:r>
    </w:p>
    <w:p>
      <w:pPr>
        <w:pStyle w:val="Heading2"/>
      </w:pPr>
      <w:r>
        <w:t>Therapeutische Rahmenbedingungen für ME/CFS: Validierung und Vertrauensbildung durch erlebte Verbesserung</w:t>
      </w:r>
    </w:p>
    <w:p>
      <w:r>
        <w:rPr>
          <w:i/>
          <w:color w:val="666666"/>
          <w:sz w:val="18"/>
        </w:rPr>
        <w:t>Bakken AK et al.  ·  Int J Qual Stud Health Well-being  ·  31.12.2026  ·  PMID 42853299</w:t>
      </w:r>
    </w:p>
    <w:p>
      <w:r>
        <w:t>Reflexive Themenanalyse von Fokusgruppen und Interviews mit 16 Fachpersonen aus 5 Berufen, die mit psychologisch-verhaltenswissenschaftlichen Methoden ME/CFS-Patienten behandeln.</w:t>
      </w:r>
    </w:p>
    <w:p>
      <w:r>
        <w:rPr>
          <w:b/>
        </w:rPr>
        <w:t xml:space="preserve">Ergebnis: </w:t>
      </w:r>
      <w:r>
        <w:t>Vier Kernthemen: (1) Patienten in ‚Niemandsland' treffen (Unsicherheitstoleranz), (2) erklärende ‚Karte' anbieten (Integration biologisch-psychosozial), (3) danach navigieren (Regulationsstörung vs. maladaptives Lernen), (4) Vertrauen bewahren (kontrastive Krankheitserzählungen). Validierung und Agenzystärkung zentral; körperlich erlebte Verbesserung kritisch für Vertrauensaufbau.</w:t>
      </w:r>
    </w:p>
    <w:p>
      <w:r>
        <w:rPr>
          <w:b/>
          <w:sz w:val="19"/>
        </w:rPr>
        <w:t xml:space="preserve">Übertragbarkeit: </w:t>
      </w:r>
      <w:r>
        <w:rPr>
          <w:sz w:val="19"/>
        </w:rPr>
        <w:t>Qualitative Versorgungsforschung, Norwegen, Anwendbarkeit für Patient-Provider-Modelle</w:t>
      </w:r>
    </w:p>
    <w:p>
      <w:r>
        <w:rPr>
          <w:color w:val="5A7D3A"/>
          <w:sz w:val="18"/>
        </w:rPr>
        <w:t>https://pubmed.ncbi.nlm.nih.gov/42853299/</w:t>
      </w:r>
    </w:p>
    <w:p>
      <w:pPr>
        <w:pStyle w:val="Heading2"/>
      </w:pPr>
      <w:r>
        <w:t>Schwangerschaftskomplikationen erhöhen Risiko für Herz-, Nieren- und Stoffwechselerkrankungen deutlich</w:t>
      </w:r>
    </w:p>
    <w:p>
      <w:r>
        <w:rPr>
          <w:i/>
          <w:color w:val="666666"/>
          <w:sz w:val="18"/>
        </w:rPr>
        <w:t>Wambua S et al.  ·  BMJ Med  ·  06.10.2026  ·  PMID 42851766</w:t>
      </w:r>
    </w:p>
    <w:p>
      <w:r>
        <w:t>Kohortenstudie mit 1,4 Millionen Frauen in England untersuchte, ob Schwangerschaftskomplikationen das spätere Risiko für Herz-Kreislauf-, Stoffwechsel- und Nierenerkrankungen erhöhen.</w:t>
      </w:r>
    </w:p>
    <w:p>
      <w:r>
        <w:rPr>
          <w:b/>
        </w:rPr>
        <w:t xml:space="preserve">Ergebnis: </w:t>
      </w:r>
      <w:r>
        <w:t>Gestationshypertonie und Präeklampsie verdreifachten das Hypertonierisiko und verdoppelten das Nierenerkrankungsrisiko. Gestationsdiabetes erhöhte das Typ-2-Diabetes-Risiko um das Siebenfache. Postnatale Depression erhöhte alle vier Endpunkte um 35–56 % (z. B. Hypertonie HR 1,36; KI 1,33–1,40). Diese Erkenntnisse ermöglichen Früherkennung von Frauen mit hohem Risiko.</w:t>
      </w:r>
    </w:p>
    <w:p>
      <w:r>
        <w:rPr>
          <w:b/>
          <w:sz w:val="19"/>
        </w:rPr>
        <w:t xml:space="preserve">Übertragbarkeit: </w:t>
      </w:r>
      <w:r>
        <w:rPr>
          <w:sz w:val="19"/>
        </w:rPr>
        <w:t>UK-Daten, vergleichbare GKV-Dokumentation, prädiktive Stratifizierung möglich</w:t>
      </w:r>
    </w:p>
    <w:p>
      <w:r>
        <w:rPr>
          <w:color w:val="5A7D3A"/>
          <w:sz w:val="18"/>
        </w:rPr>
        <w:t>https://pubmed.ncbi.nlm.nih.gov/42851766/</w:t>
      </w:r>
    </w:p>
    <w:p>
      <w:pPr>
        <w:pStyle w:val="Heading2"/>
      </w:pPr>
      <w:r>
        <w:t>Schwedisches Nierenchronikerregister: Echtzeit-Überwachung der Nierenersatztherapie auf nationaler Ebene</w:t>
      </w:r>
    </w:p>
    <w:p>
      <w:r>
        <w:rPr>
          <w:i/>
          <w:color w:val="666666"/>
          <w:sz w:val="18"/>
        </w:rPr>
        <w:t>Rydell H et al.  ·  Lakartidningen  ·  08.10.2026  ·  PMID 42847836</w:t>
      </w:r>
    </w:p>
    <w:p>
      <w:r>
        <w:t>Beschreibung des schwedischen Nierenregisters, das über 90.000 Patienten vom Diagnosebereich bis zur Transplantation verfolgt und als Versorgungsmonitor fungiert.</w:t>
      </w:r>
    </w:p>
    <w:p>
      <w:r>
        <w:rPr>
          <w:b/>
        </w:rPr>
        <w:t xml:space="preserve">Ergebnis: </w:t>
      </w:r>
      <w:r>
        <w:t>Das Register erfasst alle 9 Nephrologieabteilungen Schwedens mit hoher Datenqualität. Es ermöglicht Echtzeitüberwachung fortlaufender therapeutischer Entwicklungen – etwa rasch evolvierende Anti-CKD-Therapien und spezifische Diagnose-Therapien – und identifiziert Versorgungslücken systematisch.</w:t>
      </w:r>
    </w:p>
    <w:p>
      <w:r>
        <w:rPr>
          <w:b/>
          <w:sz w:val="19"/>
        </w:rPr>
        <w:t xml:space="preserve">Übertragbarkeit: </w:t>
      </w:r>
      <w:r>
        <w:rPr>
          <w:sz w:val="19"/>
        </w:rPr>
        <w:t>Skandinavien, hochstrukturiertes nationales Register, Modell für Versorgungsmonitoring</w:t>
      </w:r>
    </w:p>
    <w:p>
      <w:r>
        <w:rPr>
          <w:color w:val="5A7D3A"/>
          <w:sz w:val="18"/>
        </w:rPr>
        <w:t>https://pubmed.ncbi.nlm.nih.gov/42847836/</w:t>
      </w:r>
    </w:p>
    <w:p>
      <w:pPr>
        <w:pStyle w:val="Heading2"/>
      </w:pPr>
      <w:r>
        <w:t>ME/CFS zeigt latente physiologische Dysregulation über Atemwegs-, kardiovaskuläre und Thermoregulationsstörungen</w:t>
      </w:r>
    </w:p>
    <w:p>
      <w:r>
        <w:rPr>
          <w:i/>
          <w:color w:val="666666"/>
          <w:sz w:val="18"/>
        </w:rPr>
        <w:t>Habermann-Horstmeier L et al.  ·  J Transl Med  ·  28.09.2026  ·  PMID 42806383</w:t>
      </w:r>
    </w:p>
    <w:p>
      <w:r>
        <w:t>Querschnittsanalyse von 736 ME/CFS-Patienten untersuchte, wie Muskelprobleme mit anderen Symptomdomänen verknüpft sind und ob ein gemeinsamer pathophysiologischer Faktor dahintersteckt.</w:t>
      </w:r>
    </w:p>
    <w:p>
      <w:r>
        <w:rPr>
          <w:b/>
        </w:rPr>
        <w:t xml:space="preserve">Ergebnis: </w:t>
      </w:r>
      <w:r>
        <w:t>Faktorenanalyse identifizierte einen latenten physiologischen Dysregulationsfaktor, dem Atemwegs-, Herz-Kreislauf-, Thermoregulations-, visuelle und grippeähnliche Symptome zuzurechnen sind (RMSEA 0,046, CFI 0,971). Muskelprobleme waren unabhängig mit Atembeschwerden (OR 2,49), Grippeähnlichkeit (OR 1,97) und Temperaturstörungen (OR 1,97) assoziiert. Befund unterstützt multiorganbeteiligung statt Einzelsymptomfokus.</w:t>
      </w:r>
    </w:p>
    <w:p>
      <w:r>
        <w:rPr>
          <w:b/>
          <w:sz w:val="19"/>
        </w:rPr>
        <w:t xml:space="preserve">Übertragbarkeit: </w:t>
      </w:r>
      <w:r>
        <w:rPr>
          <w:sz w:val="19"/>
        </w:rPr>
        <w:t>Deutschland, Patientenregister, zeigt Mehrfacherkrankung als Kernmerkmal</w:t>
      </w:r>
    </w:p>
    <w:p>
      <w:r>
        <w:rPr>
          <w:color w:val="5A7D3A"/>
          <w:sz w:val="18"/>
        </w:rPr>
        <w:t>https://pubmed.ncbi.nlm.nih.gov/42806383/</w:t>
      </w:r>
    </w:p>
    <w:p>
      <w:pPr>
        <w:pStyle w:val="Heading2"/>
      </w:pPr>
      <w:r>
        <w:t>SGLT2-Inhibitoren reduzierten kardiovaskuläre Ereignisse und Nierenersatztherapie um 20–33 %</w:t>
      </w:r>
    </w:p>
    <w:p>
      <w:r>
        <w:rPr>
          <w:i/>
          <w:color w:val="666666"/>
          <w:sz w:val="18"/>
        </w:rPr>
        <w:t>Österman J et al.  ·  Clin J Am Soc Nephrol  ·  01.10.2026  ·  PMID 42560763</w:t>
      </w:r>
    </w:p>
    <w:p>
      <w:r>
        <w:t>Schwedische Kohortenstudie mit 32.856 Nierenkranken in nephrologischer Betreuung untersuchte Wirkung von SGLT2-Inhibitoren auf kardiovaskuläre und renale Outcomes in der Praxis.</w:t>
      </w:r>
    </w:p>
    <w:p>
      <w:r>
        <w:rPr>
          <w:b/>
        </w:rPr>
        <w:t xml:space="preserve">Ergebnis: </w:t>
      </w:r>
      <w:r>
        <w:t>SGLT2-Inhibitor-Anwender hatten niedrigeres Risiko für Major Adverse Cardiovascular Events (OR 0,80; KI 0,71–0,91) und Nierenersatztherapie (OR 0,67; KI 0,52–0,85). Kein Unterschied bei Gesamtsterblichkeit. Effekte konsistent über Subgruppen. Randomisierte Studienergebnisse bestätigen sich in der Regelversorgung.</w:t>
      </w:r>
    </w:p>
    <w:p>
      <w:r>
        <w:rPr>
          <w:b/>
          <w:sz w:val="19"/>
        </w:rPr>
        <w:t xml:space="preserve">Übertragbarkeit: </w:t>
      </w:r>
      <w:r>
        <w:rPr>
          <w:sz w:val="19"/>
        </w:rPr>
        <w:t>Skandinavien, vergleichbares System, Routinedaten nephrologischer Zentren</w:t>
      </w:r>
    </w:p>
    <w:p>
      <w:r>
        <w:rPr>
          <w:color w:val="5A7D3A"/>
          <w:sz w:val="18"/>
        </w:rPr>
        <w:t>https://pubmed.ncbi.nlm.nih.gov/42560763/</w:t>
      </w:r>
    </w:p>
    <w:p>
      <w:pPr>
        <w:pStyle w:val="Heading1"/>
      </w:pPr>
      <w:r>
        <w:t>Aufgenommen am 09.10.2026</w:t>
      </w:r>
    </w:p>
    <w:p>
      <w:pPr>
        <w:pStyle w:val="Heading2"/>
      </w:pPr>
      <w:r>
        <w:t>Intersektionale Diskriminierung erhöht Stress und Alkoholkonsum bei Minderheiten</w:t>
      </w:r>
    </w:p>
    <w:p>
      <w:r>
        <w:rPr>
          <w:i/>
          <w:color w:val="666666"/>
          <w:sz w:val="18"/>
        </w:rPr>
        <w:t>Smith MS et al.  ·  Ann Behav Med  ·  07.01.2026  ·  PMID 42847391</w:t>
      </w:r>
    </w:p>
    <w:p>
      <w:r>
        <w:t>Zwei Querschnittsstudien mit insgesamt 1.181 sexuellen Minderheitenmännern of Color zum Zusammenhang zwischen intersektionaler Diskriminierung (Rassismus und Heterosexismus gleichzeitig) und kardiometabolischen Risikofaktoren.</w:t>
      </w:r>
    </w:p>
    <w:p>
      <w:r>
        <w:rPr>
          <w:b/>
        </w:rPr>
        <w:t xml:space="preserve">Ergebnis: </w:t>
      </w:r>
      <w:r>
        <w:t>Intersektionale Diskriminierung war unabhängig mit wahrgenommenem Stress und Alkoholkonsum assoziiert (beide p &lt;0,05), ebenso mit erhöhtem BMI. Dies zeigt, dass überlappende Diskriminierungserfahrungen Gesundheitsverhalten ungünstiger beeinflussen als einzelne Diskriminierungsformen.</w:t>
      </w:r>
    </w:p>
    <w:p>
      <w:r>
        <w:rPr>
          <w:b/>
          <w:sz w:val="19"/>
        </w:rPr>
        <w:t xml:space="preserve">Übertragbarkeit: </w:t>
      </w:r>
      <w:r>
        <w:rPr>
          <w:sz w:val="19"/>
        </w:rPr>
        <w:t>USA-Studie, Mechanismus aber auf alle Mehrfachdiskriminierungs-Settings übertragbar, Deutschland mit migrantischen Communities.</w:t>
      </w:r>
    </w:p>
    <w:p>
      <w:r>
        <w:rPr>
          <w:color w:val="5A7D3A"/>
          <w:sz w:val="18"/>
        </w:rPr>
        <w:t>https://pubmed.ncbi.nlm.nih.gov/42847391/</w:t>
      </w:r>
    </w:p>
    <w:p>
      <w:pPr>
        <w:pStyle w:val="Heading2"/>
      </w:pPr>
      <w:r>
        <w:t>Yoga verbesserte Nierenfunktion bei CKD-Stadien 3–4 um 6,94 mL/min/1,73m² innerhalb 12 Wochen</w:t>
      </w:r>
    </w:p>
    <w:p>
      <w:r>
        <w:rPr>
          <w:i/>
          <w:color w:val="666666"/>
          <w:sz w:val="18"/>
        </w:rPr>
        <w:t>Nair RG et al.  ·  Ann Behav Med  ·  07.01.2026  ·  PMID 42847350</w:t>
      </w:r>
    </w:p>
    <w:p>
      <w:r>
        <w:t>Randomisierte kontrollierte Studie mit 81 CKD-Patienten in Stadien 3 und 4 (diabetische oder hypertensive Ätiologie), die 12 Wochen lang Yoga-Praktiken (5 Stunden pro Woche) zusätzlich zur Standardbehandlung erhielten.</w:t>
      </w:r>
    </w:p>
    <w:p>
      <w:r>
        <w:rPr>
          <w:b/>
        </w:rPr>
        <w:t xml:space="preserve">Ergebnis: </w:t>
      </w:r>
      <w:r>
        <w:t>Yoga-Gruppe zeigte signifikante Verbesserungen: Serum-Kreatinin -0,42 (p=0,013), geschätzte glomeruläre Filtrationsrate +6,94 mL/min/1,73m² (p=0,030), Urin-Albumin-Kreatinin-Ratio -464,2 mg/g (p=0,029) und TGF-β1 -218,2 pg/mL (p=0,021). Mediationsanalyse zeigt reduziertes TGF-β1 als Wirkpfad.</w:t>
      </w:r>
    </w:p>
    <w:p>
      <w:r>
        <w:rPr>
          <w:b/>
          <w:sz w:val="19"/>
        </w:rPr>
        <w:t xml:space="preserve">Übertragbarkeit: </w:t>
      </w:r>
      <w:r>
        <w:rPr>
          <w:sz w:val="19"/>
        </w:rPr>
        <w:t>Indien, aber Intervention universell einsetzbar, Kosteneffektivität, geringe Implementierungsbarrieren.</w:t>
      </w:r>
    </w:p>
    <w:p>
      <w:r>
        <w:rPr>
          <w:color w:val="5A7D3A"/>
          <w:sz w:val="18"/>
        </w:rPr>
        <w:t>https://pubmed.ncbi.nlm.nih.gov/42847350/</w:t>
      </w:r>
    </w:p>
    <w:p>
      <w:pPr>
        <w:pStyle w:val="Heading2"/>
      </w:pPr>
      <w:r>
        <w:t>Community-basierte Co-Design-Studie zu nachhaltiger Gesundheit bei Jugendlichen in Kanada und Jamaika</w:t>
      </w:r>
    </w:p>
    <w:p>
      <w:r>
        <w:rPr>
          <w:i/>
          <w:color w:val="666666"/>
          <w:sz w:val="18"/>
        </w:rPr>
        <w:t>Stennett R et al.  ·  BMJ Open  ·  07.10.2026  ·  PMID 42843868</w:t>
      </w:r>
    </w:p>
    <w:p>
      <w:r>
        <w:t>Protokoll einer Multimethod-Community-Based-Participatory-Research-Studie zur Entwicklung einer Intervention für Jugendliche (15–25 Jahre) zu nachhaltigem Lebensstil und Prävention nichtübertragbarer Erkrankungen durch Umwelt- und Gesundheitsperspektiven in zwei Phasen (kontextuelle Kartierung, Co-Design).</w:t>
      </w:r>
    </w:p>
    <w:p>
      <w:r>
        <w:rPr>
          <w:b/>
        </w:rPr>
        <w:t xml:space="preserve">Ergebnis: </w:t>
      </w:r>
      <w:r>
        <w:t>Dies ist ein Studienprotokoll, das die Machbarkeit, Umsetzungstreue und kontextuelle Passung einer SHAL-Intervention (Sustainability Healthy Active Living) in equity-deserving Populationen untersuchen wird. Erkenntnisse werden zur Finalisierung der Intervention und zu Best-Practice-Wissenstransfer in Konferenzen und Workshops führen. Fokus auf Jugendliche als Change Agents in präventiven, umweltbezogenen Systemen.</w:t>
      </w:r>
    </w:p>
    <w:p>
      <w:r>
        <w:rPr>
          <w:b/>
          <w:sz w:val="19"/>
        </w:rPr>
        <w:t xml:space="preserve">Übertragbarkeit: </w:t>
      </w:r>
      <w:r>
        <w:rPr>
          <w:sz w:val="19"/>
        </w:rPr>
        <w:t>Kanada mit vergleichbarem Versicherungssystem, präventives Gesundheitssystem mit Fokus auf Lebensstil und Mehrfacherkrankungen.</w:t>
      </w:r>
    </w:p>
    <w:p>
      <w:r>
        <w:rPr>
          <w:color w:val="5A7D3A"/>
          <w:sz w:val="18"/>
        </w:rPr>
        <w:t>https://pubmed.ncbi.nlm.nih.gov/42843868/</w:t>
      </w:r>
    </w:p>
    <w:p>
      <w:pPr>
        <w:pStyle w:val="Heading2"/>
      </w:pPr>
      <w:r>
        <w:t>COPD-Symptommonitoring in Pulmonalrehabilitation sagte schwere Exazerbationen nicht zuverlässig voraus</w:t>
      </w:r>
    </w:p>
    <w:p>
      <w:r>
        <w:rPr>
          <w:i/>
          <w:color w:val="666666"/>
          <w:sz w:val="18"/>
        </w:rPr>
        <w:t>Machefert M et al.  ·  Pulmonology  ·  07.10.2026  ·  PMID 42841793</w:t>
      </w:r>
    </w:p>
    <w:p>
      <w:r>
        <w:t>Prospektive Multicenterstudie mit 128 stabilen COPD-Patienten in Erhaltungs-Pulmonalrehabilitationen in Frankreich über ein Jahr mit 4.200 dokumentierten Sitzungen zur Vorhersage schwerer Exazerbationen durch klinische und Belastungsparameter.</w:t>
      </w:r>
    </w:p>
    <w:p>
      <w:r>
        <w:rPr>
          <w:b/>
        </w:rPr>
        <w:t xml:space="preserve">Ergebnis: </w:t>
      </w:r>
      <w:r>
        <w:t>Von 128 Patienten erlebten 19 (14,8%) schwere Exazerbationen. Routinemäßig dokumentierte klinische Marker (COPD Assessment Test, modifizierte Borg-Skala, Belastungsleistung) zeigten begrenzte Vorhersagekraft (AUC 0,45–0,58, alle p&gt;0,1); schwache zeitliche Assoziationen zwischen Symptomen und Leistung. Dies unterstreicht Komplexität der Exazerbationen und Bedarf für digitales Multiparameter-Monitoring.</w:t>
      </w:r>
    </w:p>
    <w:p>
      <w:r>
        <w:rPr>
          <w:b/>
          <w:sz w:val="19"/>
        </w:rPr>
        <w:t xml:space="preserve">Übertragbarkeit: </w:t>
      </w:r>
      <w:r>
        <w:rPr>
          <w:sz w:val="19"/>
        </w:rPr>
        <w:t>Frankreich, vergleichbare ambulante Strukturen, Finanzierung und Reha-Programme ähnlich Deutschland.</w:t>
      </w:r>
    </w:p>
    <w:p>
      <w:r>
        <w:rPr>
          <w:color w:val="5A7D3A"/>
          <w:sz w:val="18"/>
        </w:rPr>
        <w:t>https://pubmed.ncbi.nlm.nih.gov/42841793/</w:t>
      </w:r>
    </w:p>
    <w:p>
      <w:pPr>
        <w:pStyle w:val="Heading2"/>
      </w:pPr>
      <w:r>
        <w:t>Adipositas erhöhte chirurgische Komplikationen nach Nierentransplantation, nicht aber Langzeitüberleben</w:t>
      </w:r>
    </w:p>
    <w:p>
      <w:r>
        <w:rPr>
          <w:i/>
          <w:color w:val="666666"/>
          <w:sz w:val="18"/>
        </w:rPr>
        <w:t>Melera E et al.  ·  Clin Transplant  ·  Okt. 2026  ·  PMID 42839226</w:t>
      </w:r>
    </w:p>
    <w:p>
      <w:r>
        <w:t>Schweizer Einzelzentrum-Retrospektivstudie mit 953 aufeinanderfolgenden Nierenpatienten (150 adipös, BMI ≥30; 803 nicht adipös) von 1999 bis 2023 zur Auswirkung von Empfängeradipositas auf kurz- und langfristige Transplantationsergebnisse.</w:t>
      </w:r>
    </w:p>
    <w:p>
      <w:r>
        <w:rPr>
          <w:b/>
        </w:rPr>
        <w:t xml:space="preserve">Ergebnis: </w:t>
      </w:r>
      <w:r>
        <w:t>Adipöse Empfänger hatten höhere Raten von Operationsstellen-Infektionen (11 % vs. 3 %, p&lt;0,001), Gesamtinfektionen (29 % vs. 5 %, p&lt;0,001), Lymphozylen (18 % vs. 10 %, p=0,007), inkisionalen Hernien (10 % vs. 5 %, p=0,032) und verspäteter Transplantatalfunction (21 % vs. 14 %, p=0,024). Längerer Aufenthalt: 19 vs. 17 Tage (p=0,038). Patienten- und Transplantat-Überleben nach 7,3 Jahren gleich (Hazard Ratio 1,09 bzw. 0,92, p&gt;0,05). Adipositas sollte kein Kontraindikationskriterium sein.</w:t>
      </w:r>
    </w:p>
    <w:p>
      <w:r>
        <w:rPr>
          <w:b/>
          <w:sz w:val="19"/>
        </w:rPr>
        <w:t xml:space="preserve">Übertragbarkeit: </w:t>
      </w:r>
      <w:r>
        <w:rPr>
          <w:sz w:val="19"/>
        </w:rPr>
        <w:t>Schweiz, vergleichbares Sozialsystem und Transplantationsstruktur wie Deutschland und DACH-Region.</w:t>
      </w:r>
    </w:p>
    <w:p>
      <w:r>
        <w:rPr>
          <w:color w:val="5A7D3A"/>
          <w:sz w:val="18"/>
        </w:rPr>
        <w:t>https://pubmed.ncbi.nlm.nih.gov/42839226/</w:t>
      </w:r>
    </w:p>
    <w:p>
      <w:pPr>
        <w:pStyle w:val="Heading2"/>
      </w:pPr>
      <w:r>
        <w:t>Typ-2-Diabetes: Nierenerkrankungsrate sank von 55,3 auf 43,7 pro 1000 Personenjahre</w:t>
      </w:r>
    </w:p>
    <w:p>
      <w:r>
        <w:rPr>
          <w:i/>
          <w:color w:val="666666"/>
          <w:sz w:val="18"/>
        </w:rPr>
        <w:t>Lee CJ et al.  ·  Diabetes Obes Metab  ·  09.08.2026  ·  PMID 42571988</w:t>
      </w:r>
    </w:p>
    <w:p>
      <w:r>
        <w:t>Dänische Registeranalyse zur Prävalenz, Inzidenz und Mortalität der chronischen Nierenerkrankung bei 1,3 Millionen Personen mit Typ-1 und Typ-2-Diabetes zwischen 2016 und 2024.</w:t>
      </w:r>
    </w:p>
    <w:p>
      <w:r>
        <w:rPr>
          <w:b/>
        </w:rPr>
        <w:t xml:space="preserve">Ergebnis: </w:t>
      </w:r>
      <w:r>
        <w:t>Die Prävalenz der Nierenerkrankung stieg bei Typ-2-Diabetes von 24,8 % auf 37,3 %, die Inzidenz sank aber von 55,3 auf 43,7 pro 1000 Personenjahre (Hochaltrigkeit ≥70 Jahre: von 93,6 auf 74,3), die Mortalität blieb bei Patienten mit Nierenerkrankung erhöht. Das zeigt Prävention wirkt, Früherkennung aber lückenhaft.</w:t>
      </w:r>
    </w:p>
    <w:p>
      <w:r>
        <w:rPr>
          <w:b/>
          <w:sz w:val="19"/>
        </w:rPr>
        <w:t xml:space="preserve">Übertragbarkeit: </w:t>
      </w:r>
      <w:r>
        <w:rPr>
          <w:sz w:val="19"/>
        </w:rPr>
        <w:t>Dänisches Register mit deutschen Strukturen vergleichbar, DMP-Daten könnten ähnliche Trends zeigen.</w:t>
      </w:r>
    </w:p>
    <w:p>
      <w:r>
        <w:rPr>
          <w:color w:val="5A7D3A"/>
          <w:sz w:val="18"/>
        </w:rPr>
        <w:t>https://pubmed.ncbi.nlm.nih.gov/42571988/</w:t>
      </w:r>
    </w:p>
    <w:p>
      <w:pPr>
        <w:pStyle w:val="Heading1"/>
      </w:pPr>
      <w:r>
        <w:t>Aufgenommen am 08.10.2026</w:t>
      </w:r>
    </w:p>
    <w:p>
      <w:pPr>
        <w:pStyle w:val="Heading2"/>
      </w:pPr>
      <w:r>
        <w:t>Präoperative Versorgungspfade für Patienten mit Mehrfacherkrankungen: kaum spezialisierte Programme vorhanden</w:t>
      </w:r>
    </w:p>
    <w:p>
      <w:r>
        <w:rPr>
          <w:i/>
          <w:color w:val="666666"/>
          <w:sz w:val="18"/>
        </w:rPr>
        <w:t>Mikula-Noble NM et al.  ·  BMJ Open  ·  07.10.2026  ·  PMID 42843878</w:t>
      </w:r>
    </w:p>
    <w:p>
      <w:r>
        <w:t>Systematische Übersicht über präoperative Interventionen für Patienten mit Mehrfacherkrankungen vor großen Operationen – Suche nach spezifischen Programmen für diese Hochrisikogruppe.</w:t>
      </w:r>
    </w:p>
    <w:p>
      <w:r>
        <w:rPr>
          <w:b/>
        </w:rPr>
        <w:t xml:space="preserve">Ergebnis: </w:t>
      </w:r>
      <w:r>
        <w:t>Von 138 Studien mit Mehrfacherkrankungskohorten wurden 34 eingeschlossen: nur 6 (18 %) diskutierten Interventionen für gemischte Kohorten, nur 3 (9 %) berichteten über allgemeine chirurgische Interventionen bei Mehrfacherkrankten. Es existieren praktisch keine auf Mehrfacherkrankung zugeschnittenen präoperativen Programme.</w:t>
      </w:r>
    </w:p>
    <w:p>
      <w:r>
        <w:rPr>
          <w:b/>
          <w:sz w:val="19"/>
        </w:rPr>
        <w:t xml:space="preserve">Übertragbarkeit: </w:t>
      </w:r>
      <w:r>
        <w:rPr>
          <w:sz w:val="19"/>
        </w:rPr>
        <w:t>Großbritannien – vergleichbare perioperative Strukturen und Dokumentation, Problem der fehlenden Spezialisierung übertragbar.</w:t>
      </w:r>
    </w:p>
    <w:p>
      <w:r>
        <w:rPr>
          <w:color w:val="5A7D3A"/>
          <w:sz w:val="18"/>
        </w:rPr>
        <w:t>https://pubmed.ncbi.nlm.nih.gov/42843878/</w:t>
      </w:r>
    </w:p>
    <w:p>
      <w:pPr>
        <w:pStyle w:val="Heading2"/>
      </w:pPr>
      <w:r>
        <w:t>Insulinresistenz sagte Hepatokarzinom bei viruskontrollierter Hepatitis B voraus</w:t>
      </w:r>
    </w:p>
    <w:p>
      <w:r>
        <w:rPr>
          <w:i/>
          <w:color w:val="666666"/>
          <w:sz w:val="18"/>
        </w:rPr>
        <w:t>Sinn DH et al.  ·  J Korean Med Sci  ·  05.10.2026  ·  PMID 42843350</w:t>
      </w:r>
    </w:p>
    <w:p>
      <w:r>
        <w:t>Prospektive Multizenterstudie an 334 HBV-Zirrhose-Patienten unter antiviraler Therapie zur Prognosevalenz der Insulinresistenz (HOMA2-IR) für HCC-Entwicklung.</w:t>
      </w:r>
    </w:p>
    <w:p>
      <w:r>
        <w:rPr>
          <w:b/>
        </w:rPr>
        <w:t xml:space="preserve">Ergebnis: </w:t>
      </w:r>
      <w:r>
        <w:t>Bei Median-Nachbeobachtung von 7,45 Jahren entwickelten 62 Patienten (18,6 %) HCC. Jede HOMA2-IR-Einheitssteigerung korrelierte mit erhöhtem HCC-Risiko (HR 1,53; 95 % KI 1,16–2,04). Patienten mit HOMA2-IR ≥ 2,3 hatten 5-Jahres-HCC-Inzidenz von 30,6 % versus 12,3 % bei HOMA2-IR &lt; 2,3 (adjustierte HR 2,62; 95 % KI 1,40–4,91).</w:t>
      </w:r>
    </w:p>
    <w:p>
      <w:r>
        <w:rPr>
          <w:b/>
          <w:sz w:val="19"/>
        </w:rPr>
        <w:t xml:space="preserve">Übertragbarkeit: </w:t>
      </w:r>
      <w:r>
        <w:rPr>
          <w:sz w:val="19"/>
        </w:rPr>
        <w:t>Südkorea – Multizenterstudie; Biomarker unabhängig vom Gesundheitssystem; aber HCC-Screening-Algorithmen regional unterschiedlich.</w:t>
      </w:r>
    </w:p>
    <w:p>
      <w:r>
        <w:rPr>
          <w:color w:val="5A7D3A"/>
          <w:sz w:val="18"/>
        </w:rPr>
        <w:t>https://pubmed.ncbi.nlm.nih.gov/42843350/</w:t>
      </w:r>
    </w:p>
    <w:p>
      <w:pPr>
        <w:pStyle w:val="Heading2"/>
      </w:pPr>
      <w:r>
        <w:t>Integrierte Atemwegsversorgung in Irland: Hausärzte berichten Chancen und Lücken</w:t>
      </w:r>
    </w:p>
    <w:p>
      <w:r>
        <w:rPr>
          <w:i/>
          <w:color w:val="666666"/>
          <w:sz w:val="18"/>
        </w:rPr>
        <w:t>O'Brien H et al.  ·  Prim Health Care Res Dev  ·  07.10.2026  ·  PMID 42839305</w:t>
      </w:r>
    </w:p>
    <w:p>
      <w:r>
        <w:t>Qualitative Befragung von 112 Hausärzten zur Umsetzung eines neuen Disease-Management-Programms für COPD und Asthma mit lokalen Fachteams in Irland.</w:t>
      </w:r>
    </w:p>
    <w:p>
      <w:r>
        <w:rPr>
          <w:b/>
        </w:rPr>
        <w:t xml:space="preserve">Ergebnis: </w:t>
      </w:r>
      <w:r>
        <w:t>87 % bewerteten integrierte Care-Hubs als gut bis ausgezeichnet und 84 % als überlegen gegenüber Krankenhausambulanzen, doch 52 % berichteten unzureichende Diagnostik, 45 % verzögerte Rückmeldungen und 50 % mangelnde Spezialunterstützung. Selbstberichtete Sicherheit in Leitlinienwissen moderat (7/10 für beide Erkrankungen), sehr niedrig bei Lungenfunktionstests (3/10).</w:t>
      </w:r>
    </w:p>
    <w:p>
      <w:r>
        <w:rPr>
          <w:b/>
          <w:sz w:val="19"/>
        </w:rPr>
        <w:t xml:space="preserve">Übertragbarkeit: </w:t>
      </w:r>
      <w:r>
        <w:rPr>
          <w:sz w:val="19"/>
        </w:rPr>
        <w:t>Irland – comparable Primarversorgung, ähnliche NHS-Finanzierung, jedoch spezifische Koordinationsstruktur.</w:t>
      </w:r>
    </w:p>
    <w:p>
      <w:r>
        <w:rPr>
          <w:color w:val="5A7D3A"/>
          <w:sz w:val="18"/>
        </w:rPr>
        <w:t>https://pubmed.ncbi.nlm.nih.gov/42839305/</w:t>
      </w:r>
    </w:p>
    <w:p>
      <w:pPr>
        <w:pStyle w:val="Heading2"/>
      </w:pPr>
      <w:r>
        <w:t>Dupilumab reduzierte Exazerbationen bei COPD mit Typ-2-Entzündung um 70 Prozent</w:t>
      </w:r>
    </w:p>
    <w:p>
      <w:r>
        <w:rPr>
          <w:i/>
          <w:color w:val="666666"/>
          <w:sz w:val="18"/>
        </w:rPr>
        <w:t>Abdo M et al.  ·  Respir Res  ·  06.10.2026  ·  PMID 42839285</w:t>
      </w:r>
    </w:p>
    <w:p>
      <w:r>
        <w:t>Multizentrische Analyse deutscher Kliniken zur Wirksamkeit von Dupilumab bei COPD-Patienten mit Typ-2-Entzündung unter Routinebedingungen.</w:t>
      </w:r>
    </w:p>
    <w:p>
      <w:r>
        <w:rPr>
          <w:b/>
        </w:rPr>
        <w:t xml:space="preserve">Ergebnis: </w:t>
      </w:r>
      <w:r>
        <w:t>Bei 99 Patienten sank die annualisierte Rate moderater bis schwerer Exazerbationen von 3,52 auf 1,04 pro Jahr (70 % Reduktion), der CAT-Score verbesserte sich um 4,5 Punkte, konsistent über Subgruppen hinweg. 8 Patienten zeigten keine Reduktion unter Behandlung.</w:t>
      </w:r>
    </w:p>
    <w:p>
      <w:r>
        <w:rPr>
          <w:b/>
          <w:sz w:val="19"/>
        </w:rPr>
        <w:t xml:space="preserve">Übertragbarkeit: </w:t>
      </w:r>
      <w:r>
        <w:rPr>
          <w:sz w:val="19"/>
        </w:rPr>
        <w:t>Deutsche Klinikdaten, vergleichbare Dokumentationspflichten und Versorgungsstruktur.</w:t>
      </w:r>
    </w:p>
    <w:p>
      <w:r>
        <w:rPr>
          <w:color w:val="5A7D3A"/>
          <w:sz w:val="18"/>
        </w:rPr>
        <w:t>https://pubmed.ncbi.nlm.nih.gov/42839285/</w:t>
      </w:r>
    </w:p>
    <w:p>
      <w:pPr>
        <w:pStyle w:val="Heading2"/>
      </w:pPr>
      <w:r>
        <w:t>Anhaltende Symptombelastung bei Lupus erythematodes: ein klinischer Phänotyp ähnlich ME/CFS identifiziert</w:t>
      </w:r>
    </w:p>
    <w:p>
      <w:r>
        <w:rPr>
          <w:i/>
          <w:color w:val="666666"/>
          <w:sz w:val="18"/>
        </w:rPr>
        <w:t>Habermann-Horstmeier L  ·  J Transl Med  ·  25.09.2026  ·  PMID 42806386</w:t>
      </w:r>
    </w:p>
    <w:p>
      <w:r>
        <w:t>Hypothesengenerierendes Rahmenwerk zur Charakterisierung einer Untergruppe von Patienten mit langjährigem systemischem Lupus erythematodes, die trotz niedriger Krankheitsaktivität persistierende Müdigkeit, Funktionsbeeinträchtigung und kognititive Symptome aufweisen.</w:t>
      </w:r>
    </w:p>
    <w:p>
      <w:r>
        <w:rPr>
          <w:b/>
        </w:rPr>
        <w:t xml:space="preserve">Ergebnis: </w:t>
      </w:r>
      <w:r>
        <w:t>Vorgeschlagene SLE-ME/CFS-Forschungsphänotyp kombiniert persistierende funktionslimitierende Symptome trotz Remission oder niedriger Aktivität mit Müdigkeit seit mindestens 6 Monaten, postexertioneller Symptomverschlechterung, unerquicklichem Schlaf und kognitiven Symptomen. Evidenz unterstützt Beteiligung residualer Immunaktivierung, oxidativen Stresses, Mitochondrienstörungen und Endotheldysfunktion.</w:t>
      </w:r>
    </w:p>
    <w:p>
      <w:r>
        <w:rPr>
          <w:b/>
          <w:sz w:val="19"/>
        </w:rPr>
        <w:t xml:space="preserve">Übertragbarkeit: </w:t>
      </w:r>
      <w:r>
        <w:rPr>
          <w:sz w:val="19"/>
        </w:rPr>
        <w:t>Deutschland – Literaturanalyse, Konzeptentwicklung; Validierung in Kohortenstudien notwendig, aber Phänotypisierung für Versorgung relevant.</w:t>
      </w:r>
    </w:p>
    <w:p>
      <w:r>
        <w:rPr>
          <w:color w:val="5A7D3A"/>
          <w:sz w:val="18"/>
        </w:rPr>
        <w:t>https://pubmed.ncbi.nlm.nih.gov/42806386/</w:t>
      </w:r>
    </w:p>
    <w:p>
      <w:pPr>
        <w:pStyle w:val="Heading2"/>
      </w:pPr>
      <w:r>
        <w:t>Kollagen-Abbau-Biomarker im Urin erfasst Fibrose über Organgrenzen hinweg</w:t>
      </w:r>
    </w:p>
    <w:p>
      <w:r>
        <w:rPr>
          <w:i/>
          <w:color w:val="666666"/>
          <w:sz w:val="18"/>
        </w:rPr>
        <w:t>Mina IK et al.  ·  Mol Med  ·  23.09.2026  ·  PMID 42778889</w:t>
      </w:r>
    </w:p>
    <w:p>
      <w:r>
        <w:t>Multikohorten-Proteomik-Studie zur Identifikation eines gemeinsamen Signatures von Kollagen-Typ-I-Abbau-Peptiden im Urin, das Leberfibrose, chronische Nierenerkrankung und Herzinsuffizienz charakterisiert.</w:t>
      </w:r>
    </w:p>
    <w:p>
      <w:r>
        <w:rPr>
          <w:b/>
        </w:rPr>
        <w:t xml:space="preserve">Ergebnis: </w:t>
      </w:r>
      <w:r>
        <w:t>50 Kollagen-Typ-I-Abbau-Produkte definierten eine gemeinsame Fibrose-Signatur; Support-Vector-Machine-Modell erreichte AUC 0,935 (95 % KI 0,917–0,953) in externer Validierung über gepoolte Erkrankungsgruppen, erhalten für Leber (AUC 0,917), Niere (0,951) und Herz (0,950). Modellwerte korrelierten mit Fibrosestadium in Leber und interstitieller Fibrose in Niere.</w:t>
      </w:r>
    </w:p>
    <w:p>
      <w:r>
        <w:rPr>
          <w:b/>
          <w:sz w:val="19"/>
        </w:rPr>
        <w:t xml:space="preserve">Übertragbarkeit: </w:t>
      </w:r>
      <w:r>
        <w:rPr>
          <w:sz w:val="19"/>
        </w:rPr>
        <w:t>Multinationale europäische und britische Kohorten, Urindiagnostik universell verfügbar; Fibrose-Screening unabhängig vom Organ übertragbar.</w:t>
      </w:r>
    </w:p>
    <w:p>
      <w:r>
        <w:rPr>
          <w:color w:val="5A7D3A"/>
          <w:sz w:val="18"/>
        </w:rPr>
        <w:t>https://pubmed.ncbi.nlm.nih.gov/42778889/</w:t>
      </w:r>
    </w:p>
    <w:p>
      <w:pPr>
        <w:pStyle w:val="Heading1"/>
      </w:pPr>
      <w:r>
        <w:t>Aufgenommen am 07.10.2026</w:t>
      </w:r>
    </w:p>
    <w:p>
      <w:pPr>
        <w:pStyle w:val="Heading2"/>
      </w:pPr>
      <w:r>
        <w:t>Chronische Nierenkrankheit in der Tertiärversorgung: Screening deckt Unterbehandlung auf</w:t>
      </w:r>
    </w:p>
    <w:p>
      <w:r>
        <w:rPr>
          <w:i/>
          <w:color w:val="666666"/>
          <w:sz w:val="18"/>
        </w:rPr>
        <w:t>Zahradka I et al.  ·  BMJ Open  ·  06.10.2026  ·  PMID 42838586</w:t>
      </w:r>
    </w:p>
    <w:p>
      <w:r>
        <w:t>Querschnittstudie an 2.903 Patienten in Tertiärkliniken Mitteleuropas zur Prävalenz chronischer Nierenkrankheit (CKD) und Nutzung renoprotek­tiver Therapien.</w:t>
      </w:r>
    </w:p>
    <w:p>
      <w:r>
        <w:rPr>
          <w:b/>
        </w:rPr>
        <w:t xml:space="preserve">Ergebnis: </w:t>
      </w:r>
      <w:r>
        <w:t>CKD-Prävalenz 32,5 %; eine neue Diagnose pro 5,2 Gescreente. Renoprotek­tive Therapie stark untergenutzt: SGLT2-Inhibitoren 42 %, GLP-1-Rezeptoragonisten 41,7 %, nichtsteroidale Mineralokortikoidrezeptorantagonisten 6,7 % der Berechtigten. Modellierte Gewinnchancen dialysefreier Zeit durch Therapieeinleitung: 11,13 Monate pro Patient im Durchschnitt.</w:t>
      </w:r>
    </w:p>
    <w:p>
      <w:r>
        <w:rPr>
          <w:b/>
          <w:sz w:val="19"/>
        </w:rPr>
        <w:t xml:space="preserve">Übertragbarkeit: </w:t>
      </w:r>
      <w:r>
        <w:rPr>
          <w:sz w:val="19"/>
        </w:rPr>
        <w:t>Tertiärzentrumsdaten; Übertragbarkeit auf spezialisierte Versorgung in Deutschland eingeschränkt</w:t>
      </w:r>
    </w:p>
    <w:p>
      <w:r>
        <w:rPr>
          <w:color w:val="5A7D3A"/>
          <w:sz w:val="18"/>
        </w:rPr>
        <w:t>https://pubmed.ncbi.nlm.nih.gov/42838586/</w:t>
      </w:r>
    </w:p>
    <w:p>
      <w:pPr>
        <w:pStyle w:val="Heading2"/>
      </w:pPr>
      <w:r>
        <w:t>Begrenzte antivirale Therapie der chronischen Hepatitis B: Mehr HBsAg-Verlust, aber häufige Rückfälle</w:t>
      </w:r>
    </w:p>
    <w:p>
      <w:r>
        <w:rPr>
          <w:i/>
          <w:color w:val="666666"/>
          <w:sz w:val="18"/>
        </w:rPr>
        <w:t>Gomez DP et al.  ·  J Viral Hepat  ·  Nov. 2026  ·  PMID 42834661</w:t>
      </w:r>
    </w:p>
    <w:p>
      <w:r>
        <w:t>Meta-Analyse von 4 randomisierten Studien (n=357) zu endlicher versus unbegrenzter Nukleosid(t)id-Therapie bei HBeAg-negativer chronischer Hepatitis B ohne Zirrhose.</w:t>
      </w:r>
    </w:p>
    <w:p>
      <w:r>
        <w:rPr>
          <w:b/>
        </w:rPr>
        <w:t xml:space="preserve">Ergebnis: </w:t>
      </w:r>
      <w:r>
        <w:t>Therapiebeendigung erhöhte HBsAg-Verlust (RR 5,02; KI 0,47–53,47, niedrige Evidenzsicherheit), aber markant virales Rezidiv (RR 23,09) und Therapierückfall (RR 21,94). Keine hepatische Dekompensation oder schwere unerwünschte Ereignisse. Strategie für selektierte, gut überwachte Patienten in Expertenzentren.</w:t>
      </w:r>
    </w:p>
    <w:p>
      <w:r>
        <w:rPr>
          <w:b/>
          <w:sz w:val="19"/>
        </w:rPr>
        <w:t xml:space="preserve">Übertragbarkeit: </w:t>
      </w:r>
      <w:r>
        <w:rPr>
          <w:sz w:val="19"/>
        </w:rPr>
        <w:t>Internationale RCT-Daten; Übertragbarkeit auf deutsches Versicherungssystem hoch</w:t>
      </w:r>
    </w:p>
    <w:p>
      <w:r>
        <w:rPr>
          <w:color w:val="5A7D3A"/>
          <w:sz w:val="18"/>
        </w:rPr>
        <w:t>https://pubmed.ncbi.nlm.nih.gov/42834661/</w:t>
      </w:r>
    </w:p>
    <w:p>
      <w:pPr>
        <w:pStyle w:val="Heading2"/>
      </w:pPr>
      <w:r>
        <w:t>Direktwirkende Antivirale bei Hepatitis C und Leberkrebs: Hohe Heilungsraten, erhaltene Leberfunktion</w:t>
      </w:r>
    </w:p>
    <w:p>
      <w:r>
        <w:rPr>
          <w:i/>
          <w:color w:val="666666"/>
          <w:sz w:val="18"/>
        </w:rPr>
        <w:t>Sato S et al.  ·  J Viral Hepat  ·  Nov. 2026  ·  PMID 42834589</w:t>
      </w:r>
    </w:p>
    <w:p>
      <w:r>
        <w:t>Retrospektive Kohortenstudie (n=690) zu Wirksamkeit und Leberfunktion nach direktwirkender antiviraler Therapie bei Hepatitis-C-Patienten mit und ohne Leberkrebs (HCC)-Vorgeschichte.</w:t>
      </w:r>
    </w:p>
    <w:p>
      <w:r>
        <w:rPr>
          <w:b/>
        </w:rPr>
        <w:t xml:space="preserve">Ergebnis: </w:t>
      </w:r>
      <w:r>
        <w:t>Gesamte SVR12-Rate 96,1 % über alle Gruppen, unabhängig von HCC-Vorgeschichte. ALBI-Score (Leberfunktion) verbesserte sich bei kurativer HCC-Behandlung (−2,35 zu −2,58, p&lt;0,001), blieb unter nicht-kurativer Behandlung stabil. Bei HCC-Rezidiv ALBI-Score verbessert (−2,31 zu −2,57, p&lt;0,001); &gt;90 % blieben Child-Pugh A.</w:t>
      </w:r>
    </w:p>
    <w:p>
      <w:r>
        <w:rPr>
          <w:b/>
          <w:sz w:val="19"/>
        </w:rPr>
        <w:t xml:space="preserve">Übertragbarkeit: </w:t>
      </w:r>
      <w:r>
        <w:rPr>
          <w:sz w:val="19"/>
        </w:rPr>
        <w:t>Japanisches Zentrum; Leberfunktionsergebnisse international vergleichbar</w:t>
      </w:r>
    </w:p>
    <w:p>
      <w:r>
        <w:rPr>
          <w:color w:val="5A7D3A"/>
          <w:sz w:val="18"/>
        </w:rPr>
        <w:t>https://pubmed.ncbi.nlm.nih.gov/42834589/</w:t>
      </w:r>
    </w:p>
    <w:p>
      <w:pPr>
        <w:pStyle w:val="Heading2"/>
      </w:pPr>
      <w:r>
        <w:t>Lebensqualität bei chronischer Nierenkrankheit: Bildungsstand und Einkommen entscheidend</w:t>
      </w:r>
    </w:p>
    <w:p>
      <w:r>
        <w:rPr>
          <w:i/>
          <w:color w:val="666666"/>
          <w:sz w:val="18"/>
        </w:rPr>
        <w:t>Akter F et al.  ·  BMJ Open  ·  05.10.2026  ·  PMID 42833721</w:t>
      </w:r>
    </w:p>
    <w:p>
      <w:r>
        <w:t>Querschnittstudie (n=315) in Bangladesch zur Identifikation von Profilen der gesundheitsbezogenen Lebensqualität bei CKD mittels latenter Profilanalyse und deren Prädiktoren.</w:t>
      </w:r>
    </w:p>
    <w:p>
      <w:r>
        <w:rPr>
          <w:b/>
        </w:rPr>
        <w:t xml:space="preserve">Ergebnis: </w:t>
      </w:r>
      <w:r>
        <w:t>Drei Qualitäts-Profile: niedrig (20,95 %), mittel (34,29 %), hoch (44,76 %). Höheres Einkommen und Bildung senken Risiko niedriger Lebensqualität; verheiratet und weniger Komorbiditäten erhöhen Wahrscheinlichkeit hoher Lebensqualität. Signifikante Prädiktoren: Einkommen, Bildung, Familienstand, Komorbiditätenanzahl (alle p&lt;0,05).</w:t>
      </w:r>
    </w:p>
    <w:p>
      <w:r>
        <w:rPr>
          <w:b/>
          <w:sz w:val="19"/>
        </w:rPr>
        <w:t xml:space="preserve">Übertragbarkeit: </w:t>
      </w:r>
      <w:r>
        <w:rPr>
          <w:sz w:val="19"/>
        </w:rPr>
        <w:t>Low-Resource-Setting; Patient-reported Outcomes-Methodik international anwendbar</w:t>
      </w:r>
    </w:p>
    <w:p>
      <w:r>
        <w:rPr>
          <w:color w:val="5A7D3A"/>
          <w:sz w:val="18"/>
        </w:rPr>
        <w:t>https://pubmed.ncbi.nlm.nih.gov/42833721/</w:t>
      </w:r>
    </w:p>
    <w:p>
      <w:pPr>
        <w:pStyle w:val="Heading2"/>
      </w:pPr>
      <w:r>
        <w:t>Verlängerte Fastenpausen beschleunigen Multimorbidität bei älteren Erwachsenen</w:t>
      </w:r>
    </w:p>
    <w:p>
      <w:r>
        <w:rPr>
          <w:i/>
          <w:color w:val="666666"/>
          <w:sz w:val="18"/>
        </w:rPr>
        <w:t>Kalmbach L et al.  ·  J Intern Med  ·  20.08.2026  ·  PMID 42621849</w:t>
      </w:r>
    </w:p>
    <w:p>
      <w:r>
        <w:t>Längskohorte (n=2.981, ≥60 Jahre) mit 15-jähriger Nachverfolgung zum Zusammenhang zwischen habitueller Fastendauer (längste Essenspause in 24h) und Akkumulation chronischer Erkrankungen.</w:t>
      </w:r>
    </w:p>
    <w:p>
      <w:r>
        <w:rPr>
          <w:b/>
        </w:rPr>
        <w:t xml:space="preserve">Ergebnis: </w:t>
      </w:r>
      <w:r>
        <w:t>Gegenüber kürzesten Fastenpausen (6–11,5 h) zeigten längste Pausen (14–24 h) steilere jährliche Zunahme Gesamtkrankheiten (β=0,119; KI 0,070–0,167), kardiovaskuläre (0,022; KI 0,006–0,038) und neuropsychiatrische Erkrankungen (0,019; KI 0,005–0,033). Effekt nur bei ≥78 Jahren signifikant (β=0,099; KI 0,031–0,168), nicht bei &lt;78 Jahren.</w:t>
      </w:r>
    </w:p>
    <w:p>
      <w:r>
        <w:rPr>
          <w:b/>
          <w:sz w:val="19"/>
        </w:rPr>
        <w:t xml:space="preserve">Übertragbarkeit: </w:t>
      </w:r>
      <w:r>
        <w:rPr>
          <w:sz w:val="19"/>
        </w:rPr>
        <w:t>Schwedische Bevölkerungskohorte; Altersgruppen übertragbar auf deutsche Versorgung</w:t>
      </w:r>
    </w:p>
    <w:p>
      <w:r>
        <w:rPr>
          <w:color w:val="5A7D3A"/>
          <w:sz w:val="18"/>
        </w:rPr>
        <w:t>https://pubmed.ncbi.nlm.nih.gov/42621849/</w:t>
      </w:r>
    </w:p>
    <w:p>
      <w:pPr>
        <w:pStyle w:val="Heading1"/>
      </w:pPr>
      <w:r>
        <w:t>Aufgenommen am 06.10.2026</w:t>
      </w:r>
    </w:p>
    <w:p>
      <w:pPr>
        <w:pStyle w:val="Heading2"/>
      </w:pPr>
      <w:r>
        <w:t>Hausarztpraxen für Flüchtlinge mit Hepatitis B besser geeignet als Spezialkliniken</w:t>
      </w:r>
    </w:p>
    <w:p>
      <w:r>
        <w:rPr>
          <w:i/>
          <w:color w:val="666666"/>
          <w:sz w:val="18"/>
        </w:rPr>
        <w:t>Fakhouri A et al.  ·  Aust J Prim Health  ·  20.10.2026  ·  PMID 42833621</w:t>
      </w:r>
    </w:p>
    <w:p>
      <w:r>
        <w:t>Qualitative australische Studie (15 semi-strukturierte Interviews): Erkundung, wie Hausarztpraxen für Flüchtlinge chronische Hepatitis-B-Versorgung gestalten und wo Verbesserungen nötig sind.</w:t>
      </w:r>
    </w:p>
    <w:p>
      <w:r>
        <w:rPr>
          <w:b/>
        </w:rPr>
        <w:t xml:space="preserve">Ergebnis: </w:t>
      </w:r>
      <w:r>
        <w:t>Hausarztpraxen bieten Vorteile: Comunity-Integration, Rapport, Dolmetscher-Services. Barrieren sind Gesundheitskompetenz und Kosten. Empfehlung: Finanzierung und Schulung von Hausarztpraxen zur HBV-Versorgung würden bessere Ergebnisse für vulnerable Bevölkerung bringen.</w:t>
      </w:r>
    </w:p>
    <w:p>
      <w:r>
        <w:rPr>
          <w:b/>
          <w:sz w:val="19"/>
        </w:rPr>
        <w:t xml:space="preserve">Übertragbarkeit: </w:t>
      </w:r>
      <w:r>
        <w:rPr>
          <w:sz w:val="19"/>
        </w:rPr>
        <w:t>Australien - hohes Einkommen, andere Struktur, aber Ungleichheitsfrage universell</w:t>
      </w:r>
    </w:p>
    <w:p>
      <w:r>
        <w:rPr>
          <w:color w:val="5A7D3A"/>
          <w:sz w:val="18"/>
        </w:rPr>
        <w:t>https://pubmed.ncbi.nlm.nih.gov/42833621/</w:t>
      </w:r>
    </w:p>
    <w:p>
      <w:pPr>
        <w:pStyle w:val="Heading2"/>
      </w:pPr>
      <w:r>
        <w:t>Ein Viertel der COPD-Patienten hat Exazerbationen trotz Doppel- oder Tripeltherapie</w:t>
      </w:r>
    </w:p>
    <w:p>
      <w:r>
        <w:rPr>
          <w:i/>
          <w:color w:val="666666"/>
          <w:sz w:val="18"/>
        </w:rPr>
        <w:t>Radovanovic D et al.  ·  Int J Chron Obstruct Pulmon Dis  ·  30.09.2026  ·  PMID 42831088</w:t>
      </w:r>
    </w:p>
    <w:p>
      <w:r>
        <w:t>Italienische GULP-Kohorte (1.111 COPD-Patienten): Exploratorische Analyse zur Häufigkeit anhaltender Symptome unter optimaler Erhaltungstherapie und Identifikation von Kandidaten für Biologika.</w:t>
      </w:r>
    </w:p>
    <w:p>
      <w:r>
        <w:rPr>
          <w:b/>
        </w:rPr>
        <w:t xml:space="preserve">Ergebnis: </w:t>
      </w:r>
      <w:r>
        <w:t>Von 1.111 Patienten hatten 286 (25,7%) ≥2 moderate oder ≥1 schwere Exazerbation/Jahr trotz Doppel- oder Tripeltherapie. Davon zeigten 51–75% hohe Symptombelastung (Dyspnoe, Husten, Sputum), nur 7,2% eosinophile COPD. Dupilumab in Italien für eosinophile exazerbierende COPD zugelassen.</w:t>
      </w:r>
    </w:p>
    <w:p>
      <w:r>
        <w:rPr>
          <w:b/>
          <w:sz w:val="19"/>
        </w:rPr>
        <w:t xml:space="preserve">Übertragbarkeit: </w:t>
      </w:r>
      <w:r>
        <w:rPr>
          <w:sz w:val="19"/>
        </w:rPr>
        <w:t>Italien, europäisches Sozialversicherungssystem, vergleichbare DMP-Struktur</w:t>
      </w:r>
    </w:p>
    <w:p>
      <w:r>
        <w:rPr>
          <w:color w:val="5A7D3A"/>
          <w:sz w:val="18"/>
        </w:rPr>
        <w:t>https://pubmed.ncbi.nlm.nih.gov/42831088/</w:t>
      </w:r>
    </w:p>
    <w:p>
      <w:pPr>
        <w:pStyle w:val="Heading2"/>
      </w:pPr>
      <w:r>
        <w:t>Schwere Fettleber assoziiert mit Fibrose bei chronischer Hepatitis B in Afrika</w:t>
      </w:r>
    </w:p>
    <w:p>
      <w:r>
        <w:rPr>
          <w:i/>
          <w:color w:val="666666"/>
          <w:sz w:val="18"/>
        </w:rPr>
        <w:t>Chabala FW et al.  ·  J Viral Hepat  ·  Nov. 2026  ·  PMID 42830592</w:t>
      </w:r>
    </w:p>
    <w:p>
      <w:r>
        <w:t>Multiländer-Studie (HEPSANET) mit 1.601 CHB-Patienten in sechs afrikanischen Ländern: Transiente Elastographie zeigte, dass schwere Steatose unabhängig mit erhöhtem Fibrose-Risiko verbunden war.</w:t>
      </w:r>
    </w:p>
    <w:p>
      <w:r>
        <w:rPr>
          <w:b/>
        </w:rPr>
        <w:t xml:space="preserve">Ergebnis: </w:t>
      </w:r>
      <w:r>
        <w:t>Schwere Steatose (CAP ≥280 dB/m) war mit 8,4% erhöhter Fibrose-Wahrscheinlichkeit assoziiert (95%-KI 1,9-14,9%). Milde und moderate Steatose zeigten diese Assoziation nicht. Prävalenz von Fettleber: 26,3%, davon 13,7% schwer.</w:t>
      </w:r>
    </w:p>
    <w:p>
      <w:r>
        <w:rPr>
          <w:b/>
          <w:sz w:val="19"/>
        </w:rPr>
        <w:t xml:space="preserve">Übertragbarkeit: </w:t>
      </w:r>
      <w:r>
        <w:rPr>
          <w:sz w:val="19"/>
        </w:rPr>
        <w:t>Afrika, andere Soziostruktur - Screening-Implikation übertragbar</w:t>
      </w:r>
    </w:p>
    <w:p>
      <w:r>
        <w:rPr>
          <w:color w:val="5A7D3A"/>
          <w:sz w:val="18"/>
        </w:rPr>
        <w:t>https://pubmed.ncbi.nlm.nih.gov/42830592/</w:t>
      </w:r>
    </w:p>
    <w:p>
      <w:pPr>
        <w:pStyle w:val="Heading2"/>
      </w:pPr>
      <w:r>
        <w:t>Bewegung reduzierte Mortalität und Leberversagen bei chronischer Hepatitis B um 11 Prozent</w:t>
      </w:r>
    </w:p>
    <w:p>
      <w:r>
        <w:rPr>
          <w:i/>
          <w:color w:val="666666"/>
          <w:sz w:val="18"/>
        </w:rPr>
        <w:t>Song BG et al.  ·  J Viral Hepat  ·  Nov. 2026  ·  PMID 42830566</w:t>
      </w:r>
    </w:p>
    <w:p>
      <w:r>
        <w:t>Südkoreanische Kohortenstudie mit 318.131 CHB-Patienten: Wer körperliche Aktivität aufnahm, hatte niedrigere Risiken für Tod und Komplikationen als körperlich Inaktive.</w:t>
      </w:r>
    </w:p>
    <w:p>
      <w:r>
        <w:rPr>
          <w:b/>
        </w:rPr>
        <w:t xml:space="preserve">Ergebnis: </w:t>
      </w:r>
      <w:r>
        <w:t>Hazard Ratio für Mortalität 0,89 (95%-KI 0,84-0,94) bei Aufnahme von Ausdaueraktivität; für Leberversagen subdistribution HR 0,94 (95%-KI 0,92-0,97) über 7,9 Jahre Nachfolge. Der Effekt war stärker in älteren, weiblichen und nicht-rauchenden Patienten.</w:t>
      </w:r>
    </w:p>
    <w:p>
      <w:r>
        <w:rPr>
          <w:b/>
          <w:sz w:val="19"/>
        </w:rPr>
        <w:t xml:space="preserve">Übertragbarkeit: </w:t>
      </w:r>
      <w:r>
        <w:rPr>
          <w:sz w:val="19"/>
        </w:rPr>
        <w:t>Südkorea - vergleichbares Gesundheitssystem, Versicherungsdaten hochwertig</w:t>
      </w:r>
    </w:p>
    <w:p>
      <w:r>
        <w:rPr>
          <w:color w:val="5A7D3A"/>
          <w:sz w:val="18"/>
        </w:rPr>
        <w:t>https://pubmed.ncbi.nlm.nih.gov/42830566/</w:t>
      </w:r>
    </w:p>
    <w:p>
      <w:pPr>
        <w:pStyle w:val="Heading2"/>
      </w:pPr>
      <w:r>
        <w:t>Chronische Erkrankungen bei Kindern: Register unterschätzen Prävalenz um mindestens 10 Prozent</w:t>
      </w:r>
    </w:p>
    <w:p>
      <w:r>
        <w:rPr>
          <w:i/>
          <w:color w:val="666666"/>
          <w:sz w:val="18"/>
        </w:rPr>
        <w:t>Andersen A et al.  ·  Eur J Pediatr  ·  03.10.2026  ·  PMID 42828548</w:t>
      </w:r>
    </w:p>
    <w:p>
      <w:r>
        <w:t>Dänische Studie: Verglich nationale Register mit Selbstberichten auf Prävalenz chronischer Erkrankungen bei Kindern und Jugendlichen; Registerbasierte Methode erfasst nur einen Teil.</w:t>
      </w:r>
    </w:p>
    <w:p>
      <w:r>
        <w:rPr>
          <w:b/>
        </w:rPr>
        <w:t xml:space="preserve">Ergebnis: </w:t>
      </w:r>
      <w:r>
        <w:t>Register zeigten Prävalenz 9,3–22,0% je nach Alter und Geschlecht; Selbstberichte 28,4–34,2%. 14,6–15,3% der Jugendlichen mit selbstberichteter chronischer Erkrankung waren im Alltag beeinträchtigt – im Register nicht sichtbar.</w:t>
      </w:r>
    </w:p>
    <w:p>
      <w:r>
        <w:rPr>
          <w:b/>
          <w:sz w:val="19"/>
        </w:rPr>
        <w:t xml:space="preserve">Übertragbarkeit: </w:t>
      </w:r>
      <w:r>
        <w:rPr>
          <w:sz w:val="19"/>
        </w:rPr>
        <w:t>Dänemark - skandinavisches System, enge Datenbankqualität wie in Deutschland, Methodenfrage universal</w:t>
      </w:r>
    </w:p>
    <w:p>
      <w:r>
        <w:rPr>
          <w:color w:val="5A7D3A"/>
          <w:sz w:val="18"/>
        </w:rPr>
        <w:t>https://pubmed.ncbi.nlm.nih.gov/42828548/</w:t>
      </w:r>
    </w:p>
    <w:p>
      <w:pPr>
        <w:pStyle w:val="Heading2"/>
      </w:pPr>
      <w:r>
        <w:t>Biologika spielen zentrale Rolle in schwerem Asthma, COPD-Klassifikation vereinfacht</w:t>
      </w:r>
    </w:p>
    <w:p>
      <w:r>
        <w:rPr>
          <w:i/>
          <w:color w:val="666666"/>
          <w:sz w:val="18"/>
        </w:rPr>
        <w:t>Salah Manoh JL et al.  ·  Rev Med Suisse  ·  23.09.2026  ·  PMID 42779315</w:t>
      </w:r>
    </w:p>
    <w:p>
      <w:r>
        <w:t>Schweizer Reviewartikel (nicht empirisch): Aktuelle GOLD- und globale Guidelines zur COPD und Asthma – Vereinfachung der COPD-Stratifizierung, erweiterte Rolle von Biologika, geänderte Exazerbationsdefinition.</w:t>
      </w:r>
    </w:p>
    <w:p>
      <w:r>
        <w:rPr>
          <w:b/>
        </w:rPr>
        <w:t xml:space="preserve">Ergebnis: </w:t>
      </w:r>
      <w:r>
        <w:t>COPD wird nun in nur 3 Gruppen eingeteilt (A, B, E); eine einzelne moderate Exazerbation reicht für Hochrisiko-Kategorie E. Asthma: Biologika zentral in schwerer Form, Salbutamol-Monotherapie nicht mehr empfohlen.</w:t>
      </w:r>
    </w:p>
    <w:p>
      <w:r>
        <w:rPr>
          <w:b/>
          <w:sz w:val="19"/>
        </w:rPr>
        <w:t xml:space="preserve">Übertragbarkeit: </w:t>
      </w:r>
      <w:r>
        <w:rPr>
          <w:sz w:val="19"/>
        </w:rPr>
        <w:t>Schweiz, vergleichbares Versicherungssystem, Leitlinien gelten auch in Deutschland</w:t>
      </w:r>
    </w:p>
    <w:p>
      <w:r>
        <w:rPr>
          <w:color w:val="5A7D3A"/>
          <w:sz w:val="18"/>
        </w:rPr>
        <w:t>https://pubmed.ncbi.nlm.nih.gov/42779315/</w:t>
      </w:r>
    </w:p>
    <w:p>
      <w:pPr>
        <w:pStyle w:val="Heading1"/>
      </w:pPr>
      <w:r>
        <w:t>Aufgenommen am 05.10.2026</w:t>
      </w:r>
    </w:p>
    <w:p>
      <w:pPr>
        <w:pStyle w:val="Heading2"/>
      </w:pPr>
      <w:r>
        <w:t>Glucose Disposal Rate assoziiert mit chronischer Nierenkrankheit bei älteren Diabetikern</w:t>
      </w:r>
    </w:p>
    <w:p>
      <w:r>
        <w:rPr>
          <w:i/>
          <w:color w:val="666666"/>
          <w:sz w:val="18"/>
        </w:rPr>
        <w:t>Chen X et al.  ·  Clin Interv Aging  ·  28.09.2026  ·  PMID 42829537</w:t>
      </w:r>
    </w:p>
    <w:p>
      <w:r>
        <w:t>Querschnittsstudie mit 713 älteren (≥60 J.) Typ-2-Diabetes-Patienten aus Zhejiang, China; CKD nach eGFR oder UACR definiert.</w:t>
      </w:r>
    </w:p>
    <w:p>
      <w:r>
        <w:rPr>
          <w:b/>
        </w:rPr>
        <w:t xml:space="preserve">Ergebnis: </w:t>
      </w:r>
      <w:r>
        <w:t>Pro 1-Unit eGDR-Anstieg: OR 0,78 (95%-KI 0,70–0,86) für CKD. Höchstes vs. niedrigstes Tertil: OR 0,31 (95%-KI 0,20–0,48). Linear inverse Beziehung (RCS p&gt;0,05). eGDR inversiv mit UACR (ρ=−0,277, p&lt;0,001), nicht mit eGFR. AUC 0,65 – Diskriminationsfähigkeit bescheiden; prospektive Studien nötig.</w:t>
      </w:r>
    </w:p>
    <w:p>
      <w:r>
        <w:rPr>
          <w:b/>
          <w:sz w:val="19"/>
        </w:rPr>
        <w:t xml:space="preserve">Übertragbarkeit: </w:t>
      </w:r>
      <w:r>
        <w:rPr>
          <w:sz w:val="19"/>
        </w:rPr>
        <w:t>China – Mechanismus für deutsches DMP-System bedingt übertragbar</w:t>
      </w:r>
    </w:p>
    <w:p>
      <w:r>
        <w:rPr>
          <w:color w:val="5A7D3A"/>
          <w:sz w:val="18"/>
        </w:rPr>
        <w:t>https://pubmed.ncbi.nlm.nih.gov/42829537/</w:t>
      </w:r>
    </w:p>
    <w:p>
      <w:pPr>
        <w:pStyle w:val="Heading2"/>
      </w:pPr>
      <w:r>
        <w:t>COPD erhöht Sturz- und Osteoporoserisiko deutlich</w:t>
      </w:r>
    </w:p>
    <w:p>
      <w:r>
        <w:rPr>
          <w:i/>
          <w:color w:val="666666"/>
          <w:sz w:val="18"/>
        </w:rPr>
        <w:t>Liu P et al.  ·  Int J Chron Obstruct Pulmon Dis  ·  28.09.2026  ·  PMID 42827947</w:t>
      </w:r>
    </w:p>
    <w:p>
      <w:r>
        <w:t>Kohortenstudie mit 474.669 UK-Biobank-Teilnehmern untersuchte die Assoziation von COPD mit Stürzen und Osteoporose über 12 Jahre.</w:t>
      </w:r>
    </w:p>
    <w:p>
      <w:r>
        <w:rPr>
          <w:b/>
        </w:rPr>
        <w:t xml:space="preserve">Ergebnis: </w:t>
      </w:r>
      <w:r>
        <w:t>COPD war assoziiert mit höherem Sturzrisiko (HR 1,51; 95%-KI 1,45–1,58) und Osteoporoserisiko (HR 2,37; 95%-KI 2,22–2,53). Rauchen modifizierte die Sturzassoziation (aktuelle Raucher HR 1,77 vs. Niemals-Raucher HR 1,37). Die Befunde zeigen bedeutsame Mehrfacherkrankungen bei COPD.</w:t>
      </w:r>
    </w:p>
    <w:p>
      <w:r>
        <w:rPr>
          <w:b/>
          <w:sz w:val="19"/>
        </w:rPr>
        <w:t xml:space="preserve">Übertragbarkeit: </w:t>
      </w:r>
      <w:r>
        <w:rPr>
          <w:sz w:val="19"/>
        </w:rPr>
        <w:t>UK-Biobank mit vergleichbar strukturiertem Gesundheitssystem</w:t>
      </w:r>
    </w:p>
    <w:p>
      <w:r>
        <w:rPr>
          <w:color w:val="5A7D3A"/>
          <w:sz w:val="18"/>
        </w:rPr>
        <w:t>https://pubmed.ncbi.nlm.nih.gov/42827947/</w:t>
      </w:r>
    </w:p>
    <w:p>
      <w:pPr>
        <w:pStyle w:val="Heading2"/>
      </w:pPr>
      <w:r>
        <w:t>SGLT2-Inhibitoren bei Diabetes mit chronischer Nierenkrankheit: Meta-Analyse</w:t>
      </w:r>
    </w:p>
    <w:p>
      <w:r>
        <w:rPr>
          <w:i/>
          <w:color w:val="666666"/>
          <w:sz w:val="18"/>
        </w:rPr>
        <w:t>Shi X et al.  ·  Medicine (Baltimore)  ·  02.10.2026  ·  PMID 42826278</w:t>
      </w:r>
    </w:p>
    <w:p>
      <w:r>
        <w:t>Systematische Übersicht und Meta-Analyse von 17 RCTs mit 29.192 Patienten mit Diabetes und CKD zur Wirksamkeit von SGLT2-Inhibitoren.</w:t>
      </w:r>
    </w:p>
    <w:p>
      <w:r>
        <w:rPr>
          <w:b/>
        </w:rPr>
        <w:t xml:space="preserve">Ergebnis: </w:t>
      </w:r>
      <w:r>
        <w:t>SGLT2-Inhibitoren reduzierten HbA1c (−0,40 %), Körpergewicht (−1,36 kg) und Blutdruck (−2,98 mmHg systolisch); eGFR und Albuminurie neutral kurzfristig (p&gt;0,05). Volumendepletion-Ereignisse erhöht (RR 1,36; 95%-KI 1,16–1,59). Kardiorenal-protektive Effekte langfristig dokumentiert, Monitoring essentiell.</w:t>
      </w:r>
    </w:p>
    <w:p>
      <w:r>
        <w:rPr>
          <w:b/>
          <w:sz w:val="19"/>
        </w:rPr>
        <w:t xml:space="preserve">Übertragbarkeit: </w:t>
      </w:r>
      <w:r>
        <w:rPr>
          <w:sz w:val="19"/>
        </w:rPr>
        <w:t>Europäische und deutsche Registerstudien zur SGLT2-Anwendung vorhanden</w:t>
      </w:r>
    </w:p>
    <w:p>
      <w:r>
        <w:rPr>
          <w:color w:val="5A7D3A"/>
          <w:sz w:val="18"/>
        </w:rPr>
        <w:t>https://pubmed.ncbi.nlm.nih.gov/42826278/</w:t>
      </w:r>
    </w:p>
    <w:p>
      <w:pPr>
        <w:pStyle w:val="Heading2"/>
      </w:pPr>
      <w:r>
        <w:t>SIRI-Index prognostiziert Mortalität bei COPD-Exazerbation</w:t>
      </w:r>
    </w:p>
    <w:p>
      <w:r>
        <w:rPr>
          <w:i/>
          <w:color w:val="666666"/>
          <w:sz w:val="18"/>
        </w:rPr>
        <w:t>Bai Y  ·  Medicine (Baltimore)  ·  02.10.2026  ·  PMID 42826271</w:t>
      </w:r>
    </w:p>
    <w:p>
      <w:r>
        <w:t>Retrospektive Kohortenanalyse aus MIMIC-III-Datenbank: 426 AECOPD-Patienten; 30-Tage-Mortalität 26,6 %.</w:t>
      </w:r>
    </w:p>
    <w:p>
      <w:r>
        <w:rPr>
          <w:b/>
        </w:rPr>
        <w:t xml:space="preserve">Ergebnis: </w:t>
      </w:r>
      <w:r>
        <w:t>SIRI (Systemische Inflammations-Response-Index) war unabhängiger Risikofaktor für 30-Tage-Mortalität (HR 1,743; 95%-KI 1,169–2,598; p=0,006). Optimaler Schwellwert 10,56 × 10⁹/L. AUC 0,612 besser als WBC/Neutrophile (0,584/0,557), ähnlich SOFA (0,619). SIRI könnte Triage und Prognose in der Akutversorgung lenken.</w:t>
      </w:r>
    </w:p>
    <w:p>
      <w:r>
        <w:rPr>
          <w:b/>
          <w:sz w:val="19"/>
        </w:rPr>
        <w:t xml:space="preserve">Übertragbarkeit: </w:t>
      </w:r>
      <w:r>
        <w:rPr>
          <w:sz w:val="19"/>
        </w:rPr>
        <w:t>Intensivmedizinische Datenbanken in Deutschland ähnlich verfügbar</w:t>
      </w:r>
    </w:p>
    <w:p>
      <w:r>
        <w:rPr>
          <w:color w:val="5A7D3A"/>
          <w:sz w:val="18"/>
        </w:rPr>
        <w:t>https://pubmed.ncbi.nlm.nih.gov/42826271/</w:t>
      </w:r>
    </w:p>
    <w:p>
      <w:pPr>
        <w:pStyle w:val="Heading2"/>
      </w:pPr>
      <w:r>
        <w:t>Nebulisiertes Furosemid plus Bronchodilatatoren senkt Symptome und Entzündung bei COPD-Exazerbation</w:t>
      </w:r>
    </w:p>
    <w:p>
      <w:r>
        <w:rPr>
          <w:i/>
          <w:color w:val="666666"/>
          <w:sz w:val="18"/>
        </w:rPr>
        <w:t>Behi M et al.  ·  Iran J Allergy Asthma Immunol  ·  12.08.2026  ·  PMID 42825900</w:t>
      </w:r>
    </w:p>
    <w:p>
      <w:r>
        <w:t>Randomisierte kontrollierte Studie mit 92 hospitalisierten COPD-Exazerbationspatienten verglich Salbutamol-Ipratropium allein versus mit Furosemid (20 mg).</w:t>
      </w:r>
    </w:p>
    <w:p>
      <w:r>
        <w:rPr>
          <w:b/>
        </w:rPr>
        <w:t xml:space="preserve">Ergebnis: </w:t>
      </w:r>
      <w:r>
        <w:t>Interventionsgruppe zeigte signifikante Verbesserungen: mMRC- und CAT-Scores abgesunken, FEV₁/FVC-Ratio erhöht, IL-6 und IL-8 abgesunken (p&lt;0,05), höhere PaO₂ und niedrigere PaCO₂. Keine Nebenwirkungen berichtet. Adjuvante Therapie verbesserte Lungenfunktion und reduzierte Systementzündung.</w:t>
      </w:r>
    </w:p>
    <w:p>
      <w:r>
        <w:rPr>
          <w:b/>
          <w:sz w:val="19"/>
        </w:rPr>
        <w:t xml:space="preserve">Übertragbarkeit: </w:t>
      </w:r>
      <w:r>
        <w:rPr>
          <w:sz w:val="19"/>
        </w:rPr>
        <w:t>Iran – Machbarkeit für strukturierte Inhalationstherapieprogramme prüfen</w:t>
      </w:r>
    </w:p>
    <w:p>
      <w:r>
        <w:rPr>
          <w:color w:val="5A7D3A"/>
          <w:sz w:val="18"/>
        </w:rPr>
        <w:t>https://pubmed.ncbi.nlm.nih.gov/42825900/</w:t>
      </w:r>
    </w:p>
    <w:p>
      <w:pPr>
        <w:pStyle w:val="Heading2"/>
      </w:pPr>
      <w:r>
        <w:t>Unreife Neutrophilen und erhöhte Myeloperoxidase bei CKD mit kardiovaskulären Komorbiditäten</w:t>
      </w:r>
    </w:p>
    <w:p>
      <w:r>
        <w:rPr>
          <w:i/>
          <w:color w:val="666666"/>
          <w:sz w:val="18"/>
        </w:rPr>
        <w:t>Vondenhoff S et al.  ·  Acta Physiol (Oxf)  ·  Sept. 2026  ·  PMID 42613304</w:t>
      </w:r>
    </w:p>
    <w:p>
      <w:r>
        <w:t>Vergleichende Flow-Cytometrie-Studie an zwei unabhängigen Kohorten männlicher CKD-Patienten (moderat bis fortgeschritten) versus gesunde Kontrollen.</w:t>
      </w:r>
    </w:p>
    <w:p>
      <w:r>
        <w:rPr>
          <w:b/>
        </w:rPr>
        <w:t xml:space="preserve">Ergebnis: </w:t>
      </w:r>
      <w:r>
        <w:t>CKD-Patienten zeigten reduzierte CD10-Expression auf Neutrophilen und erhöhte Plasma-Myeloperoxidase unabhängig von Entzündungsgrad oder NT-proBNP (p&lt;0,001). Unreife Neutrophilen-Phänotyp war kardiorenal-übergreifend konsistent, könnte zum erhöhten kardiovaskulären Risiko beitragen.</w:t>
      </w:r>
    </w:p>
    <w:p>
      <w:r>
        <w:rPr>
          <w:b/>
          <w:sz w:val="19"/>
        </w:rPr>
        <w:t xml:space="preserve">Übertragbarkeit: </w:t>
      </w:r>
      <w:r>
        <w:rPr>
          <w:sz w:val="19"/>
        </w:rPr>
        <w:t>Deutsche Krankenhaus-Daten zur Neutrophilen-Phenotypisierung verfügbar</w:t>
      </w:r>
    </w:p>
    <w:p>
      <w:r>
        <w:rPr>
          <w:color w:val="5A7D3A"/>
          <w:sz w:val="18"/>
        </w:rPr>
        <w:t>https://pubmed.ncbi.nlm.nih.gov/42613304/</w:t>
      </w:r>
    </w:p>
    <w:p>
      <w:pPr>
        <w:pStyle w:val="Heading1"/>
      </w:pPr>
      <w:r>
        <w:t>Aufgenommen am 04.10.2026</w:t>
      </w:r>
    </w:p>
    <w:p>
      <w:pPr>
        <w:pStyle w:val="Heading2"/>
      </w:pPr>
      <w:r>
        <w:t>Integriertes NCD-Screening in HIV- und COVID-Kliniken verbessert Früherkennung um 74 %</w:t>
      </w:r>
    </w:p>
    <w:p>
      <w:r>
        <w:rPr>
          <w:i/>
          <w:color w:val="666666"/>
          <w:sz w:val="18"/>
        </w:rPr>
        <w:t>Jithoo N et al.  ·  Front Public Health  ·  17.09.2026  ·  PMID 42824930</w:t>
      </w:r>
    </w:p>
    <w:p>
      <w:r>
        <w:t>Südafrika: Pilotprojekt zur Integration von Screening auf chronische Erkrankungen (Nierenerkrankung, Übergewicht, Dyslipidämie) in bestehende HIV- und COVID-19-Impfkliniken bei 461 Teilnehmern; Prävalenz neuer Diagnosen und Versorgungsgaps untersucht.</w:t>
      </w:r>
    </w:p>
    <w:p>
      <w:r>
        <w:rPr>
          <w:b/>
        </w:rPr>
        <w:t xml:space="preserve">Ergebnis: </w:t>
      </w:r>
      <w:r>
        <w:t>73,9 % der Teilnehmer erhielten neue NCD-Diagnosen: Nierenerkrankung (31,7 %), Adipositas (28,9 %), Dyslipidämie (25,8 %). Modifizierbare kardiovaskuläre Risikofaktoren waren weit verbreitet: Adipositas (63,9 %), Alkoholkonsum (50 %). Integriertes Screening erwies sich als machbar und bot Gelegenheit für frühe Intervention.</w:t>
      </w:r>
    </w:p>
    <w:p>
      <w:r>
        <w:rPr>
          <w:b/>
          <w:sz w:val="19"/>
        </w:rPr>
        <w:t xml:space="preserve">Übertragbarkeit: </w:t>
      </w:r>
      <w:r>
        <w:rPr>
          <w:sz w:val="19"/>
        </w:rPr>
        <w:t>Ressourcenbegrenzte Länder, ähnliche Gesundheitssystem-Herausforderungen wie LMIC</w:t>
      </w:r>
    </w:p>
    <w:p>
      <w:r>
        <w:rPr>
          <w:color w:val="5A7D3A"/>
          <w:sz w:val="18"/>
        </w:rPr>
        <w:t>https://pubmed.ncbi.nlm.nih.gov/42824930/</w:t>
      </w:r>
    </w:p>
    <w:p>
      <w:pPr>
        <w:pStyle w:val="Heading2"/>
      </w:pPr>
      <w:r>
        <w:t>Untergewicht vorhersagt Nierenerkrankung bei Typ-2-Diabetes besser als Adipositas</w:t>
      </w:r>
    </w:p>
    <w:p>
      <w:r>
        <w:rPr>
          <w:i/>
          <w:color w:val="666666"/>
          <w:sz w:val="18"/>
        </w:rPr>
        <w:t>Chung SM et al.  ·  Front Endocrinol (Lausanne)  ·  17.09.2026  ·  PMID 42823990</w:t>
      </w:r>
    </w:p>
    <w:p>
      <w:r>
        <w:t>Südkorea: Nationale Kohortenstudie (1.824.317 Erwachsene ≥40 Jahre mit Typ-2-Diabetes): Assoziation zwischen BMI, Taillenumfang und Inzidenz von Nierenerkrankung (definiert nach altersgerechten eGFR-Schwellwerten) über 4 Jahre Follow-up, stratifiziert nach Alter und Geschlecht.</w:t>
      </w:r>
    </w:p>
    <w:p>
      <w:r>
        <w:rPr>
          <w:b/>
        </w:rPr>
        <w:t xml:space="preserve">Ergebnis: </w:t>
      </w:r>
      <w:r>
        <w:t>CKD-Inzidenz: 2,8 % (Untergewicht), 2,3 % (keine Adipositas), 2,9 % (Übergewicht). Untergewicht mit höherem CKD-Risiko als Übergewicht assoziiert (OR 1,41 [95%-KI 1,29–1,54] vs. OR 1,03 [1,01–1,05]). Alters-/Geschlechts-stratifiziert: Untergewicht durchgängig erhöhtes Risiko, bes. mittelalte Männer; Übergewicht nur bei Frauen mit erhöhtem Risiko. Befund erklärt bisherige Inkonsistenzen in Adipositas-CKD-Assoziationen.</w:t>
      </w:r>
    </w:p>
    <w:p>
      <w:r>
        <w:rPr>
          <w:b/>
          <w:sz w:val="19"/>
        </w:rPr>
        <w:t xml:space="preserve">Übertragbarkeit: </w:t>
      </w:r>
      <w:r>
        <w:rPr>
          <w:sz w:val="19"/>
        </w:rPr>
        <w:t>Südkorea, großes Register; Adipositas-Paradoxon relevant für stratifizierte Prävention, aber regionales Modell unklar</w:t>
      </w:r>
    </w:p>
    <w:p>
      <w:r>
        <w:rPr>
          <w:color w:val="5A7D3A"/>
          <w:sz w:val="18"/>
        </w:rPr>
        <w:t>https://pubmed.ncbi.nlm.nih.gov/42823990/</w:t>
      </w:r>
    </w:p>
    <w:p>
      <w:pPr>
        <w:pStyle w:val="Heading2"/>
      </w:pPr>
      <w:r>
        <w:t>Klinische Phänotypisierung identifiziert Hochrisiko-COPD-Patienten mit raschem FEV1-Verlust</w:t>
      </w:r>
    </w:p>
    <w:p>
      <w:r>
        <w:rPr>
          <w:i/>
          <w:color w:val="666666"/>
          <w:sz w:val="18"/>
        </w:rPr>
        <w:t>Yang Z et al.  ·  Ann Med  ·  01.10.2026  ·  PMID 42817919</w:t>
      </w:r>
    </w:p>
    <w:p>
      <w:r>
        <w:t>Chinesische Kohortenstudie (38.863 COPD-Patienten, 1.215 mit Verlaufsparametern): Latent-Class-Analyse zur Identifikation klinischer Phänotypen; Machine Learning-Modell zur Vorhersage raschen Lungenfunktionsabbaus (FEV1-Abfall ≥40 mL/Jahr oder &gt;1,5% predicted).</w:t>
      </w:r>
    </w:p>
    <w:p>
      <w:r>
        <w:rPr>
          <w:b/>
        </w:rPr>
        <w:t xml:space="preserve">Ergebnis: </w:t>
      </w:r>
      <w:r>
        <w:t>Drei Phänotypen identifiziert: Phänotyp 1 (25,8 %, GOLD Stadium 2, nicht-rauchende Frauen), Phänotyp 2 (44,8 %, GOLD Stadium 1, rauchende Männer), Phänotyp 3 (29,4 %, GOLD Stadium 3, intensive Raucher). Phänotyp 2 zeigte höchste Verfall-Rate (55,8 %). Das CatBoost-Modell erreichte AUC 0,712; bei Schwellenwert 0,365: Sensitivität 95,5 %, negativer Vorhersagewert 86,4 %. Sechs einfache Prädiktoren: Region, Brennstofftyp, Einkommensstufe, Pfeifen, Hüftumfang, Basis-FEV1.</w:t>
      </w:r>
    </w:p>
    <w:p>
      <w:r>
        <w:rPr>
          <w:b/>
          <w:sz w:val="19"/>
        </w:rPr>
        <w:t xml:space="preserve">Übertragbarkeit: </w:t>
      </w:r>
      <w:r>
        <w:rPr>
          <w:sz w:val="19"/>
        </w:rPr>
        <w:t>China, großes Register; Phänotypisierung für Zielgruppendefinition relevant, Übertragbarkeit auf deutsche Phänotypen unklar</w:t>
      </w:r>
    </w:p>
    <w:p>
      <w:r>
        <w:rPr>
          <w:color w:val="5A7D3A"/>
          <w:sz w:val="18"/>
        </w:rPr>
        <w:t>https://pubmed.ncbi.nlm.nih.gov/42817919/</w:t>
      </w:r>
    </w:p>
    <w:p>
      <w:pPr>
        <w:pStyle w:val="Heading2"/>
      </w:pPr>
      <w:r>
        <w:t>Leitliniengerechte Antibiotika senken 30-Tage-Komplikationen bei COPD-Exazerbationen</w:t>
      </w:r>
    </w:p>
    <w:p>
      <w:r>
        <w:rPr>
          <w:i/>
          <w:color w:val="666666"/>
          <w:sz w:val="18"/>
        </w:rPr>
        <w:t>Perales-Muñoz R et al.  ·  Rev Esp Quimioter  ·  21.09.2026  ·  PMID 42768888</w:t>
      </w:r>
    </w:p>
    <w:p>
      <w:r>
        <w:t>Spanische Notaufnahme-Registerstudie an 4.136 COPD-Exazerbations-Episoden: Antibiotika-Auswahl nach nationalen Empfehlungen vs. Fehlauswahl und deren Assoziation mit Mortalität, Rehospitalisierung, Rezidiiv und Notfall-Revisiten.</w:t>
      </w:r>
    </w:p>
    <w:p>
      <w:r>
        <w:rPr>
          <w:b/>
        </w:rPr>
        <w:t xml:space="preserve">Ergebnis: </w:t>
      </w:r>
      <w:r>
        <w:t>Von 1.736 Patienten mit Entlassung aus der Notaufnahme erhielten 987 (56,9 %) Antibiotika; 158 (16,0 %) bekamen inadäquate Therapie. Inadäquate Behandlung korrelierte mit höherer 30-Tage-Morbidität (20,9 % vs. 13,3 %, p=0,019). In der multivariablen Analyse war leitliniengerechte Therapie der einzige modifizierbare Faktor mit signifikant reduziertem Ereignisrisiko (adjustierte RR 0,59; 95%-KI 0,41–0,85; p=0,004). Zugleich waren vorherige Exazerbationen (RR 1,80) und mittelschwere Exazerbationen (RR 1,52) mit höherem Risiko assoziiert.</w:t>
      </w:r>
    </w:p>
    <w:p>
      <w:r>
        <w:rPr>
          <w:b/>
          <w:sz w:val="19"/>
        </w:rPr>
        <w:t xml:space="preserve">Übertragbarkeit: </w:t>
      </w:r>
      <w:r>
        <w:rPr>
          <w:sz w:val="19"/>
        </w:rPr>
        <w:t>Spanische Notaufnahmedaten, vergleichbare Behandlungsprotokolle europäischer Systeme</w:t>
      </w:r>
    </w:p>
    <w:p>
      <w:r>
        <w:rPr>
          <w:color w:val="5A7D3A"/>
          <w:sz w:val="18"/>
        </w:rPr>
        <w:t>https://pubmed.ncbi.nlm.nih.gov/42768888/</w:t>
      </w:r>
    </w:p>
    <w:p>
      <w:pPr>
        <w:pStyle w:val="Heading2"/>
      </w:pPr>
      <w:r>
        <w:t>Dynamisches Risiko-Scoring vorhersagt CLL-Progression nach Limited-Duration-Therapie besser</w:t>
      </w:r>
    </w:p>
    <w:p>
      <w:r>
        <w:rPr>
          <w:i/>
          <w:color w:val="666666"/>
          <w:sz w:val="18"/>
        </w:rPr>
        <w:t>Al-Sawaf O et al.  ·  J Clin Oncol  ·  27.08.2026  ·  PMID 42659576</w:t>
      </w:r>
    </w:p>
    <w:p>
      <w:r>
        <w:t>Deutsche multizentrische Kohortenstudie zu chronisch-lymphatischer Leukämie: Entwicklung und Validierung eines verfeinerten kontinuierlichen Risikoindex (CIRI2-CLL) mit messbaren Resterkrankungen (MRD) zur Vorhersage von progressionsfreiem Überleben nach zeitlich begrenzter Targetted Therapy.</w:t>
      </w:r>
    </w:p>
    <w:p>
      <w:r>
        <w:rPr>
          <w:b/>
        </w:rPr>
        <w:t xml:space="preserve">Ergebnis: </w:t>
      </w:r>
      <w:r>
        <w:t>CIRI2-CLL zeigte gute Kalibrierung (ca. 5 % Unterschied zwischen beobachteter und vorhergesagter Progressionswahrscheinlichkeit). Überlegene Performance vs. einzelne Indizes (C-Statistiken 0,82–0,98 an allen Zeitpunkten), FEV-Vorhersage um 14–37 % verbessert. Risk-Stratifikation in drei Gruppen: 3-Jahres-PFS von 100,0 % (niedrig), 70,2 % (mittel), 10,8 % (hoch). Performance für Gesamtüberleben bestätigt.</w:t>
      </w:r>
    </w:p>
    <w:p>
      <w:r>
        <w:rPr>
          <w:b/>
          <w:sz w:val="19"/>
        </w:rPr>
        <w:t xml:space="preserve">Übertragbarkeit: </w:t>
      </w:r>
      <w:r>
        <w:rPr>
          <w:sz w:val="19"/>
        </w:rPr>
        <w:t>Deutschland/DACH, multizentrisch; CLL-spezifisch, aber Methode der MRD-Integration für andere Chroniker relevant</w:t>
      </w:r>
    </w:p>
    <w:p>
      <w:r>
        <w:rPr>
          <w:color w:val="5A7D3A"/>
          <w:sz w:val="18"/>
        </w:rPr>
        <w:t>https://pubmed.ncbi.nlm.nih.gov/42659576/</w:t>
      </w:r>
    </w:p>
    <w:p>
      <w:pPr>
        <w:pStyle w:val="Heading2"/>
      </w:pPr>
      <w:r>
        <w:t>HBsAg-Schnelltest-Positivierungszeit schätzt Viruslast und erleichtert POC-Diagnostik</w:t>
      </w:r>
    </w:p>
    <w:p>
      <w:r>
        <w:rPr>
          <w:i/>
          <w:color w:val="666666"/>
          <w:sz w:val="18"/>
        </w:rPr>
        <w:t>Asmamaw A et al.  ·  Aliment Pharmacol Ther  ·  06.08.2026  ·  PMID 42558028</w:t>
      </w:r>
    </w:p>
    <w:p>
      <w:r>
        <w:t>Multizentrische Proof-of-Concept-Studie (Spanien, Äthiopien): Prüfung, ob die Positivierungszeit eines Schnelltests für Hepatitis-B-Oberflächenantigen (HBsAg) ein Surrogat für quantitatives HBsAg und HBV-DNA-Aktivität ist; Paarvergleiche Kapillar- vs. Venöses Blut mit qHBsAg und PCR.</w:t>
      </w:r>
    </w:p>
    <w:p>
      <w:r>
        <w:rPr>
          <w:b/>
        </w:rPr>
        <w:t xml:space="preserve">Ergebnis: </w:t>
      </w:r>
      <w:r>
        <w:t>513 HBsAg-positive Personen analysiert. Positivierungszeit korrelierte invers mit qHBsAg (Spanien r=−0,749, Äthiopien r=−0,374; p&lt;0,001 beide). Keine Assoziation mit HBV-DNA. Diskriminationsfähigkeit für HBsAg &lt;1000 IU/mL: Spanien AUROC 0,86, Äthiopien AUROC 0,65; für &lt;100 IU/mL: AUROC 0,96 und 0,77. Gesunde und mit ausgeheilter Infektion: durchweg negativ.</w:t>
      </w:r>
    </w:p>
    <w:p>
      <w:r>
        <w:rPr>
          <w:b/>
          <w:sz w:val="19"/>
        </w:rPr>
        <w:t xml:space="preserve">Übertragbarkeit: </w:t>
      </w:r>
      <w:r>
        <w:rPr>
          <w:sz w:val="19"/>
        </w:rPr>
        <w:t>Spanien/Äthiopien; POC-Test für ressourcenlimitierte Länder, Relevanz für deutsche POC-Diagnostik begrenzt</w:t>
      </w:r>
    </w:p>
    <w:p>
      <w:r>
        <w:rPr>
          <w:color w:val="5A7D3A"/>
          <w:sz w:val="18"/>
        </w:rPr>
        <w:t>https://pubmed.ncbi.nlm.nih.gov/42558028/</w:t>
      </w:r>
    </w:p>
    <w:p>
      <w:pPr>
        <w:pStyle w:val="Heading1"/>
      </w:pPr>
      <w:r>
        <w:t>Aufgenommen am 03.10.2026</w:t>
      </w:r>
    </w:p>
    <w:p>
      <w:pPr>
        <w:pStyle w:val="Heading2"/>
      </w:pPr>
      <w:r>
        <w:t>Depression senkte das Risiko für Mehrfacherkrankung: Remission assoziiert mit niedrigerem Kardiometabolen-Risiko</w:t>
      </w:r>
    </w:p>
    <w:p>
      <w:r>
        <w:rPr>
          <w:i/>
          <w:color w:val="666666"/>
          <w:sz w:val="18"/>
        </w:rPr>
        <w:t>Yao M et al.  ·  J Glob Health  ·  02.10.2026  ·  PMID 42825401</w:t>
      </w:r>
    </w:p>
    <w:p>
      <w:r>
        <w:t>Prospektive Kohortenstudie mit 51.416 Teilnehmern aus China, USA und Europa untersuchte, ob langfristige depressive Belastung (gemessen durch Verlauf und kumulative Scores) mit neuaufgetretener Mehrfacherkrankung (Herz-Kreislauf und Diabetes) assoziiert ist.</w:t>
      </w:r>
    </w:p>
    <w:p>
      <w:r>
        <w:rPr>
          <w:b/>
        </w:rPr>
        <w:t xml:space="preserve">Ergebnis: </w:t>
      </w:r>
      <w:r>
        <w:t>Depressionsfortschritt erhöhte CMM-Risiko: China HR 1,47 (95%-CI 1,00–2,17), USA HR 1,33 (1,01–1,74), Europa HR 1,46 (1,26–1,69). Depressionsremission reduzierte Risiko: China HR 0,56 (0,36–0,87), Europa HR 0,76 (0,63–0,92). Frauen stärker betroffen in USA und Europa.</w:t>
      </w:r>
    </w:p>
    <w:p>
      <w:r>
        <w:rPr>
          <w:b/>
          <w:sz w:val="19"/>
        </w:rPr>
        <w:t xml:space="preserve">Übertragbarkeit: </w:t>
      </w:r>
      <w:r>
        <w:rPr>
          <w:sz w:val="19"/>
        </w:rPr>
        <w:t>Internationale Kohorte mit vergleichbarem Design; deutsches System ohne direkte Abbildung, aber Mehrfacherkrankungen-Prävention zentral für DMPs</w:t>
      </w:r>
    </w:p>
    <w:p>
      <w:r>
        <w:rPr>
          <w:color w:val="5A7D3A"/>
          <w:sz w:val="18"/>
        </w:rPr>
        <w:t>https://pubmed.ncbi.nlm.nih.gov/42825401/</w:t>
      </w:r>
    </w:p>
    <w:p>
      <w:pPr>
        <w:pStyle w:val="Heading2"/>
      </w:pPr>
      <w:r>
        <w:t>Peer-Support-Programme für chronische Nierenerkrankung: Systemische Unterstützung und Engagement zentral</w:t>
      </w:r>
    </w:p>
    <w:p>
      <w:r>
        <w:rPr>
          <w:i/>
          <w:color w:val="666666"/>
          <w:sz w:val="18"/>
        </w:rPr>
        <w:t>Faravan A et al.  ·  J Ren Care  ·  Dez. 2026  ·  PMID 42820648</w:t>
      </w:r>
    </w:p>
    <w:p>
      <w:r>
        <w:t>Qualitative Metasynthese von 15 Studien zu Facilitators von Peer-Support-Programmen für Patienten mit chronischer Nierenerkrankung.</w:t>
      </w:r>
    </w:p>
    <w:p>
      <w:r>
        <w:rPr>
          <w:b/>
        </w:rPr>
        <w:t xml:space="preserve">Ergebnis: </w:t>
      </w:r>
      <w:r>
        <w:t>Drei Hauptfacilitators identifiziert: (1) supportive Organisationskultur im Gesundheitssystem, (2) tiefe peer-Verbindungen und gutes rapport, (3) engagierte und motivierte Peer-Supporter und -Empfänger. Erfolgreiche Programme erfordern Interaktion zwischen organisationaler Unterstützung, sinnvoller Peer-Beziehung und aktiver Partizipation.</w:t>
      </w:r>
    </w:p>
    <w:p>
      <w:r>
        <w:rPr>
          <w:b/>
          <w:sz w:val="19"/>
        </w:rPr>
        <w:t xml:space="preserve">Übertragbarkeit: </w:t>
      </w:r>
      <w:r>
        <w:rPr>
          <w:sz w:val="19"/>
        </w:rPr>
        <w:t>Überwiegend europäische und englischsprachige Studien; Peer-Support-Ansätze in Deutschland (Selbsthilfe, DMP-Strukturen) unmittelbar anwendbar</w:t>
      </w:r>
    </w:p>
    <w:p>
      <w:r>
        <w:rPr>
          <w:color w:val="5A7D3A"/>
          <w:sz w:val="18"/>
        </w:rPr>
        <w:t>https://pubmed.ncbi.nlm.nih.gov/42820648/</w:t>
      </w:r>
    </w:p>
    <w:p>
      <w:pPr>
        <w:pStyle w:val="Heading2"/>
      </w:pPr>
      <w:r>
        <w:t>GLP-1-Rezeptor-Agonisten schützen die Niere bei chronischer Nierenerkrankung und Diabetes</w:t>
      </w:r>
    </w:p>
    <w:p>
      <w:r>
        <w:rPr>
          <w:i/>
          <w:color w:val="666666"/>
          <w:sz w:val="18"/>
        </w:rPr>
        <w:t>Boeckhaus J et al.  ·  Clin Sci (Lond)  ·  14.10.2026  ·  PMID 42820470</w:t>
      </w:r>
    </w:p>
    <w:p>
      <w:r>
        <w:t>Übersichtsarbeit zur Evidenz für Nephroprotektivität von GLP-1 Agonisten bei Patienten mit Typ-2-Diabetes und chronischer Nierenerkrankung jenseits von Glukosekontrolle.</w:t>
      </w:r>
    </w:p>
    <w:p>
      <w:r>
        <w:rPr>
          <w:b/>
        </w:rPr>
        <w:t xml:space="preserve">Ergebnis: </w:t>
      </w:r>
      <w:r>
        <w:t>GLP-1-RA reduzieren eGFR-Abfall, albuminurie und kardiovaskuläre Ereignisse durch anti-inflammatorische und anti-fibrotische Mechanismen. Effekte teilweise unabhängig von Gewichtsreduktion. Sicherheitsprofil vergleichbar mit Standard; potenzielle neue Indikation auch ohne Diabetes bei CKD.</w:t>
      </w:r>
    </w:p>
    <w:p>
      <w:r>
        <w:rPr>
          <w:b/>
          <w:sz w:val="19"/>
        </w:rPr>
        <w:t xml:space="preserve">Übertragbarkeit: </w:t>
      </w:r>
      <w:r>
        <w:rPr>
          <w:sz w:val="19"/>
        </w:rPr>
        <w:t>Wirkmechanismus-Review ohne Versorgungsdaten; Evidenz aus RCTs übertragbar auf deutsches System</w:t>
      </w:r>
    </w:p>
    <w:p>
      <w:r>
        <w:rPr>
          <w:color w:val="5A7D3A"/>
          <w:sz w:val="18"/>
        </w:rPr>
        <w:t>https://pubmed.ncbi.nlm.nih.gov/42820470/</w:t>
      </w:r>
    </w:p>
    <w:p>
      <w:pPr>
        <w:pStyle w:val="Heading2"/>
      </w:pPr>
      <w:r>
        <w:t>Actualisiertes WHO-Modul für Mundgesundheit in Überwachungssystemen für nicht übertragbare Erkrankungen</w:t>
      </w:r>
    </w:p>
    <w:p>
      <w:r>
        <w:rPr>
          <w:i/>
          <w:color w:val="666666"/>
          <w:sz w:val="18"/>
        </w:rPr>
        <w:t>Rendell N et al.  ·  Bull World Health Organ  ·  01.10.2026  ·  PMID 42820175</w:t>
      </w:r>
    </w:p>
    <w:p>
      <w:r>
        <w:t>WHO präsentiert überarbeitetes Modul für STEPS-Surveillance (Überwachung von Risikofaktoren) mit klinischer Untersuchungskomponente für Mundgesundheit, die von geschultem Nicht-Zahnarzt-Personal durchführbar ist.</w:t>
      </w:r>
    </w:p>
    <w:p>
      <w:r>
        <w:rPr>
          <w:b/>
        </w:rPr>
        <w:t xml:space="preserve">Ergebnis: </w:t>
      </w:r>
      <w:r>
        <w:t>Neues Modul integriert aktualisierte Selbstangaben und klinische Bewertung statt nur Wahrnehmungsangaben. Praktisch und skalierbar für Länder ohne zahnärztliche Kapazität, unterstützt Integration von Mundgesundheit in Strategien zur universellen Gesundheitsversorgung.</w:t>
      </w:r>
    </w:p>
    <w:p>
      <w:r>
        <w:rPr>
          <w:b/>
          <w:sz w:val="19"/>
        </w:rPr>
        <w:t xml:space="preserve">Übertragbarkeit: </w:t>
      </w:r>
      <w:r>
        <w:rPr>
          <w:sz w:val="19"/>
        </w:rPr>
        <w:t>WHO-Standard für alle Länder; direkt auf deutsches RKI-Surveillance-System übertragbar</w:t>
      </w:r>
    </w:p>
    <w:p>
      <w:r>
        <w:rPr>
          <w:color w:val="5A7D3A"/>
          <w:sz w:val="18"/>
        </w:rPr>
        <w:t>https://pubmed.ncbi.nlm.nih.gov/42820175/</w:t>
      </w:r>
    </w:p>
    <w:p>
      <w:pPr>
        <w:pStyle w:val="Heading2"/>
      </w:pPr>
      <w:r>
        <w:t>Krankenhausinfektionen bei Kindern mit Sepsis zeigten höhere Sterblichkeit als ambulant erworbene Infektionen</w:t>
      </w:r>
    </w:p>
    <w:p>
      <w:r>
        <w:rPr>
          <w:i/>
          <w:color w:val="666666"/>
          <w:sz w:val="18"/>
        </w:rPr>
        <w:t>Ravichandran N et al.  ·  Eur J Pediatr  ·  19.09.2026  ·  PMID 42763313</w:t>
      </w:r>
    </w:p>
    <w:p>
      <w:r>
        <w:t>Retrospektive nationale Kohortenstudie zur Epidemiologie pädiatrischer Sepsis in Irland 2020–2025 mit Analyse von Krankheitsverlauf, Multimorbidität und Outcomes.</w:t>
      </w:r>
    </w:p>
    <w:p>
      <w:r>
        <w:rPr>
          <w:b/>
        </w:rPr>
        <w:t xml:space="preserve">Ergebnis: </w:t>
      </w:r>
      <w:r>
        <w:t>4.442 Sepsis-Aufnahmen: 30,7% nosokomial, 69,3% ambulant. Nosokomiale Sepsis: 84,0% Intensivaufnahmen vs. 32,3%, Sterblichkeit 7,6% vs. 1,8% (p&lt;0,001). Komorbidität assoziiert mit kritischem Verlauf (aOR neonatal 2,66; nicht-neonatal 4,88), aber schwere Verläufe auch ohne dokumentierte Komorbiditäten.</w:t>
      </w:r>
    </w:p>
    <w:p>
      <w:r>
        <w:rPr>
          <w:b/>
          <w:sz w:val="19"/>
        </w:rPr>
        <w:t xml:space="preserve">Übertragbarkeit: </w:t>
      </w:r>
      <w:r>
        <w:rPr>
          <w:sz w:val="19"/>
        </w:rPr>
        <w:t>Europäische Klinikdaten; vergleichbar mit deutschem Krankenhausmanagementsystem für Infektionsprävention</w:t>
      </w:r>
    </w:p>
    <w:p>
      <w:r>
        <w:rPr>
          <w:color w:val="5A7D3A"/>
          <w:sz w:val="18"/>
        </w:rPr>
        <w:t>https://pubmed.ncbi.nlm.nih.gov/42763313/</w:t>
      </w:r>
    </w:p>
    <w:p>
      <w:pPr>
        <w:pStyle w:val="Heading2"/>
      </w:pPr>
      <w:r>
        <w:t>Sterblichkeitsüberwachung mit multiplen Todesursachen zur Verfolgung chronischer Erkrankungen in der COVID-19-Ära</w:t>
      </w:r>
    </w:p>
    <w:p>
      <w:r>
        <w:rPr>
          <w:i/>
          <w:color w:val="666666"/>
          <w:sz w:val="18"/>
        </w:rPr>
        <w:t>Jones J  ·  Ann Epidemiol  ·  15.09.2026  ·  PMID 42744417</w:t>
      </w:r>
    </w:p>
    <w:p>
      <w:r>
        <w:t>Educational Module zu Mortalitäts-Surveillance-Methoden, das sich auf einen bereits publizierten Artikel zur Nutzung von Mehrfach-Todesursachen-Daten konzentriert (Referenz: Durán et al., Ann Epidemiol 2026;113:23-29).</w:t>
      </w:r>
    </w:p>
    <w:p>
      <w:r>
        <w:rPr>
          <w:b/>
        </w:rPr>
        <w:t xml:space="preserve">Ergebnis: </w:t>
      </w:r>
      <w:r>
        <w:t>Modul demonstriert Nutzen von Mehrfach-Todesursachen-Kodierung zur Erfassung von Trends chronischer Erkrankungen; Fallbeispiel Schweiz COVID-19-Pandemie zeigt, wie Überwachungsmethoden Versorgungsmuster offenbaren.</w:t>
      </w:r>
    </w:p>
    <w:p>
      <w:r>
        <w:rPr>
          <w:b/>
          <w:sz w:val="19"/>
        </w:rPr>
        <w:t xml:space="preserve">Übertragbarkeit: </w:t>
      </w:r>
      <w:r>
        <w:rPr>
          <w:sz w:val="19"/>
        </w:rPr>
        <w:t>Schweiz mit ähnlichem System wie Deutschland; Mortalitäts-Surveillance-Design direkt auf deutsches Todesbescheinigungssystem übertragbar</w:t>
      </w:r>
    </w:p>
    <w:p>
      <w:r>
        <w:rPr>
          <w:color w:val="5A7D3A"/>
          <w:sz w:val="18"/>
        </w:rPr>
        <w:t>https://pubmed.ncbi.nlm.nih.gov/42744417/</w:t>
      </w:r>
    </w:p>
    <w:p>
      <w:pPr>
        <w:pStyle w:val="Heading2"/>
      </w:pPr>
      <w:r>
        <w:t>COPD ist zu heterogen für Single-Trial-Zulassungen: Mehrfach-Studien-Evidenz erforderlich</w:t>
      </w:r>
    </w:p>
    <w:p>
      <w:r>
        <w:rPr>
          <w:i/>
          <w:color w:val="666666"/>
          <w:sz w:val="18"/>
        </w:rPr>
        <w:t>Cazzola M et al.  ·  Lung  ·  31.07.2026  ·  PMID 42536190</w:t>
      </w:r>
    </w:p>
    <w:p>
      <w:r>
        <w:t>Expertenpapier zur FDA-Proposal, einzelne RCTs als Standard für COPD-Medikamentenzulassung zu akzeptieren; erörtert Heterogenität, Effektgrößen und Generalisierbarkeit.</w:t>
      </w:r>
    </w:p>
    <w:p>
      <w:r>
        <w:rPr>
          <w:b/>
        </w:rPr>
        <w:t xml:space="preserve">Ergebnis: </w:t>
      </w:r>
      <w:r>
        <w:t>COPD zeigt variable Trajektorien, modest treatment effects, limitierte validierte Biomarker. Single RCTs risikieren Type-I-Fehler und begrenzte Übertragbarkeit durch restriktive Einschlusskriterien. Empfehlung: mindestens zwei unabhängige Studien bei CKD oder äquivalente Post-Marketing-Validierung erforderlich.</w:t>
      </w:r>
    </w:p>
    <w:p>
      <w:r>
        <w:rPr>
          <w:b/>
          <w:sz w:val="19"/>
        </w:rPr>
        <w:t xml:space="preserve">Übertragbarkeit: </w:t>
      </w:r>
      <w:r>
        <w:rPr>
          <w:sz w:val="19"/>
        </w:rPr>
        <w:t>COPD-Versorgung international vergleichbar; Argument für robuste Evidenzstandards in allen Gesundheitssystemen relevant</w:t>
      </w:r>
    </w:p>
    <w:p>
      <w:r>
        <w:rPr>
          <w:color w:val="5A7D3A"/>
          <w:sz w:val="18"/>
        </w:rPr>
        <w:t>https://pubmed.ncbi.nlm.nih.gov/42536190/</w:t>
      </w:r>
    </w:p>
    <w:p>
      <w:pPr>
        <w:pStyle w:val="Heading1"/>
      </w:pPr>
      <w:r>
        <w:t>Aufgenommen am 02.10.2026</w:t>
      </w:r>
    </w:p>
    <w:p>
      <w:pPr>
        <w:pStyle w:val="Heading2"/>
      </w:pPr>
      <w:r>
        <w:t>Peritoneal-Dialyse-Peritonitis: Nomogramm zur Vorhersage von Peritonitifreiheit</w:t>
      </w:r>
    </w:p>
    <w:p>
      <w:r>
        <w:rPr>
          <w:i/>
          <w:color w:val="666666"/>
          <w:sz w:val="18"/>
        </w:rPr>
        <w:t>Tian Z et al.  ·  Ren Fail  ·  01.10.2026  ·  PMID 42823121</w:t>
      </w:r>
    </w:p>
    <w:p>
      <w:r>
        <w:t>Retrospektive Kohortenstudie entwickelte und validierte ein Cox-Nomogramm zur Vorhersage der Peritonitis-freien Überlebenszeit bei peritonealer Dialyse (372 Patienten, 26,3 Monate Nachverfolgung).</w:t>
      </w:r>
    </w:p>
    <w:p>
      <w:r>
        <w:rPr>
          <w:b/>
        </w:rPr>
        <w:t xml:space="preserve">Ergebnis: </w:t>
      </w:r>
      <w:r>
        <w:t>Über Median 26,3 Monate: 35,4% Peritonitis-Ereignisse (Training), 30,4% (Validierung). Neun unabhängige Prädiktoren identifiziert (u.a. Bildung, BMI, Albumin, Kalzium, Phosphor). C-Index 0,707; ROC-AUC bei 6/12/24 Monaten: 75,8%/77,5%/69,7% (Training) bzw. 77,7%/63,8%/58,4% (Validierung). Modell zeigt moderate Diskrimination und befriedigende Kalibration.</w:t>
      </w:r>
    </w:p>
    <w:p>
      <w:r>
        <w:rPr>
          <w:b/>
          <w:sz w:val="19"/>
        </w:rPr>
        <w:t xml:space="preserve">Übertragbarkeit: </w:t>
      </w:r>
      <w:r>
        <w:rPr>
          <w:sz w:val="19"/>
        </w:rPr>
        <w:t>China, klinisch routinemäßig erhobene Parameter, externe Validierung vor Routineeinsatz erforderlich.</w:t>
      </w:r>
    </w:p>
    <w:p>
      <w:r>
        <w:rPr>
          <w:color w:val="5A7D3A"/>
          <w:sz w:val="18"/>
        </w:rPr>
        <w:t>https://pubmed.ncbi.nlm.nih.gov/42823121/</w:t>
      </w:r>
    </w:p>
    <w:p>
      <w:pPr>
        <w:pStyle w:val="Heading2"/>
      </w:pPr>
      <w:r>
        <w:t>Bewegungsmangel verursacht 2% der Krankheitslast in der Schweiz</w:t>
      </w:r>
    </w:p>
    <w:p>
      <w:r>
        <w:rPr>
          <w:i/>
          <w:color w:val="666666"/>
          <w:sz w:val="18"/>
        </w:rPr>
        <w:t>Güntert L et al.  ·  Swiss Med Wkly  ·  24.09.2026  ·  PMID 42821881</w:t>
      </w:r>
    </w:p>
    <w:p>
      <w:r>
        <w:t>Bevölkerungsgestützte Modellierungsstudie quantifizierte die durch körperliche Inaktivität verursachte Krankheitslast (YLD und YLL) in der Schweiz 2022 nach Sprachregionen.</w:t>
      </w:r>
    </w:p>
    <w:p>
      <w:r>
        <w:rPr>
          <w:b/>
        </w:rPr>
        <w:t xml:space="preserve">Ergebnis: </w:t>
      </w:r>
      <w:r>
        <w:t>Physische Inaktivität führte zu 227,08 YLD und 424,23 YLL pro 100.000 Personen &gt;20 Jahren (2% der DALYs insgesamt). Italienisch- und französischsprachige Regionen zeigten erheblich höhere Raten als deutschsprachige Regionen. Depression (93,38 YLD) und Herzkoronarerkrankung (132,12 YLL) waren Hauptkontributoren; Frauen waren stärker belastet als Männer.</w:t>
      </w:r>
    </w:p>
    <w:p>
      <w:r>
        <w:rPr>
          <w:b/>
          <w:sz w:val="19"/>
        </w:rPr>
        <w:t xml:space="preserve">Übertragbarkeit: </w:t>
      </w:r>
      <w:r>
        <w:rPr>
          <w:sz w:val="19"/>
        </w:rPr>
        <w:t>Schweizer Bevölkerungsdaten, ähnliche Struktur und Prävention wie im deutschsprachigen Raum.</w:t>
      </w:r>
    </w:p>
    <w:p>
      <w:r>
        <w:rPr>
          <w:color w:val="5A7D3A"/>
          <w:sz w:val="18"/>
        </w:rPr>
        <w:t>https://pubmed.ncbi.nlm.nih.gov/42821881/</w:t>
      </w:r>
    </w:p>
    <w:p>
      <w:pPr>
        <w:pStyle w:val="Heading2"/>
      </w:pPr>
      <w:r>
        <w:t>Antidiabetika und COPD-Exazerbationen: Netzwerk-Metaanalyse bei Typ-2-Diabetes</w:t>
      </w:r>
    </w:p>
    <w:p>
      <w:r>
        <w:rPr>
          <w:i/>
          <w:color w:val="666666"/>
          <w:sz w:val="18"/>
        </w:rPr>
        <w:t>Shabil M et al.  ·  Diab Vasc Dis Res  ·  01.10.2026  ·  PMID 42821775</w:t>
      </w:r>
    </w:p>
    <w:p>
      <w:r>
        <w:t>Systematische Übersicht mit Netzwerk-Metaanalyse evaluierte Effekte verschiedener Antidiabetika auf COPD-Exazerbationen bei Patienten mit T2DM (13 Beobachtungsstudien, 755.206 Teilnehmer).</w:t>
      </w:r>
    </w:p>
    <w:p>
      <w:r>
        <w:rPr>
          <w:b/>
        </w:rPr>
        <w:t xml:space="preserve">Ergebnis: </w:t>
      </w:r>
      <w:r>
        <w:t>Im Vergleich zu Sulfonylharnstoffen: SGLT-2-Inhibitoren zeigten tiefste COPD-Exazerbationsrate (RR 0,71; 95% CI 0,66–0,77), gefolgt von GLP-1-Agonisten (RR 0,77; 95% CI 0,71–0,84). Metformin neutral (RR 0,89), DPP-4-Inhibitoren (RR 1,05) und Meglitinide ohne klaren Nutzen. Ähnliche Befunde für schwere Exazerbationen.</w:t>
      </w:r>
    </w:p>
    <w:p>
      <w:r>
        <w:rPr>
          <w:b/>
          <w:sz w:val="19"/>
        </w:rPr>
        <w:t xml:space="preserve">Übertragbarkeit: </w:t>
      </w:r>
      <w:r>
        <w:rPr>
          <w:sz w:val="19"/>
        </w:rPr>
        <w:t>Internationale Beobachtungsdaten, Effektstärken unabhängig von Versorgungssystem.</w:t>
      </w:r>
    </w:p>
    <w:p>
      <w:r>
        <w:rPr>
          <w:color w:val="5A7D3A"/>
          <w:sz w:val="18"/>
        </w:rPr>
        <w:t>https://pubmed.ncbi.nlm.nih.gov/42821775/</w:t>
      </w:r>
    </w:p>
    <w:p>
      <w:pPr>
        <w:pStyle w:val="Heading2"/>
      </w:pPr>
      <w:r>
        <w:t>Rauchentwöhnung bei COPD: Klinik-Zuweisung verbesserte Abstinenzquote deutlich</w:t>
      </w:r>
    </w:p>
    <w:p>
      <w:r>
        <w:rPr>
          <w:i/>
          <w:color w:val="666666"/>
          <w:sz w:val="18"/>
        </w:rPr>
        <w:t>Marım F et al.  ·  Int J Chron Obstruct Pulmon Dis  ·  26.09.2026  ·  PMID 42820089</w:t>
      </w:r>
    </w:p>
    <w:p>
      <w:r>
        <w:t>Subgruppenanalyse einer multizentrischen RCT untersuchte Faktoren, die mit 1-Jahres-Rauchentwöhnung bei COPD-Patienten assoziiert sind (Vergleich: sofortige Klinik-Zuweisung vs. Standard-Versorgung).</w:t>
      </w:r>
    </w:p>
    <w:p>
      <w:r>
        <w:rPr>
          <w:b/>
        </w:rPr>
        <w:t xml:space="preserve">Ergebnis: </w:t>
      </w:r>
      <w:r>
        <w:t>Von 172 Patienten quit 32 (18,6%): 24 von 93 (25,8%) mit sofortiger Zuweisung vs. 8 von 79 (10,1%) mit Standardversorgung (p=0,010). Im multivariablen Modell: Standardversorgung senkte Erfolgschancen (OR 0,25; 95% CI 0,09–0,64); Fehlen von Komorbiditäten (OR 2,64) und &gt;1 exazerbationsbedingte Hospitalisierung (OR 9,32) erhöhten sie. Strukturierte Versorgungspfade sind zentral.</w:t>
      </w:r>
    </w:p>
    <w:p>
      <w:r>
        <w:rPr>
          <w:b/>
          <w:sz w:val="19"/>
        </w:rPr>
        <w:t xml:space="preserve">Übertragbarkeit: </w:t>
      </w:r>
      <w:r>
        <w:rPr>
          <w:sz w:val="19"/>
        </w:rPr>
        <w:t>Türkische Multizenterstudie, aber Versorgungsprinzipien (Koordination, Strukturierung) auf Deutschland übertragbar.</w:t>
      </w:r>
    </w:p>
    <w:p>
      <w:r>
        <w:rPr>
          <w:color w:val="5A7D3A"/>
          <w:sz w:val="18"/>
        </w:rPr>
        <w:t>https://pubmed.ncbi.nlm.nih.gov/42820089/</w:t>
      </w:r>
    </w:p>
    <w:p>
      <w:pPr>
        <w:pStyle w:val="Heading2"/>
      </w:pPr>
      <w:r>
        <w:t>Gicht-Akutbehandlung bei Nierenkrankheit: Anakinra versus Steroide</w:t>
      </w:r>
    </w:p>
    <w:p>
      <w:r>
        <w:rPr>
          <w:i/>
          <w:color w:val="666666"/>
          <w:sz w:val="18"/>
        </w:rPr>
        <w:t>Balasubramaniam G et al.  ·  BMJ Open  ·  30.09.2026  ·  PMID 42816092</w:t>
      </w:r>
    </w:p>
    <w:p>
      <w:r>
        <w:t>Feasibility-Studie testete Durchführbarkeit einer doppelblinden RCT von Anakinra versus Methylprednisolon bei Gicht-Anfällen in chronischer Nierenkrankheit (eGFR &lt;60).</w:t>
      </w:r>
    </w:p>
    <w:p>
      <w:r>
        <w:rPr>
          <w:b/>
        </w:rPr>
        <w:t xml:space="preserve">Ergebnis: </w:t>
      </w:r>
      <w:r>
        <w:t>21 Patienten randomisiert, 17 behandelt. Schmerzreduktion nach 7 Tagen: 46,8 von 100 auf visueller Analogskala. Anakinra zeigte Trend zu schnellerem Schmerzrückgang. Machbarkeit demonstriert; Unter-Rekrutierung war Hauptproblem. Empfehlung für optimierte Fall-Findung in der Gemeinschaft vor definitivem Trial.</w:t>
      </w:r>
    </w:p>
    <w:p>
      <w:r>
        <w:rPr>
          <w:b/>
          <w:sz w:val="19"/>
        </w:rPr>
        <w:t xml:space="preserve">Übertragbarkeit: </w:t>
      </w:r>
      <w:r>
        <w:rPr>
          <w:sz w:val="19"/>
        </w:rPr>
        <w:t>UK-Sekundärversorger, transferierbar auf multimorbide ältere Patienten in Deutschland.</w:t>
      </w:r>
    </w:p>
    <w:p>
      <w:r>
        <w:rPr>
          <w:color w:val="5A7D3A"/>
          <w:sz w:val="18"/>
        </w:rPr>
        <w:t>https://pubmed.ncbi.nlm.nih.gov/42816092/</w:t>
      </w:r>
    </w:p>
    <w:p>
      <w:pPr>
        <w:pStyle w:val="Heading2"/>
      </w:pPr>
      <w:r>
        <w:t>Sarcopenie bei Mehrfacherkrankungen: europäische Leitlinie mit praktischen Empfehlungen</w:t>
      </w:r>
    </w:p>
    <w:p>
      <w:r>
        <w:rPr>
          <w:i/>
          <w:color w:val="666666"/>
          <w:sz w:val="18"/>
        </w:rPr>
        <w:t>Bernabeu-Wittel M et al.  ·  Eur J Intern Med  ·  13.08.2026  ·  PMID 42595648</w:t>
      </w:r>
    </w:p>
    <w:p>
      <w:r>
        <w:t>EFIM-adaptierte Leitlinie für Identifikation und Management von Sarcopenie bei Patienten mit Mehrfacherkrankungen, basierend auf kritischer Bewertung bestehender Guidelines.</w:t>
      </w:r>
    </w:p>
    <w:p>
      <w:r>
        <w:rPr>
          <w:b/>
        </w:rPr>
        <w:t xml:space="preserve">Ergebnis: </w:t>
      </w:r>
      <w:r>
        <w:t>37 Empfehlungen (30 strong, 7 weak): Proaktives Screening ab 65 Jahren und bei jüngeren mit Risikofaktoren; Handgriffkraft als Eintrittspunkt; flexible diagnostische Wege; individualisierte multimodale Interventionen. 8 auf hoher, 12 auf moderater, 17 auf niedriger Evidenz oder Konsens. Adressiert iatrogene Risiken (Corticosteroide, GLP-1-Agonisten).</w:t>
      </w:r>
    </w:p>
    <w:p>
      <w:r>
        <w:rPr>
          <w:b/>
          <w:sz w:val="19"/>
        </w:rPr>
        <w:t xml:space="preserve">Übertragbarkeit: </w:t>
      </w:r>
      <w:r>
        <w:rPr>
          <w:sz w:val="19"/>
        </w:rPr>
        <w:t>Europäische Innere Medizin, direkt auf deutsches Versorgungssystem übertragbar.</w:t>
      </w:r>
    </w:p>
    <w:p>
      <w:r>
        <w:rPr>
          <w:color w:val="5A7D3A"/>
          <w:sz w:val="18"/>
        </w:rPr>
        <w:t>https://pubmed.ncbi.nlm.nih.gov/42595648/</w:t>
      </w:r>
    </w:p>
    <w:p>
      <w:pPr>
        <w:pStyle w:val="Heading1"/>
      </w:pPr>
      <w:r>
        <w:t>Aufgenommen am 01.10.2026</w:t>
      </w:r>
    </w:p>
    <w:p>
      <w:pPr>
        <w:pStyle w:val="Heading2"/>
      </w:pPr>
      <w:r>
        <w:t>Psychosomatic Belastung bei Jugendlichen mit chronischen Erkrankungen im Übergang zur Erwachsenenmedizin</w:t>
      </w:r>
    </w:p>
    <w:p>
      <w:r>
        <w:rPr>
          <w:i/>
          <w:color w:val="666666"/>
          <w:sz w:val="18"/>
        </w:rPr>
        <w:t>Choukair D et al.  ·  PLoS One  ·  30.09.2026  ·  PMID 42814714</w:t>
      </w:r>
    </w:p>
    <w:p>
      <w:r>
        <w:t>Querschnittsstudie an 92 Jugendlichen mit chronischen Erkrankungen zur Erfassung psychosozialer Belastung, Familienstruktur und Unterstützungsbedarf beim Transition-Prozess mit validierten Fragebögen.</w:t>
      </w:r>
    </w:p>
    <w:p>
      <w:r>
        <w:rPr>
          <w:b/>
        </w:rPr>
        <w:t xml:space="preserve">Ergebnis: </w:t>
      </w:r>
      <w:r>
        <w:t>39,6% moderate somatische Beschwerden, 20,6% depressive Symptome, 11,9% Angststörungssymptome; reduzierte Familienstruktur korrelierte signifikant mit höherer psychosomatischer Symptombelastung (p&lt;0,05). Psychosoziale Belastung sollte systematisch in Transition-Programme integriert werden.</w:t>
      </w:r>
    </w:p>
    <w:p>
      <w:r>
        <w:rPr>
          <w:b/>
          <w:sz w:val="19"/>
        </w:rPr>
        <w:t xml:space="preserve">Übertragbarkeit: </w:t>
      </w:r>
      <w:r>
        <w:rPr>
          <w:sz w:val="19"/>
        </w:rPr>
        <w:t>Deutschland, vergleichbare Strukturen der Kindermedizin und Transitionsmedizin.</w:t>
      </w:r>
    </w:p>
    <w:p>
      <w:r>
        <w:rPr>
          <w:color w:val="5A7D3A"/>
          <w:sz w:val="18"/>
        </w:rPr>
        <w:t>https://pubmed.ncbi.nlm.nih.gov/42814714/</w:t>
      </w:r>
    </w:p>
    <w:p>
      <w:pPr>
        <w:pStyle w:val="Heading2"/>
      </w:pPr>
      <w:r>
        <w:t>Kostenwirksamkeit eines dezentralen Versorgungsmodells für Hepatitis B in remote Gemeinden</w:t>
      </w:r>
    </w:p>
    <w:p>
      <w:r>
        <w:rPr>
          <w:i/>
          <w:color w:val="666666"/>
          <w:sz w:val="18"/>
        </w:rPr>
        <w:t>Nguyen H et al.  ·  Med J Aust  ·  Okt. 2026  ·  PMID 42811936</w:t>
      </w:r>
    </w:p>
    <w:p>
      <w:r>
        <w:t>Retrospektive Kohortenstudie (2014-2023) von 1063 First-Nations-Personen mit chronischer Hepatitis B zur Kosten-Analyse des Hep-B-PAST-Programms versus Standard-Versorgung in Australien.</w:t>
      </w:r>
    </w:p>
    <w:p>
      <w:r>
        <w:rPr>
          <w:b/>
        </w:rPr>
        <w:t xml:space="preserve">Ergebnis: </w:t>
      </w:r>
      <w:r>
        <w:t>Mediane Jahreskosten pro Person ähnlich: Standard $639 (IQR 366–1156) vs. Hep-B-PAST $770 (IQR 400–1272), p=0,12; Mittelwerte Standard $1701 vs. $1970 (p=0,12); dezentrales Modell führte nicht zu Kostensteigerung bei verbesserter Therapie-Adhärenz.</w:t>
      </w:r>
    </w:p>
    <w:p>
      <w:r>
        <w:rPr>
          <w:b/>
          <w:sz w:val="19"/>
        </w:rPr>
        <w:t xml:space="preserve">Übertragbarkeit: </w:t>
      </w:r>
      <w:r>
        <w:rPr>
          <w:sz w:val="19"/>
        </w:rPr>
        <w:t>Australien, vergleichbare öffentliche Versorgungssysteme; Dezentralisierung ist kosteneffizient.</w:t>
      </w:r>
    </w:p>
    <w:p>
      <w:r>
        <w:rPr>
          <w:color w:val="5A7D3A"/>
          <w:sz w:val="18"/>
        </w:rPr>
        <w:t>https://pubmed.ncbi.nlm.nih.gov/42811936/</w:t>
      </w:r>
    </w:p>
    <w:p>
      <w:pPr>
        <w:pStyle w:val="Heading2"/>
      </w:pPr>
      <w:r>
        <w:t>Krankheitslast nicht-übertragbarer Erkrankungen in bangladeschischen Krankenhäusern</w:t>
      </w:r>
    </w:p>
    <w:p>
      <w:r>
        <w:rPr>
          <w:i/>
          <w:color w:val="666666"/>
          <w:sz w:val="18"/>
        </w:rPr>
        <w:t>Proma SB et al.  ·  Mymensingh Med J  ·  Okt. 2026  ·  PMID 42811840</w:t>
      </w:r>
    </w:p>
    <w:p>
      <w:r>
        <w:t>Retrospektive Querschnittsanalyse von 6698 Krankenhausaufnahmen 2022 an einem Tertiärzentrum zur Erfassung der Häufigkeit, Muster und Mortalität durch nicht-übertragbare Erkrankungen.</w:t>
      </w:r>
    </w:p>
    <w:p>
      <w:r>
        <w:rPr>
          <w:b/>
        </w:rPr>
        <w:t xml:space="preserve">Ergebnis: </w:t>
      </w:r>
      <w:r>
        <w:t>42,05% aller Aufnahmen NCDs; weiblich 56,37%, männlich 43,63%; Häufigste Erkrankungen Hypertonie (33,22%), Diabetes (25,34%), Schlaganfall (17,85%), kardiovaskulär (12,14%); NCDs verursachten 88,41% aller Todesfälle (n=164), hauptsächlich kardiovaskulär, Schlaganfall, chronische Atemwegserkrankungen.</w:t>
      </w:r>
    </w:p>
    <w:p>
      <w:r>
        <w:rPr>
          <w:b/>
          <w:sz w:val="19"/>
        </w:rPr>
        <w:t xml:space="preserve">Übertragbarkeit: </w:t>
      </w:r>
      <w:r>
        <w:rPr>
          <w:sz w:val="19"/>
        </w:rPr>
        <w:t>Bangladesch, Ressourcen-limitierte Versorgung; Handlungsbedarf zur Prävention und Früherkennung NCDs evident.</w:t>
      </w:r>
    </w:p>
    <w:p>
      <w:r>
        <w:rPr>
          <w:color w:val="5A7D3A"/>
          <w:sz w:val="18"/>
        </w:rPr>
        <w:t>https://pubmed.ncbi.nlm.nih.gov/42811840/</w:t>
      </w:r>
    </w:p>
    <w:p>
      <w:pPr>
        <w:pStyle w:val="Heading2"/>
      </w:pPr>
      <w:r>
        <w:t>Bewegung in die Krankenhausversorgung: Integrierung von Physiotherapie in die chronische Versorgung</w:t>
      </w:r>
    </w:p>
    <w:p>
      <w:r>
        <w:rPr>
          <w:i/>
          <w:color w:val="666666"/>
          <w:sz w:val="18"/>
        </w:rPr>
        <w:t>Barrera-Garcimartín A et al.  ·  Int J Qual Stud Health Well-being  ·  31.12.2026  ·  PMID 42808772</w:t>
      </w:r>
    </w:p>
    <w:p>
      <w:r>
        <w:t>Qualitative Fokusgruppentudie mit 8 Fachpersonen eines öffentlichen Krankenhauses in Spanien zur Rolle von körperlicher Aktivität in der chronischen Versorgung.</w:t>
      </w:r>
    </w:p>
    <w:p>
      <w:r>
        <w:rPr>
          <w:b/>
        </w:rPr>
        <w:t xml:space="preserve">Ergebnis: </w:t>
      </w:r>
      <w:r>
        <w:t>Teilnehmende beschrieben niedrige Aktivität, mangelnde Ressourcen, fehlende institutionelle Unterstützung und schwache Rahmenbedingungen als Barrieren. Als zentral identifiziert: Integration von Sportfachpersonen, Entwicklung strukturierter Programme, stärkere Collaboration mit externen Institutionen.</w:t>
      </w:r>
    </w:p>
    <w:p>
      <w:r>
        <w:rPr>
          <w:b/>
          <w:sz w:val="19"/>
        </w:rPr>
        <w:t xml:space="preserve">Übertragbarkeit: </w:t>
      </w:r>
      <w:r>
        <w:rPr>
          <w:sz w:val="19"/>
        </w:rPr>
        <w:t>Spanien, öffentliche Krankenhaussysteme; Umsetzungshindernisse sind System-unabhängig.</w:t>
      </w:r>
    </w:p>
    <w:p>
      <w:r>
        <w:rPr>
          <w:color w:val="5A7D3A"/>
          <w:sz w:val="18"/>
        </w:rPr>
        <w:t>https://pubmed.ncbi.nlm.nih.gov/42808772/</w:t>
      </w:r>
    </w:p>
    <w:p>
      <w:pPr>
        <w:pStyle w:val="Heading2"/>
      </w:pPr>
      <w:r>
        <w:t>Minimale klinische Relevanz der EQ-VAS bei Post-COVID: Tagesschwankungen und Mess-Standards</w:t>
      </w:r>
    </w:p>
    <w:p>
      <w:r>
        <w:rPr>
          <w:i/>
          <w:color w:val="666666"/>
          <w:sz w:val="18"/>
        </w:rPr>
        <w:t>Kopp J et al.  ·  BMJ Open  ·  25.09.2026  ·  PMID 42790915</w:t>
      </w:r>
    </w:p>
    <w:p>
      <w:r>
        <w:t>Sekundäranalyse von täglichen EQ-VAS-Werten über 7 Tage bei 153 Post-COVID-Patienten aus einem randomisierten Kontrollversuch zur Bestimmung der minimalen wichtigen Differenz (MID).</w:t>
      </w:r>
    </w:p>
    <w:p>
      <w:r>
        <w:rPr>
          <w:b/>
        </w:rPr>
        <w:t xml:space="preserve">Ergebnis: </w:t>
      </w:r>
      <w:r>
        <w:t>Baseline-Median EQ-VAS 48,7 (0-100 Skala); tageszeitliche Variabilität (Median wpSD 6,4); verteilungsbasierte MID 5,9–8,9 Punkte; ankerbasierte MID 8,96 Punkte (FACIT-Fatigue); empfohlener MID-Wert 8 Punkte für zukünftige Studien.</w:t>
      </w:r>
    </w:p>
    <w:p>
      <w:r>
        <w:rPr>
          <w:b/>
          <w:sz w:val="19"/>
        </w:rPr>
        <w:t xml:space="preserve">Übertragbarkeit: </w:t>
      </w:r>
      <w:r>
        <w:rPr>
          <w:sz w:val="19"/>
        </w:rPr>
        <w:t>Schweiz, vergleichbare Versorgungsstrukturen; Messstandardisierung ist System-unabhängig.</w:t>
      </w:r>
    </w:p>
    <w:p>
      <w:r>
        <w:rPr>
          <w:color w:val="5A7D3A"/>
          <w:sz w:val="18"/>
        </w:rPr>
        <w:t>https://pubmed.ncbi.nlm.nih.gov/42790915/</w:t>
      </w:r>
    </w:p>
    <w:p>
      <w:pPr>
        <w:pStyle w:val="Heading1"/>
      </w:pPr>
      <w:r>
        <w:t>Aufgenommen am 30.09.2026</w:t>
      </w:r>
    </w:p>
    <w:p>
      <w:pPr>
        <w:pStyle w:val="Heading2"/>
      </w:pPr>
      <w:r>
        <w:t>Diagnostische Verzögerung bei POTS-Syndrom: 3 Jahre Median, massive Beeinträchtigung</w:t>
      </w:r>
    </w:p>
    <w:p>
      <w:r>
        <w:rPr>
          <w:i/>
          <w:color w:val="666666"/>
          <w:sz w:val="18"/>
        </w:rPr>
        <w:t>Seeley MC et al.  ·  BMJ Open  ·  29.09.2026  ·  PMID 42810796</w:t>
      </w:r>
    </w:p>
    <w:p>
      <w:r>
        <w:t>Beobachtungskohorte mit 500 Patienten mit bestätigtem Postural-Orthostatic-Tachycardia-Syndrom (POTS) aus australischer Registry dokumentierte Symptombürde, diagnostische Verzögerung und Funktionsbeeinträchtigung.</w:t>
      </w:r>
    </w:p>
    <w:p>
      <w:r>
        <w:rPr>
          <w:b/>
        </w:rPr>
        <w:t xml:space="preserve">Ergebnis: </w:t>
      </w:r>
      <w:r>
        <w:t>Mediane diagnostische Verzögerung 3,0 Jahre (IQR 9,0), 25,5% hatten ≥10 Jahre Verzögerung. Trotz jungen Alters (Durchschnitt 31,3 Jahre) und hoher Bildung: 22% arbeitslos oder könnten nicht zur Schule gehen. Infektion war der häufigste Auslöser (39,4%). Höhere autonome Symptombelastung korrelierte mit mehr Fatigue (FSS 56,0 vs. 48,0; p&lt;0,001), Magen-Darm-Symptomen (GCSI 1,60 vs. 0,89; p&lt;0,001) und schlechterer Lebensqualität (EQ-5D 0,547 vs. 0,717; p&lt;0,001).</w:t>
      </w:r>
    </w:p>
    <w:p>
      <w:r>
        <w:rPr>
          <w:b/>
          <w:sz w:val="19"/>
        </w:rPr>
        <w:t xml:space="preserve">Übertragbarkeit: </w:t>
      </w:r>
      <w:r>
        <w:rPr>
          <w:sz w:val="19"/>
        </w:rPr>
        <w:t>Australien, vergleichbare Primärversorgungsstrukturen, ähnlicher Versorgungsauftrag</w:t>
      </w:r>
    </w:p>
    <w:p>
      <w:r>
        <w:rPr>
          <w:color w:val="5A7D3A"/>
          <w:sz w:val="18"/>
        </w:rPr>
        <w:t>https://pubmed.ncbi.nlm.nih.gov/42810796/</w:t>
      </w:r>
    </w:p>
    <w:p>
      <w:pPr>
        <w:pStyle w:val="Heading2"/>
      </w:pPr>
      <w:r>
        <w:t>Mehrfacherkrankung in Alltag und Versorgung: Qualitative Studie zu komplexer Multimorbidität in Dänemark</w:t>
      </w:r>
    </w:p>
    <w:p>
      <w:r>
        <w:rPr>
          <w:i/>
          <w:color w:val="666666"/>
          <w:sz w:val="18"/>
        </w:rPr>
        <w:t>Poulsen AG et al.  ·  Prim Health Care Res Dev  ·  29.09.2026  ·  PMID 42808657</w:t>
      </w:r>
    </w:p>
    <w:p>
      <w:r>
        <w:t>Qualitative Interviews mit 8 Patienten mit komplexer Multimorbidität zeigten, dass diese Patienten trotz mehrerer Diagnosen keine Kontinuität über alle Erkrankungen hinweg erwarten, sondern wünschen sich spezialisierte Betreuung pro Fachgebiet und einen professionellen Lotsen – häufig den Hausarzt – als Unterstützung.</w:t>
      </w:r>
    </w:p>
    <w:p>
      <w:r>
        <w:rPr>
          <w:b/>
        </w:rPr>
        <w:t xml:space="preserve">Ergebnis: </w:t>
      </w:r>
      <w:r>
        <w:t>Kernfindung: Patienten verfolgen aktiv Bewältigungsstrategien zwischen medizinischen Empfehlungen und persönlichen Prioritäten. Ein Ansprechpartner (oft der Hausarzt) war ein signifikanter Unterstützungsfaktor. Die Ergebnisse unterstreichen die Notwendigkeit einer patientenzentrierten Versorgung, die individuelle Ressourcen anerkennt.</w:t>
      </w:r>
    </w:p>
    <w:p>
      <w:r>
        <w:rPr>
          <w:b/>
          <w:sz w:val="19"/>
        </w:rPr>
        <w:t xml:space="preserve">Übertragbarkeit: </w:t>
      </w:r>
      <w:r>
        <w:rPr>
          <w:sz w:val="19"/>
        </w:rPr>
        <w:t>Dänemark, vergleichbares Primärarztsystem mit Gatekeeper-Funktion</w:t>
      </w:r>
    </w:p>
    <w:p>
      <w:r>
        <w:rPr>
          <w:color w:val="5A7D3A"/>
          <w:sz w:val="18"/>
        </w:rPr>
        <w:t>https://pubmed.ncbi.nlm.nih.gov/42808657/</w:t>
      </w:r>
    </w:p>
    <w:p>
      <w:pPr>
        <w:pStyle w:val="Heading2"/>
      </w:pPr>
      <w:r>
        <w:t>Post-COVID-19-Symptome bei Asthma und COPD: Risikofaktoren identifiziert</w:t>
      </w:r>
    </w:p>
    <w:p>
      <w:r>
        <w:rPr>
          <w:i/>
          <w:color w:val="666666"/>
          <w:sz w:val="18"/>
        </w:rPr>
        <w:t>Andreason A et al.  ·  NPJ Prim Care Respir Med  ·  29.09.2026  ·  PMID 42805994</w:t>
      </w:r>
    </w:p>
    <w:p>
      <w:r>
        <w:t>Querschnittstudie mit 494 Patienten mit bestätigter COVID-19-Infektion aus dem schwedischen PRAXIS-Register untersuchte Häufigkeit und Risikofaktoren für persistierende Symptome bei Asthma oder COPD.</w:t>
      </w:r>
    </w:p>
    <w:p>
      <w:r>
        <w:rPr>
          <w:b/>
        </w:rPr>
        <w:t xml:space="preserve">Ergebnis: </w:t>
      </w:r>
      <w:r>
        <w:t>59% (289/494) berichteten Post-COVID-19-Symptome. Unabhängige Risikofaktoren: schwere akute Infektion (aOR 8,91), höheres Alter (aOR 1,25 pro Jahr), weibliches Geschlecht (aOR 1,52), Adipositas (aOR 2,24), Angststörung/Depression (aOR 1,79) und chronischer Schmerz (aOR 3,61). Patienten mit Asthma/COPD hatten höhere Prävalenz persistierender Symptome als andere Populationen.</w:t>
      </w:r>
    </w:p>
    <w:p>
      <w:r>
        <w:rPr>
          <w:b/>
          <w:sz w:val="19"/>
        </w:rPr>
        <w:t xml:space="preserve">Übertragbarkeit: </w:t>
      </w:r>
      <w:r>
        <w:rPr>
          <w:sz w:val="19"/>
        </w:rPr>
        <w:t>Schweden, europäisches Primärversorgungssystem, vergleichbare Dokumentation</w:t>
      </w:r>
    </w:p>
    <w:p>
      <w:r>
        <w:rPr>
          <w:color w:val="5A7D3A"/>
          <w:sz w:val="18"/>
        </w:rPr>
        <w:t>https://pubmed.ncbi.nlm.nih.gov/42805994/</w:t>
      </w:r>
    </w:p>
    <w:p>
      <w:pPr>
        <w:pStyle w:val="Heading2"/>
      </w:pPr>
      <w:r>
        <w:t>Spezialistisch versorgte chronische Erkrankungen im Primärarztsystem: Analyse deutscher Kassendaten</w:t>
      </w:r>
    </w:p>
    <w:p>
      <w:r>
        <w:rPr>
          <w:i/>
          <w:color w:val="666666"/>
          <w:sz w:val="18"/>
        </w:rPr>
        <w:t>Mangiapane S et al.  ·  Bundesgesundheitsblatt Gesundheitsforschung Gesundheitsschutz  ·  08.09.2026  ·  PMID 42709072</w:t>
      </w:r>
    </w:p>
    <w:p>
      <w:r>
        <w:t>Analyse von bundesweiten Abrechnungsdaten für 2024 identifizierte 173 Diagnosegruppen mit hoher fachärztlicher Versorgungsrelevanz, um zu prüfen, welche chronischen Erkrankungen primärärztlich von Spezialisten koordiniert werden könnten.</w:t>
      </w:r>
    </w:p>
    <w:p>
      <w:r>
        <w:rPr>
          <w:b/>
        </w:rPr>
        <w:t xml:space="preserve">Ergebnis: </w:t>
      </w:r>
      <w:r>
        <w:t>Bei Patienten mit Nierenfunktionsstörung (N25) höchster fachärztlicher Anteil: 83% erhielten nephrologische Behandlung, Nephrologen verantwortlich für 77% krankheitsspezifischer Fälle, aber nur 37% aller Behandlungstage. Bei allen fünf exemplarisch analysierten Indikationen (F33, G35, K51, M05, N25) entfielen 43–55% aller Behandlungstage auf Hausärzte, 92–97% der Patienten wurden hausärztlich versorgt. Schlussfolgerung: Spezialistisch geleitete primärärztliche Versorgung würde umfassende fachübergreifende Koordination erfordern, die wahrscheinlich nur für Einzelfälle realistisch ist.</w:t>
      </w:r>
    </w:p>
    <w:p>
      <w:r>
        <w:rPr>
          <w:b/>
          <w:sz w:val="19"/>
        </w:rPr>
        <w:t xml:space="preserve">Übertragbarkeit: </w:t>
      </w:r>
      <w:r>
        <w:rPr>
          <w:sz w:val="19"/>
        </w:rPr>
        <w:t>Deutschland, eigene Kassendaten, Struktur des Versicherungssystems identisch</w:t>
      </w:r>
    </w:p>
    <w:p>
      <w:r>
        <w:rPr>
          <w:color w:val="5A7D3A"/>
          <w:sz w:val="18"/>
        </w:rPr>
        <w:t>https://pubmed.ncbi.nlm.nih.gov/42709072/</w:t>
      </w:r>
    </w:p>
    <w:p>
      <w:pPr>
        <w:pStyle w:val="Heading2"/>
      </w:pPr>
      <w:r>
        <w:t>Steatose bei chronischer Hepatitis B: 42% Prävalenz bei vulnerablen Patienten, HBeAg protektiv, T2DM risikosteigernd</w:t>
      </w:r>
    </w:p>
    <w:p>
      <w:r>
        <w:rPr>
          <w:i/>
          <w:color w:val="666666"/>
          <w:sz w:val="18"/>
        </w:rPr>
        <w:t>Trifan A et al.  ·  J Gastrointestin Liver Dis  ·  29.08.2026  ·  PMID 42667659</w:t>
      </w:r>
    </w:p>
    <w:p>
      <w:r>
        <w:t>Prospektive Querschnittsstudie mit 1.970 Patienten mit chronischer Hepatitis B aus Screening-Programm in Rumänien (LIVE(RO)2) identifizierte metabolische Risikofaktoren für hepatische Steatose mittels kontrollierter Dämpfungsparameter (CAP).</w:t>
      </w:r>
    </w:p>
    <w:p>
      <w:r>
        <w:rPr>
          <w:b/>
        </w:rPr>
        <w:t xml:space="preserve">Ergebnis: </w:t>
      </w:r>
      <w:r>
        <w:t>Steatose-Prävalenz 42,2% bei vulnerablen (sozial benachteiligten) Patienten vs. 26,4% bei nicht-vulnerablen. Vulnerable Patienten hatten höhere Prävalenz von T2DM (11,5%), Hypertonie (41,3%) und Übergewicht (71,3%). HBeAg-Positivität war protektiv gegen Steatose (aOR 0,397), aber erhöhte Zirrhose-Risiko um Faktor 6. Schwere Fibrose (≥F3): 17,1% bei vulnerablen vs. 9,7% bei nicht-vulnerablen.</w:t>
      </w:r>
    </w:p>
    <w:p>
      <w:r>
        <w:rPr>
          <w:b/>
          <w:sz w:val="19"/>
        </w:rPr>
        <w:t xml:space="preserve">Übertragbarkeit: </w:t>
      </w:r>
      <w:r>
        <w:rPr>
          <w:sz w:val="19"/>
        </w:rPr>
        <w:t>Rumänien, Länder Südosteuropas, Primärversorgungsdaten, Struktur ähnlich mitteleuro­päischen Systemen</w:t>
      </w:r>
    </w:p>
    <w:p>
      <w:r>
        <w:rPr>
          <w:color w:val="5A7D3A"/>
          <w:sz w:val="18"/>
        </w:rPr>
        <w:t>https://pubmed.ncbi.nlm.nih.gov/42667659/</w:t>
      </w:r>
    </w:p>
    <w:p>
      <w:pPr>
        <w:pStyle w:val="Heading2"/>
      </w:pPr>
      <w:r>
        <w:t>Point-of-Care-Ultraschall in Zambia erkennt Zirrhose mit moderater Genauigkeit</w:t>
      </w:r>
    </w:p>
    <w:p>
      <w:r>
        <w:rPr>
          <w:i/>
          <w:color w:val="666666"/>
          <w:sz w:val="18"/>
        </w:rPr>
        <w:t>Bertoni C et al.  ·  J Viral Hepat  ·  Sept. 2026  ·  PMID 42547938</w:t>
      </w:r>
    </w:p>
    <w:p>
      <w:r>
        <w:t>Machbarkeitsstudie mit 197 Patienten mit chronischer Hepatitis B ± HIV in Zambia testete, ob trainierte nicht-radiologische Fachkräfte ein vereinfachtes Ultraschallprotokoll (PUSH) zur Erkennung von Fibrose, Zirrhose und HCC einsetzen können.</w:t>
      </w:r>
    </w:p>
    <w:p>
      <w:r>
        <w:rPr>
          <w:b/>
        </w:rPr>
        <w:t xml:space="preserve">Ergebnis: </w:t>
      </w:r>
      <w:r>
        <w:t>Nach kurzer Schulung: PUSH zeigte niedrige Genauigkeit für signifikante Fibrose (Sensitivität 8,3%, Spezifität 100%, AUROC 0,54), moderate Genauigkeit für Zirrhose (Sensitivität 60,9%, Spezifität 97,7%, AUROC 0,79) und höhere Genauigkeit für Leberläsionen verdächtig auf HCC (Sensitivität 85,7%, Spezifität 98,4%, AUROC 0,92). Schlussfolgerung: Frontline-Fachkräfte können PUSH für Zirrhose und Leberläsionen nutzen, wenn Labor- und Elastographiesysteme fehlen.</w:t>
      </w:r>
    </w:p>
    <w:p>
      <w:r>
        <w:rPr>
          <w:b/>
          <w:sz w:val="19"/>
        </w:rPr>
        <w:t xml:space="preserve">Übertragbarkeit: </w:t>
      </w:r>
      <w:r>
        <w:rPr>
          <w:sz w:val="19"/>
        </w:rPr>
        <w:t>Ressourcenarm-Setting, Übertragbarkeit auf Deutschland gering, aber Methodische Relevanz für Versorgung ohne hochwertige Labordiagnostik</w:t>
      </w:r>
    </w:p>
    <w:p>
      <w:r>
        <w:rPr>
          <w:color w:val="5A7D3A"/>
          <w:sz w:val="18"/>
        </w:rPr>
        <w:t>https://pubmed.ncbi.nlm.nih.gov/42547938/</w:t>
      </w:r>
    </w:p>
    <w:p>
      <w:pPr>
        <w:pStyle w:val="Heading1"/>
      </w:pPr>
      <w:r>
        <w:t>Aufgenommen am 29.09.2026</w:t>
      </w:r>
    </w:p>
    <w:p>
      <w:pPr>
        <w:pStyle w:val="Heading2"/>
      </w:pPr>
      <w:r>
        <w:t>Sarcopenie bei chronischer Nierenkrankheit: 28 % Prävalenz bei ESRD, assoziiert mit Metabolik und Frailty</w:t>
      </w:r>
    </w:p>
    <w:p>
      <w:r>
        <w:rPr>
          <w:i/>
          <w:color w:val="666666"/>
          <w:sz w:val="18"/>
        </w:rPr>
        <w:t>Agidew MM et al.  ·  BMJ Open  ·  28.09.2026  ·  PMID 42805656</w:t>
      </w:r>
    </w:p>
    <w:p>
      <w:r>
        <w:t>Querschnittstudie aus Äthiopien zu Sarcopenie-Prävalenz und Risikofaktoren bei erwachsenen CKD-Patienten (n=120) in einer nephrologischen Klinik, mit fokus auf ESRD-Differenzierung.</w:t>
      </w:r>
    </w:p>
    <w:p>
      <w:r>
        <w:rPr>
          <w:b/>
        </w:rPr>
        <w:t xml:space="preserve">Ergebnis: </w:t>
      </w:r>
      <w:r>
        <w:t>Sarcopenie-Prävalenz war signifikant höher bei ESRD als ohne ESRD (28,3 % vs. 10,0 %; p=0,01). Unabhängige Prädiktoren waren niedriges HDL, erhöhtes Triglycerid, Hyperglykämie, Hypertonie und Frailty. Korrelationen mit Nierenfunktion (r=−0,291; p=0,001) und oxidativem Stress bestätigt.</w:t>
      </w:r>
    </w:p>
    <w:p>
      <w:r>
        <w:rPr>
          <w:b/>
          <w:sz w:val="19"/>
        </w:rPr>
        <w:t xml:space="preserve">Übertragbarkeit: </w:t>
      </w:r>
      <w:r>
        <w:rPr>
          <w:sz w:val="19"/>
        </w:rPr>
        <w:t>Äthiopien, aber CKD-Komplikationen global, Screening-Empfehlungen übertragbar</w:t>
      </w:r>
    </w:p>
    <w:p>
      <w:r>
        <w:rPr>
          <w:color w:val="5A7D3A"/>
          <w:sz w:val="18"/>
        </w:rPr>
        <w:t>https://pubmed.ncbi.nlm.nih.gov/42805656/</w:t>
      </w:r>
    </w:p>
    <w:p>
      <w:pPr>
        <w:pStyle w:val="Heading2"/>
      </w:pPr>
      <w:r>
        <w:t>Nierentransplantate von Spendern mit Diabetes: 5-Jahres-Funktion nach Matchingvergleich unbedenklich</w:t>
      </w:r>
    </w:p>
    <w:p>
      <w:r>
        <w:rPr>
          <w:i/>
          <w:color w:val="666666"/>
          <w:sz w:val="18"/>
        </w:rPr>
        <w:t>Colella-Santos M et al.  ·  Clin Transplant  ·  Okt. 2026  ·  PMID 42804549</w:t>
      </w:r>
    </w:p>
    <w:p>
      <w:r>
        <w:t>Retrospektive brasilianische Kohortenstudie zu 5-Jahres-Nierenfunktion und Transplantat-Überleben nach Nierentransplantation mit verstorbenen Spendern mit oder ohne Diabetes mellitus (n=3.058), mit Propensity-Score-Matching.</w:t>
      </w:r>
    </w:p>
    <w:p>
      <w:r>
        <w:rPr>
          <w:b/>
        </w:rPr>
        <w:t xml:space="preserve">Ergebnis: </w:t>
      </w:r>
      <w:r>
        <w:t>Nach Matching unterschieden sich eGFR über 5 Jahre, eGFR-Steigung und zensiertes Transplantat-Überleben nicht zwischen Spendern mit und ohne Diabetes. Pre-implantations-Biopsien zeigten selten Diabetes-assoziierte glomeruläre Läsionen; keine Banff-Parameter sagten eGFR&lt;30 oder Transplantatverlust voraus (alle p&gt;0,05).</w:t>
      </w:r>
    </w:p>
    <w:p>
      <w:r>
        <w:rPr>
          <w:b/>
          <w:sz w:val="19"/>
        </w:rPr>
        <w:t xml:space="preserve">Übertragbarkeit: </w:t>
      </w:r>
      <w:r>
        <w:rPr>
          <w:sz w:val="19"/>
        </w:rPr>
        <w:t>Brasilien, aber Organallokation und Transplantat-Qualitätskriterien überträglich</w:t>
      </w:r>
    </w:p>
    <w:p>
      <w:r>
        <w:rPr>
          <w:color w:val="5A7D3A"/>
          <w:sz w:val="18"/>
        </w:rPr>
        <w:t>https://pubmed.ncbi.nlm.nih.gov/42804549/</w:t>
      </w:r>
    </w:p>
    <w:p>
      <w:pPr>
        <w:pStyle w:val="Heading2"/>
      </w:pPr>
      <w:r>
        <w:t>Ältere mit konservativer Nierenfunktions-Erhaltung lehnen Dialyse ab – Nephrologie stellt sie selten bereit</w:t>
      </w:r>
    </w:p>
    <w:p>
      <w:r>
        <w:rPr>
          <w:i/>
          <w:color w:val="666666"/>
          <w:sz w:val="18"/>
        </w:rPr>
        <w:t>Geiger MP et al.  ·  JAMA Netw Open  ·  01.09.2026  ·  PMID 42804203</w:t>
      </w:r>
    </w:p>
    <w:p>
      <w:r>
        <w:t>Qualitative Sekundäranalyse von Klinikakten aus zwei US-RCTs (CKD-EDU und DIAL-SDM, 2019–2024) zur Entscheidungsfindung von älteren (≥75 Jahren) mit ESRD bezüglich konservativer Nierenbehandlung ohne Dialyse.</w:t>
      </w:r>
    </w:p>
    <w:p>
      <w:r>
        <w:rPr>
          <w:b/>
        </w:rPr>
        <w:t xml:space="preserve">Ergebnis: </w:t>
      </w:r>
      <w:r>
        <w:t>35 von 118 Patienten (mittl. Alter 82 J.) wählten konservative Behandlung. Gründe: Vermeidung von Dialyse-Belastung zur Qualitätserhaltung, schlechte Gesundheit, Beobachtung von Dialyse-Folgen bei Angehörigen, Schutz vor Übermedikalisierung am Lebensende. Nephrologists hinterfragten häufig zielkonkordante Entscheidungen, initiierten selten Advance-Care-Planning.</w:t>
      </w:r>
    </w:p>
    <w:p>
      <w:r>
        <w:rPr>
          <w:b/>
          <w:sz w:val="19"/>
        </w:rPr>
        <w:t xml:space="preserve">Übertragbarkeit: </w:t>
      </w:r>
      <w:r>
        <w:rPr>
          <w:sz w:val="19"/>
        </w:rPr>
        <w:t>USA, aber Shared Decision Making und Palliativversorgung international relevant</w:t>
      </w:r>
    </w:p>
    <w:p>
      <w:r>
        <w:rPr>
          <w:color w:val="5A7D3A"/>
          <w:sz w:val="18"/>
        </w:rPr>
        <w:t>https://pubmed.ncbi.nlm.nih.gov/42804203/</w:t>
      </w:r>
    </w:p>
    <w:p>
      <w:pPr>
        <w:pStyle w:val="Heading2"/>
      </w:pPr>
      <w:r>
        <w:t>Therapietreue senkt HCC-Inzidenz bei Hepatitis-B-Zirrhose um 23 %</w:t>
      </w:r>
    </w:p>
    <w:p>
      <w:r>
        <w:rPr>
          <w:i/>
          <w:color w:val="666666"/>
          <w:sz w:val="18"/>
        </w:rPr>
        <w:t>Shin YE et al.  ·  J Med Virol  ·  Okt. 2026  ·  PMID 42803662</w:t>
      </w:r>
    </w:p>
    <w:p>
      <w:r>
        <w:t>Kohortenstudie mit südkoreanischen Abrechnungsdaten zur Assoziation zwischen Therapietreue (Medikamentenpossession-Ratio ≥90 %) bei Nukleosid-Analoga-Therapie und Hepatozellulären Karzinom-Risiko bei chronischer Hepatitis B.</w:t>
      </w:r>
    </w:p>
    <w:p>
      <w:r>
        <w:rPr>
          <w:b/>
        </w:rPr>
        <w:t xml:space="preserve">Ergebnis: </w:t>
      </w:r>
      <w:r>
        <w:t>Bei Patienten mit Claims-definierter Zirrhose zeigte hohe Therapietreue eine 34 % niedrigere HCC-Inzidenz als geringe Treue (32,92 vs. 49,59 pro 1000 Personenjahre; IR-Ratio 0,66; 95%-KI 0,57–0,78), in multivariaten Cox-Regressionen bestätigt (HR 0,77; 95%-KI 0,66–0,90).</w:t>
      </w:r>
    </w:p>
    <w:p>
      <w:r>
        <w:rPr>
          <w:b/>
          <w:sz w:val="19"/>
        </w:rPr>
        <w:t xml:space="preserve">Übertragbarkeit: </w:t>
      </w:r>
      <w:r>
        <w:rPr>
          <w:sz w:val="19"/>
        </w:rPr>
        <w:t>Südkorea, nationales Versicherungssystem vergleichbar mit Deutschland</w:t>
      </w:r>
    </w:p>
    <w:p>
      <w:r>
        <w:rPr>
          <w:color w:val="5A7D3A"/>
          <w:sz w:val="18"/>
        </w:rPr>
        <w:t>https://pubmed.ncbi.nlm.nih.gov/42803662/</w:t>
      </w:r>
    </w:p>
    <w:p>
      <w:pPr>
        <w:pStyle w:val="Heading2"/>
      </w:pPr>
      <w:r>
        <w:t>Automatische Peritonealdialyse senkt Restfunktion schneller als CAPD</w:t>
      </w:r>
    </w:p>
    <w:p>
      <w:r>
        <w:rPr>
          <w:i/>
          <w:color w:val="666666"/>
          <w:sz w:val="18"/>
        </w:rPr>
        <w:t>Sun L et al.  ·  Ren Fail  ·  27.09.2026  ·  PMID 42802590</w:t>
      </w:r>
    </w:p>
    <w:p>
      <w:r>
        <w:t>Retrospektive chinesische Kohortenstudie zu Nierenrestfunktion (RKF) bei Peritonealdialyse-Patienten mit Neudiagnose ESKD, vergleichend nach Modalität (APD vs. CAPD).</w:t>
      </w:r>
    </w:p>
    <w:p>
      <w:r>
        <w:rPr>
          <w:b/>
        </w:rPr>
        <w:t xml:space="preserve">Ergebnis: </w:t>
      </w:r>
      <w:r>
        <w:t>Nach 6 Monaten Peritonealdialyse zeigte die APD-Gruppe signifikant niedrigere RKF (1,9±1,6 vs. 3,0±1,7 mL/min/1,73 m²; p=0,043) und schnelleren mittleren RKF-Rückgang (−6,6±2,5 vs. −4,3±2,3 mL/min/1,73 m²/Jahr; p=0,002). In multivariater Regression war APD unabhängig mit beschleunigtem RKF-Rückgang assoziiert (β=0,93; p=0,004).</w:t>
      </w:r>
    </w:p>
    <w:p>
      <w:r>
        <w:rPr>
          <w:b/>
          <w:sz w:val="19"/>
        </w:rPr>
        <w:t xml:space="preserve">Übertragbarkeit: </w:t>
      </w:r>
      <w:r>
        <w:rPr>
          <w:sz w:val="19"/>
        </w:rPr>
        <w:t>China, aber Nierenersatzverfahren und Organschutz universal relevant</w:t>
      </w:r>
    </w:p>
    <w:p>
      <w:r>
        <w:rPr>
          <w:color w:val="5A7D3A"/>
          <w:sz w:val="18"/>
        </w:rPr>
        <w:t>https://pubmed.ncbi.nlm.nih.gov/42802590/</w:t>
      </w:r>
    </w:p>
    <w:p>
      <w:pPr>
        <w:pStyle w:val="Heading2"/>
      </w:pPr>
      <w:r>
        <w:t>Direkt-wirkende Antivirale sind sicher bei Hepatitis-C-Patienten mit Hypertonie</w:t>
      </w:r>
    </w:p>
    <w:p>
      <w:r>
        <w:rPr>
          <w:i/>
          <w:color w:val="666666"/>
          <w:sz w:val="18"/>
        </w:rPr>
        <w:t>Brzdęk M et al.  ·  Viruses  ·  12.07.2026  ·  PMID 42515615</w:t>
      </w:r>
    </w:p>
    <w:p>
      <w:r>
        <w:t>Retrospektive Kohortenstudie von 2015–2023 aus Polen zu Sicherheit und Wirksamkeit direkt-wirkender Antiviraler (DAA) bei HCV-infizierten Patienten mit arterieller Hypertonie.</w:t>
      </w:r>
    </w:p>
    <w:p>
      <w:r>
        <w:rPr>
          <w:b/>
        </w:rPr>
        <w:t xml:space="preserve">Ergebnis: </w:t>
      </w:r>
      <w:r>
        <w:t>Von 18.968 DAA-behandelten HCV-Patienten hatten 5.976 Hypertonie. Anhaltendes virologisches Ansprechen (SVR) war hoch und vergleichbar zwischen Hypertonie- und Nicht-Hypertonie-Gruppe (94,8 % vs. 94,2 % ITT-Analyse, 97,6 % vs. 97,6 % per-Protokoll). Hypertonie war nicht unabhängig mit Therapieversagen assoziiert (OR 0,87; 95%-KI 0,69–1,10).</w:t>
      </w:r>
    </w:p>
    <w:p>
      <w:r>
        <w:rPr>
          <w:b/>
          <w:sz w:val="19"/>
        </w:rPr>
        <w:t xml:space="preserve">Übertragbarkeit: </w:t>
      </w:r>
      <w:r>
        <w:rPr>
          <w:sz w:val="19"/>
        </w:rPr>
        <w:t>Polen, Struktur und Kostenträgermodell europäisch vergleichbar</w:t>
      </w:r>
    </w:p>
    <w:p>
      <w:r>
        <w:rPr>
          <w:color w:val="5A7D3A"/>
          <w:sz w:val="18"/>
        </w:rPr>
        <w:t>https://pubmed.ncbi.nlm.nih.gov/42515615/</w:t>
      </w:r>
    </w:p>
    <w:p>
      <w:pPr>
        <w:pStyle w:val="Heading1"/>
      </w:pPr>
      <w:r>
        <w:t>Aufgenommen am 28.09.2026</w:t>
      </w:r>
    </w:p>
    <w:p>
      <w:pPr>
        <w:pStyle w:val="Heading2"/>
      </w:pPr>
      <w:r>
        <w:t>Strukturierte COPD-Versorgung senkte Sterblichkeit nach akuter Exazerbation um 36 %</w:t>
      </w:r>
    </w:p>
    <w:p>
      <w:r>
        <w:rPr>
          <w:i/>
          <w:color w:val="666666"/>
          <w:sz w:val="18"/>
        </w:rPr>
        <w:t>Flury JS et al.  ·  Swiss Med Wkly  ·  31.08.2026  ·  PMID 42801453</w:t>
      </w:r>
    </w:p>
    <w:p>
      <w:r>
        <w:t>Retrospektive Kohorte von 1.855 Patienten mit akuter COPD-Exazerbation: Wer vor Hospitalisierung langwirkende inhalative Therapie erhielt, hatte deutlich bessere 1-Jahres-Überlebenschancen.</w:t>
      </w:r>
    </w:p>
    <w:p>
      <w:r>
        <w:rPr>
          <w:b/>
        </w:rPr>
        <w:t xml:space="preserve">Ergebnis: </w:t>
      </w:r>
      <w:r>
        <w:t>15,9 % Mortalität ohne Vortherapie vs. 10,1 % mit Vortherapie (adjustierte HR 1,95; 95%-KI 1,48–2,56; p&lt;0,001). Diagnostische und therapeutische Lücken waren erheblich: 50,6 % fehlte GOLD-Spirometrie-Staging, 82,6 % fehlte Risikostratifizierung.</w:t>
      </w:r>
    </w:p>
    <w:p>
      <w:r>
        <w:rPr>
          <w:b/>
          <w:sz w:val="19"/>
        </w:rPr>
        <w:t xml:space="preserve">Übertragbarkeit: </w:t>
      </w:r>
      <w:r>
        <w:rPr>
          <w:sz w:val="19"/>
        </w:rPr>
        <w:t>Schweiz, sekundäres Krankenhaus, vergleichbar mit deutscher Dokumentationspraxis und Strukturen.</w:t>
      </w:r>
    </w:p>
    <w:p>
      <w:r>
        <w:rPr>
          <w:color w:val="5A7D3A"/>
          <w:sz w:val="18"/>
        </w:rPr>
        <w:t>https://pubmed.ncbi.nlm.nih.gov/42801453/</w:t>
      </w:r>
    </w:p>
    <w:p>
      <w:pPr>
        <w:pStyle w:val="Heading2"/>
      </w:pPr>
      <w:r>
        <w:t>Natrium-Bikarbonat verbesserte Lebensqualität nicht bei CKD mit metabolischer Azidose</w:t>
      </w:r>
    </w:p>
    <w:p>
      <w:r>
        <w:rPr>
          <w:i/>
          <w:color w:val="666666"/>
          <w:sz w:val="18"/>
        </w:rPr>
        <w:t>Chan JYM et al.  ·  Qual Life Res  ·  27.09.2026  ·  PMID 42801387</w:t>
      </w:r>
    </w:p>
    <w:p>
      <w:r>
        <w:t>Pragmatische 18-Monats-RCT in Malaysia: 74 Patienten mit CKD Stadium 3–4 und metabolischer Azidose randomisiert zu Natrium-Bikarbonat (Tablette/Lösung) oder Standardbetreuung; Lebensqualität mittels KDQOL-36 und EQ-VAS gemessen.</w:t>
      </w:r>
    </w:p>
    <w:p>
      <w:r>
        <w:rPr>
          <w:b/>
        </w:rPr>
        <w:t xml:space="preserve">Ergebnis: </w:t>
      </w:r>
      <w:r>
        <w:t>Natrium-Bikarbonat erhöhte Serum-Bikarbonat initial, aber nur 1/3 erreichte Zielbereich 22–26 mmol/L. KDQOL-36- und EQ-VAS-Scores verbesserten sich nicht signifikant. CKD-Progression war unabhängig mit niedrigerer Lebensqualität assoziiert. Keine signifikanten Unterschiede in Blutdruck, Körpergewicht oder Hospitalisierungen.</w:t>
      </w:r>
    </w:p>
    <w:p>
      <w:r>
        <w:rPr>
          <w:b/>
          <w:sz w:val="19"/>
        </w:rPr>
        <w:t xml:space="preserve">Übertragbarkeit: </w:t>
      </w:r>
      <w:r>
        <w:rPr>
          <w:sz w:val="19"/>
        </w:rPr>
        <w:t>Malaysia, Primäre Versorgung, zeigt, dass Laborwerte nicht automatisch Patientenbefinden verbessern.</w:t>
      </w:r>
    </w:p>
    <w:p>
      <w:r>
        <w:rPr>
          <w:color w:val="5A7D3A"/>
          <w:sz w:val="18"/>
        </w:rPr>
        <w:t>https://pubmed.ncbi.nlm.nih.gov/42801387/</w:t>
      </w:r>
    </w:p>
    <w:p>
      <w:pPr>
        <w:pStyle w:val="Heading2"/>
      </w:pPr>
      <w:r>
        <w:t>Depression und Angst bei COPD-Patienten: Großflächig unterdiagnostiziert und untertherapiert</w:t>
      </w:r>
    </w:p>
    <w:p>
      <w:r>
        <w:rPr>
          <w:i/>
          <w:color w:val="666666"/>
          <w:sz w:val="18"/>
        </w:rPr>
        <w:t>Valiulis T et al.  ·  Int J Chron Obstruct Pulmon Dis  ·  22.09.2026  ·  PMID 42801175</w:t>
      </w:r>
    </w:p>
    <w:p>
      <w:r>
        <w:t>Landesweite Sekundärdatenanalyse aus Litauen mit 64.246 COPD-Patienten zur Häufigkeit psychiatrischer Komorbiditäten und deren Behandlung.</w:t>
      </w:r>
    </w:p>
    <w:p>
      <w:r>
        <w:rPr>
          <w:b/>
        </w:rPr>
        <w:t xml:space="preserve">Ergebnis: </w:t>
      </w:r>
      <w:r>
        <w:t>18,1 % hatte diagnostizierte psychiatrische Störung (26,8 % Frauen vs. 12,1 % Männer; adjustierte OR 2,40; p&lt;0,001). Angststörungen 15,0 %, depressive Störungen 4,6 %. 61,9 % der betroffenen Patienten erhielten Psychopharmaka, davon 89,9 % Anxiolytika. Hausärzte verschrieben 10,66-fach häufiger Anxiolytika als Psychiater.</w:t>
      </w:r>
    </w:p>
    <w:p>
      <w:r>
        <w:rPr>
          <w:b/>
          <w:sz w:val="19"/>
        </w:rPr>
        <w:t xml:space="preserve">Übertragbarkeit: </w:t>
      </w:r>
      <w:r>
        <w:rPr>
          <w:sz w:val="19"/>
        </w:rPr>
        <w:t>Litauen, Primäre Versorgung, zeigt Versorgungslücke auch in europäischen Gesundheitssystemen.</w:t>
      </w:r>
    </w:p>
    <w:p>
      <w:r>
        <w:rPr>
          <w:color w:val="5A7D3A"/>
          <w:sz w:val="18"/>
        </w:rPr>
        <w:t>https://pubmed.ncbi.nlm.nih.gov/42801175/</w:t>
      </w:r>
    </w:p>
    <w:p>
      <w:pPr>
        <w:pStyle w:val="Heading2"/>
      </w:pPr>
      <w:r>
        <w:t>Multidimensionale COPD-Phänotypen lassen sich clustern, benötigen aber externe Validierung</w:t>
      </w:r>
    </w:p>
    <w:p>
      <w:r>
        <w:rPr>
          <w:i/>
          <w:color w:val="666666"/>
          <w:sz w:val="18"/>
        </w:rPr>
        <w:t>Portacci A et al.  ·  Medicina (Kaunas)  ·  29.08.2026  ·  PMID 42796263</w:t>
      </w:r>
    </w:p>
    <w:p>
      <w:r>
        <w:t>Explorative Querschnittsstudie mit 161 COPD-Patienten: Unüberwachte Clusteranalyse (PAM) auf klinische, funktionelle, radiologische und Labordaten zur Identifikation von Phänotyp-Subgruppen.</w:t>
      </w:r>
    </w:p>
    <w:p>
      <w:r>
        <w:rPr>
          <w:b/>
        </w:rPr>
        <w:t xml:space="preserve">Ergebnis: </w:t>
      </w:r>
      <w:r>
        <w:t>Zwei-Cluster-Lösung hatte höchste Silhouetten-Breite (0,184), aber geringe Trennung. Cluster 1 (n=78): höhere Symptom- und Exazerbationslast, schlechtere Lungenfunktion, stärkere statische Hyperinflation, kürzere 6-Minuten-Gehstrecke, häufiger Emphysem. Bootstrap-Resampling zeigte interne Stabilität, externe Validierung aber erforderlich. Nur LAMA/LABA/ICS-Einsatz unterschied sich signifikant zwischen Clustern.</w:t>
      </w:r>
    </w:p>
    <w:p>
      <w:r>
        <w:rPr>
          <w:b/>
          <w:sz w:val="19"/>
        </w:rPr>
        <w:t xml:space="preserve">Übertragbarkeit: </w:t>
      </w:r>
      <w:r>
        <w:rPr>
          <w:sz w:val="19"/>
        </w:rPr>
        <w:t>Italien, Sekundärversorgung; explorativ, externe Validierung ausstehend.</w:t>
      </w:r>
    </w:p>
    <w:p>
      <w:r>
        <w:rPr>
          <w:color w:val="5A7D3A"/>
          <w:sz w:val="18"/>
        </w:rPr>
        <w:t>https://pubmed.ncbi.nlm.nih.gov/42796263/</w:t>
      </w:r>
    </w:p>
    <w:p>
      <w:pPr>
        <w:pStyle w:val="Heading2"/>
      </w:pPr>
      <w:r>
        <w:t>RDW sagt 1-Jahres-Mortalität bei CKD mit Hypertonie voraus – praktisch anwendbar</w:t>
      </w:r>
    </w:p>
    <w:p>
      <w:r>
        <w:rPr>
          <w:i/>
          <w:color w:val="666666"/>
          <w:sz w:val="18"/>
        </w:rPr>
        <w:t>Li L et al.  ·  BMC Cardiovasc Disord  ·  08.08.2026  ·  PMID 42791552</w:t>
      </w:r>
    </w:p>
    <w:p>
      <w:r>
        <w:t>Retrospektive Kohorte von 6.731 ICU-Patienten mit hypertensiver CKD aus MIMIC-IV: Assoziation von Blutbild-Parametern (RDW, HRR, RPR) mit 1-Jahres-Mortalität mittels Cox-Regression und ROC-Analysen.</w:t>
      </w:r>
    </w:p>
    <w:p>
      <w:r>
        <w:rPr>
          <w:b/>
        </w:rPr>
        <w:t xml:space="preserve">Ergebnis: </w:t>
      </w:r>
      <w:r>
        <w:t>37,2 % (2.505/6.731) starben innerhalb eines Jahres. Erhöhtes RDW assoziiert mit erhöhtem Mortalitätsrisiko (HR 1,19; 95%-KI 1,16–1,21; p&lt;0,001). AUC für RDW 0,668, für HRR 0,600. RDW verbesserte Vorhersageleistung etablierter Risikomodelle; Subgruppen-Interaktionen mit CRRT-Einsatz und CKD-Stadium nachgewiesen.</w:t>
      </w:r>
    </w:p>
    <w:p>
      <w:r>
        <w:rPr>
          <w:b/>
          <w:sz w:val="19"/>
        </w:rPr>
        <w:t xml:space="preserve">Übertragbarkeit: </w:t>
      </w:r>
      <w:r>
        <w:rPr>
          <w:sz w:val="19"/>
        </w:rPr>
        <w:t>MIMIC-IV-Datenbank (USA), aber einfache Laborparameter ohne Kostensperre übertragbar.</w:t>
      </w:r>
    </w:p>
    <w:p>
      <w:r>
        <w:rPr>
          <w:color w:val="5A7D3A"/>
          <w:sz w:val="18"/>
        </w:rPr>
        <w:t>https://pubmed.ncbi.nlm.nih.gov/42791552/</w:t>
      </w:r>
    </w:p>
    <w:p>
      <w:pPr>
        <w:pStyle w:val="Heading2"/>
      </w:pPr>
      <w:r>
        <w:t>Kindliche Traumata verdoppeln Multimorbidität im Alter – Dosis-Wirkungs-Beziehung nachgewiesen</w:t>
      </w:r>
    </w:p>
    <w:p>
      <w:r>
        <w:rPr>
          <w:i/>
          <w:color w:val="666666"/>
          <w:sz w:val="18"/>
        </w:rPr>
        <w:t>Ahmed A et al.  ·  PLoS One  ·  25.09.2026  ·  PMID 42789523</w:t>
      </w:r>
    </w:p>
    <w:p>
      <w:r>
        <w:t>Querschnittsstudie mit 734 Nigeranern ≥60 Jahren: Kumulative adverse Kindheitserlebnisse (ACEs) und deren Assoziation mit Multimorbidität (≥2 chronische Erkrankungen).</w:t>
      </w:r>
    </w:p>
    <w:p>
      <w:r>
        <w:rPr>
          <w:b/>
        </w:rPr>
        <w:t xml:space="preserve">Ergebnis: </w:t>
      </w:r>
      <w:r>
        <w:t>68,4 % berichteten ≥4 ACEs. Multimorbidität bei 38,4 % (≥3 Erkrankungen). Unadjustierte OR für ≥4 ACEs: 67,14 (95%-KI 9,25–487,04). Nach Adjustierung (Alter, Geschlecht, Haushaltsgröße) OR 15,58 (95%-KI 1,33–182,21). Klare Dosis-Wirkungs-Beziehung nachgewiesen.</w:t>
      </w:r>
    </w:p>
    <w:p>
      <w:r>
        <w:rPr>
          <w:b/>
          <w:sz w:val="19"/>
        </w:rPr>
        <w:t xml:space="preserve">Übertragbarkeit: </w:t>
      </w:r>
      <w:r>
        <w:rPr>
          <w:sz w:val="19"/>
        </w:rPr>
        <w:t>Nigeria, aber Lebensverlauf-Mechanismus transkulturell relevant; zeigt Ungleichheit als Untersuchungsgegenstand.</w:t>
      </w:r>
    </w:p>
    <w:p>
      <w:r>
        <w:rPr>
          <w:color w:val="5A7D3A"/>
          <w:sz w:val="18"/>
        </w:rPr>
        <w:t>https://pubmed.ncbi.nlm.nih.gov/42789523/</w:t>
      </w:r>
    </w:p>
    <w:p>
      <w:pPr>
        <w:pStyle w:val="Heading1"/>
      </w:pPr>
      <w:r>
        <w:t>Aufgenommen am 27.09.2026</w:t>
      </w:r>
    </w:p>
    <w:p>
      <w:pPr>
        <w:pStyle w:val="Heading2"/>
      </w:pPr>
      <w:r>
        <w:t>Kritische Fehler bei 73 % der Patienten: Inhalationstechnik in Asthma und COPD deutlich verbesserbar</w:t>
      </w:r>
    </w:p>
    <w:p>
      <w:r>
        <w:rPr>
          <w:i/>
          <w:color w:val="666666"/>
          <w:sz w:val="18"/>
        </w:rPr>
        <w:t>Damasceno IHM et al.  ·  Can Respir J  ·  2026  ·  PMID 42799340</w:t>
      </w:r>
    </w:p>
    <w:p>
      <w:r>
        <w:t>Querschnittstudie an 575 Patienten (≥18 Jahre) mit Asthma und/oder COPD, die ihre Inhalationstechnik mit standardisierten Checklisten demonstrierten.</w:t>
      </w:r>
    </w:p>
    <w:p>
      <w:r>
        <w:rPr>
          <w:b/>
        </w:rPr>
        <w:t xml:space="preserve">Ergebnis: </w:t>
      </w:r>
      <w:r>
        <w:t>Nur 8,2% führten alle Schritte korrekt aus; 73,4% hatten ≥1 kritischen Fehler. Unabhängig assoziiert mit kritischen Fehlern: höheres Alter (OR 1,029 pro Jahr), Mehrgeräte-Nutzung (OR 2,500), schützend: inspiratorisch-unabhängige Mechanismen (OR 0,262). Ältere Patienten und Mehrgerätenutzer besonders vulnerabel.</w:t>
      </w:r>
    </w:p>
    <w:p>
      <w:r>
        <w:rPr>
          <w:b/>
          <w:sz w:val="19"/>
        </w:rPr>
        <w:t xml:space="preserve">Übertragbarkeit: </w:t>
      </w:r>
      <w:r>
        <w:rPr>
          <w:sz w:val="19"/>
        </w:rPr>
        <w:t>Brasilien, aber Technikmängel universell; Intervention mit lokalem Ressourcentransfer übertragbar</w:t>
      </w:r>
    </w:p>
    <w:p>
      <w:r>
        <w:rPr>
          <w:color w:val="5A7D3A"/>
          <w:sz w:val="18"/>
        </w:rPr>
        <w:t>https://pubmed.ncbi.nlm.nih.gov/42799340/</w:t>
      </w:r>
    </w:p>
    <w:p>
      <w:pPr>
        <w:pStyle w:val="Heading2"/>
      </w:pPr>
      <w:r>
        <w:t>Finerenon reduziert Proteinurie um 52 % bei Typ-2-Diabetes mit CKD und hoher Proteinausscheidung</w:t>
      </w:r>
    </w:p>
    <w:p>
      <w:r>
        <w:rPr>
          <w:i/>
          <w:color w:val="666666"/>
          <w:sz w:val="18"/>
        </w:rPr>
        <w:t>Sun N et al.  ·  Front Endocrinol (Lausanne)  ·  11.09.2026  ·  PMID 42798812</w:t>
      </w:r>
    </w:p>
    <w:p>
      <w:r>
        <w:t>Retrospektive Kohortenstudie an 134 Patienten mit Typ-2-Diabetes und CKD mit Proteinurie &gt;1 g/d, behandelt mit oder ohne Finerenon über 12 Monate.</w:t>
      </w:r>
    </w:p>
    <w:p>
      <w:r>
        <w:rPr>
          <w:b/>
        </w:rPr>
        <w:t xml:space="preserve">Ergebnis: </w:t>
      </w:r>
      <w:r>
        <w:t>Finerenon-Gruppe: 52,8% mit erhaltener gestufter Proteinurie-Verbesserung vs. Kontrolle 33,3%. Nach Propensity Score-Gewichtung: OR 1,26 (95% KI 1,07–1,47; p=0,004). Kaplan-Meier zeigte signifikanten Unterschied in der Zeit bis zur Verbesserung (Log-rank p=0,026–0,033). Kein erhöhtes Hyperkalämie-Risiko über 12 Monate.</w:t>
      </w:r>
    </w:p>
    <w:p>
      <w:r>
        <w:rPr>
          <w:b/>
          <w:sz w:val="19"/>
        </w:rPr>
        <w:t xml:space="preserve">Übertragbarkeit: </w:t>
      </w:r>
      <w:r>
        <w:rPr>
          <w:sz w:val="19"/>
        </w:rPr>
        <w:t>China, aber Finerenon europäisch zugelassen; Mehrfacherkrankung (Diabetes+CKD) zentral</w:t>
      </w:r>
    </w:p>
    <w:p>
      <w:r>
        <w:rPr>
          <w:color w:val="5A7D3A"/>
          <w:sz w:val="18"/>
        </w:rPr>
        <w:t>https://pubmed.ncbi.nlm.nih.gov/42798812/</w:t>
      </w:r>
    </w:p>
    <w:p>
      <w:pPr>
        <w:pStyle w:val="Heading2"/>
      </w:pPr>
      <w:r>
        <w:t>Nach Stoppung antiviraler Therapie bei Hepatitis B: 20 % erzielen HBsAg-Verlust, aber 24 % schwere Schübe</w:t>
      </w:r>
    </w:p>
    <w:p>
      <w:r>
        <w:rPr>
          <w:i/>
          <w:color w:val="666666"/>
          <w:sz w:val="18"/>
        </w:rPr>
        <w:t>Lund K et al.  ·  Viruses  ·  15.09.2026  ·  PMID 42797857</w:t>
      </w:r>
    </w:p>
    <w:p>
      <w:r>
        <w:t>Prospektive Studie an 25 HBeAg-negativen Patienten ohne Zirrhose, die nach ≥3 Jahren Nukleos(t)id-Analog-Therapie abstoppten, mit 2-jähriger monatlicher Nachsorge (initial 6 Monate).</w:t>
      </w:r>
    </w:p>
    <w:p>
      <w:r>
        <w:rPr>
          <w:b/>
        </w:rPr>
        <w:t xml:space="preserve">Ergebnis: </w:t>
      </w:r>
      <w:r>
        <w:t>Nach Therapie-Stopp: 5 Patienten (20%) HBsAg-Seroclearance-Muster (4 HBsAg-Negativität, 1 &lt;1 IU/mL); 7 (28%) immunologische Kontrolle mit persistierend niedriger HBV-DNA und normaler ALT; 6 (24%) schwere Schübe mit Therapie-Wiederaufnahme, einschließlich 1 fulminanter Hepatitis mit Lebertransplantation. Alle mit schwerem Schub hatten detektierbare HBcrAg bei Therapie-Stopp. Spitzen-HBV-DNA korrelierte mit und präzedierte Spitzen-ALT.</w:t>
      </w:r>
    </w:p>
    <w:p>
      <w:r>
        <w:rPr>
          <w:b/>
          <w:sz w:val="19"/>
        </w:rPr>
        <w:t xml:space="preserve">Übertragbarkeit: </w:t>
      </w:r>
      <w:r>
        <w:rPr>
          <w:sz w:val="19"/>
        </w:rPr>
        <w:t>Schweden, aber internationale Patienten; enges Monitoring mit schnellen HBV-DNA-Tests in Deutschland verfügbar</w:t>
      </w:r>
    </w:p>
    <w:p>
      <w:r>
        <w:rPr>
          <w:color w:val="5A7D3A"/>
          <w:sz w:val="18"/>
        </w:rPr>
        <w:t>https://pubmed.ncbi.nlm.nih.gov/42797857/</w:t>
      </w:r>
    </w:p>
    <w:p>
      <w:pPr>
        <w:pStyle w:val="Heading2"/>
      </w:pPr>
      <w:r>
        <w:t>Ketoanaloga-ergänzte Protein-Diät bei CKD und Herzinsuffizienz: Körpergewicht sinkt, Albumin stabil</w:t>
      </w:r>
    </w:p>
    <w:p>
      <w:r>
        <w:rPr>
          <w:i/>
          <w:color w:val="666666"/>
          <w:sz w:val="18"/>
        </w:rPr>
        <w:t>Tanasescu MD et al.  ·  Nutrients  ·  20.09.2026  ·  PMID 42797051</w:t>
      </w:r>
    </w:p>
    <w:p>
      <w:r>
        <w:t>Retrospektive Kohortenstudie an 75 Erwachsenen mit fortgeschrittener nicht-dialysepflichtiger CKD und chronischer Herzinsuffizienz, behandelt mit Ketoanaloga-ergänzter sehr niedriger Protein-Diät (0,28–0,40 g/kg/Tag) über Median 243 Tage mit Ernährungsberater-Unterstützung.</w:t>
      </w:r>
    </w:p>
    <w:p>
      <w:r>
        <w:rPr>
          <w:b/>
        </w:rPr>
        <w:t xml:space="preserve">Ergebnis: </w:t>
      </w:r>
      <w:r>
        <w:t>Primäres Outcome (Körpergewichtsverlust): Hodges-Lehmann-Schätzung −3,99% (95% KI −4,68 bis −3,42; p&lt;0,001). Mittleres Körpergewicht sank von 75,85±7,98 auf 72,65±7,09 kg (−3,10 kg; 95% KI −3,60 bis −2,65). BMI sank (−0,95 kg/m²; p&lt;0,001). ≥5% Gewichtsverlust bei 22 Patienten (29,3%), keiner ≥10%. Serumalbumin und Gesamtprotein stiegen leicht an. eGFR-Abfall moderat (−1,50 mL/min/1,73 m²; p=0,007). Phosphor, Kalzium-Phosphor-Produkt, PTH und alkalische Phosphatase sanken, Kalzium stieg. NYHA-Klasse in 61 Patienten (81,3%) unverändert, LVEF leicht gesunken.</w:t>
      </w:r>
    </w:p>
    <w:p>
      <w:r>
        <w:rPr>
          <w:b/>
          <w:sz w:val="19"/>
        </w:rPr>
        <w:t xml:space="preserve">Übertragbarkeit: </w:t>
      </w:r>
      <w:r>
        <w:rPr>
          <w:sz w:val="19"/>
        </w:rPr>
        <w:t>Rumänien; Mehrfacherkrankung (CKD+Herzinsuffizienz), spezialisierte Ernährungsintervention in Deutschland durch Nephrologie etabliert</w:t>
      </w:r>
    </w:p>
    <w:p>
      <w:r>
        <w:rPr>
          <w:color w:val="5A7D3A"/>
          <w:sz w:val="18"/>
        </w:rPr>
        <w:t>https://pubmed.ncbi.nlm.nih.gov/42797051/</w:t>
      </w:r>
    </w:p>
    <w:p>
      <w:pPr>
        <w:pStyle w:val="Heading2"/>
      </w:pPr>
      <w:r>
        <w:t>Aktives Case Finding mit CAT-Fragebogen verdoppelt COPD-Diagnosen in rumänischer Hausarztpraxis</w:t>
      </w:r>
    </w:p>
    <w:p>
      <w:r>
        <w:rPr>
          <w:i/>
          <w:color w:val="666666"/>
          <w:sz w:val="18"/>
        </w:rPr>
        <w:t>Iana AN et al.  ·  Medicina (Kaunas)  ·  21.09.2026  ·  PMID 42796426</w:t>
      </w:r>
    </w:p>
    <w:p>
      <w:r>
        <w:t>Prospektive Studie unter 220 Patienten über 40 Jahren mit Atemwegsrisikofaktoren, die spirometrische Testung nach Screening mit COPD Assessment Test (CAT) und mMRC-Dyspnoe-Skala durchliefen.</w:t>
      </w:r>
    </w:p>
    <w:p>
      <w:r>
        <w:rPr>
          <w:b/>
        </w:rPr>
        <w:t xml:space="preserve">Ergebnis: </w:t>
      </w:r>
      <w:r>
        <w:t>COPD bei 48,2% diagnostiziert (n=106). CAT-Schwelle ≥17 zeigte beste Kennwerte (64,2% Sensitivität, 74,6% Spezifität), mMRC≥2 hohe Spezifität (82,5%), aber niedrige Sensitivität (41,5%). Symptombelastung (Husten, Sputum, Schlaf) war aussagekräftiger als Dyspnoe allein für Case Finding in der Primärversorgung.</w:t>
      </w:r>
    </w:p>
    <w:p>
      <w:r>
        <w:rPr>
          <w:b/>
          <w:sz w:val="19"/>
        </w:rPr>
        <w:t xml:space="preserve">Übertragbarkeit: </w:t>
      </w:r>
      <w:r>
        <w:rPr>
          <w:sz w:val="19"/>
        </w:rPr>
        <w:t>Rumänische Hausarztpraxis, jedoch generisch übertragbar für spezialisiertes Case Finding ohne nationale DMP-Struktur</w:t>
      </w:r>
    </w:p>
    <w:p>
      <w:r>
        <w:rPr>
          <w:color w:val="5A7D3A"/>
          <w:sz w:val="18"/>
        </w:rPr>
        <w:t>https://pubmed.ncbi.nlm.nih.gov/42796426/</w:t>
      </w:r>
    </w:p>
    <w:p>
      <w:pPr>
        <w:pStyle w:val="Heading2"/>
      </w:pPr>
      <w:r>
        <w:t>Bessere Inhalationstechnik und höheres Wissen verdreifachen Therapietreue bei COPD</w:t>
      </w:r>
    </w:p>
    <w:p>
      <w:r>
        <w:rPr>
          <w:i/>
          <w:color w:val="666666"/>
          <w:sz w:val="18"/>
        </w:rPr>
        <w:t>Nguyen H et al.  ·  JMIR Nurs  ·  25.09.2026  ·  PMID 42789344</w:t>
      </w:r>
    </w:p>
    <w:p>
      <w:r>
        <w:t>Querschnittstudie an 420 ambulanten COPD-Patienten zu Wissen, praktischen Inhalations- und Atemtechniken sowie Therapietreue.</w:t>
      </w:r>
    </w:p>
    <w:p>
      <w:r>
        <w:rPr>
          <w:b/>
        </w:rPr>
        <w:t xml:space="preserve">Ergebnis: </w:t>
      </w:r>
      <w:r>
        <w:t>Nur 36,9% (n=155) adhärent insgesamt. 78,8% mit unzureichendem COPD-Wissen, 63,8% mit adäquaten praktischen Fähigkeiten. Höheres Wissensscore (aOR 1,20; 95% KI 1,06–1,31; p=0,001), korrekte Inhalationstechnik (aOR 3,10; 95% KI 2,10–4,70; p=0,001) und adäquate Atemtechniken (aOR 1,70; 95% KI 1,08–2,71; p=0,02) unabhängig mit besserer Adhärenz assoziiert.</w:t>
      </w:r>
    </w:p>
    <w:p>
      <w:r>
        <w:rPr>
          <w:b/>
          <w:sz w:val="19"/>
        </w:rPr>
        <w:t xml:space="preserve">Übertragbarkeit: </w:t>
      </w:r>
      <w:r>
        <w:rPr>
          <w:sz w:val="19"/>
        </w:rPr>
        <w:t>Vietnam; Patienten-Edukation und Skilltraining sind universell wirksame Versorgungselemente</w:t>
      </w:r>
    </w:p>
    <w:p>
      <w:r>
        <w:rPr>
          <w:color w:val="5A7D3A"/>
          <w:sz w:val="18"/>
        </w:rPr>
        <w:t>https://pubmed.ncbi.nlm.nih.gov/42789344/</w:t>
      </w:r>
    </w:p>
    <w:p>
      <w:pPr>
        <w:pStyle w:val="Heading1"/>
      </w:pPr>
      <w:r>
        <w:t>Aufgenommen am 26.09.2026</w:t>
      </w:r>
    </w:p>
    <w:p>
      <w:pPr>
        <w:pStyle w:val="Heading2"/>
      </w:pPr>
      <w:r>
        <w:t>Multimorbidity erhöht Depressionrisiko: systematische Übersicht von Kohortenstudien</w:t>
      </w:r>
    </w:p>
    <w:p>
      <w:r>
        <w:rPr>
          <w:i/>
          <w:color w:val="666666"/>
          <w:sz w:val="18"/>
        </w:rPr>
        <w:t>Wu J et al.  ·  J Glob Health  ·  25.09.2026  ·  PMID 42788325</w:t>
      </w:r>
    </w:p>
    <w:p>
      <w:r>
        <w:t>Systematische Überprüfung von 17 Kohortenstudien zu Assoziationen zwischen Mehrfacherkrankung und inzidenter Depression oder depressiven Symptomen.</w:t>
      </w:r>
    </w:p>
    <w:p>
      <w:r>
        <w:rPr>
          <w:b/>
        </w:rPr>
        <w:t xml:space="preserve">Ergebnis: </w:t>
      </w:r>
      <w:r>
        <w:t>Mehrfacherkrankung war konsistent mit erhöhtem Depressionrisiko assoziiert; das Risiko stieg mit der Zahl chronischer Erkrankungen. Kardiovaskulär-metabolische und respiratorische Muster zeigten die konsistentesten Assoziationen mit Depression. Diese Assoziation war über Geschlechter und Länder stabil.</w:t>
      </w:r>
    </w:p>
    <w:p>
      <w:r>
        <w:rPr>
          <w:b/>
          <w:sz w:val="19"/>
        </w:rPr>
        <w:t xml:space="preserve">Übertragbarkeit: </w:t>
      </w:r>
      <w:r>
        <w:rPr>
          <w:sz w:val="19"/>
        </w:rPr>
        <w:t>Europäische und internationale Kohortenstudien, Ergebnisse unabhängig von Versorgungsstrukturen übertragbar.</w:t>
      </w:r>
    </w:p>
    <w:p>
      <w:r>
        <w:rPr>
          <w:color w:val="5A7D3A"/>
          <w:sz w:val="18"/>
        </w:rPr>
        <w:t>https://pubmed.ncbi.nlm.nih.gov/42788325/</w:t>
      </w:r>
    </w:p>
    <w:p>
      <w:pPr>
        <w:pStyle w:val="Heading2"/>
      </w:pPr>
      <w:r>
        <w:t>Versicherungslücken erhöhten Kostenhindernisse bei Mehrfacherkrankten um bis zu 3,44-fach</w:t>
      </w:r>
    </w:p>
    <w:p>
      <w:r>
        <w:rPr>
          <w:i/>
          <w:color w:val="666666"/>
          <w:sz w:val="18"/>
        </w:rPr>
        <w:t>Cao Y et al.  ·  Front Public Health  ·  10.09.2026  ·  PMID 42787109</w:t>
      </w:r>
    </w:p>
    <w:p>
      <w:r>
        <w:t>Querschnittstudie mit US-Versichertendaten (MEPS) zur Assoziation zwischen Dauer von Versicherungslücken und nachfolgenden kostenbezogenen Barrieren für medizinische Versorgung bei Erwachsenen mit Mehrfacherkrankung.</w:t>
      </w:r>
    </w:p>
    <w:p>
      <w:r>
        <w:rPr>
          <w:b/>
        </w:rPr>
        <w:t xml:space="preserve">Ergebnis: </w:t>
      </w:r>
      <w:r>
        <w:t>Verglichen mit keiner Lücke hatten Patienten mit 24 Monaten Versicherungslücke eine aOR von 3,44 (95%-KI 1,84–6,44) für Kostenhindernisse; bereinigte Wahrscheinlichkeiten waren 17,4 % (keine Lücke) bis 39,8 % (24 Monate). Kontinuierlich Versicherte hatten höhere Gesamtausgaben ($26.134 vs. $4.884).</w:t>
      </w:r>
    </w:p>
    <w:p>
      <w:r>
        <w:rPr>
          <w:b/>
          <w:sz w:val="19"/>
        </w:rPr>
        <w:t xml:space="preserve">Übertragbarkeit: </w:t>
      </w:r>
      <w:r>
        <w:rPr>
          <w:sz w:val="19"/>
        </w:rPr>
        <w:t>USA-Daten mit anderer Finanzierung; übertragbar nur für Erkenntnisse über Versicherungslücken als Risikofaktor.</w:t>
      </w:r>
    </w:p>
    <w:p>
      <w:r>
        <w:rPr>
          <w:color w:val="5A7D3A"/>
          <w:sz w:val="18"/>
        </w:rPr>
        <w:t>https://pubmed.ncbi.nlm.nih.gov/42787109/</w:t>
      </w:r>
    </w:p>
    <w:p>
      <w:pPr>
        <w:pStyle w:val="Heading2"/>
      </w:pPr>
      <w:r>
        <w:t>Schlafhygiene-Profile bei chronischen Erkrankungen: drei Phenotypen mit unterschiedlichen Risikofaktoren</w:t>
      </w:r>
    </w:p>
    <w:p>
      <w:r>
        <w:rPr>
          <w:i/>
          <w:color w:val="666666"/>
          <w:sz w:val="18"/>
        </w:rPr>
        <w:t>Seong H et al.  ·  Appl Nurs Res  ·  12.09.2026  ·  PMID 42785828</w:t>
      </w:r>
    </w:p>
    <w:p>
      <w:r>
        <w:t>Latent-Class-Analyse von 488 koreanischen Patienten mit chronischen Erkrankungen und Schlafstörungen (PSQI &gt;5) zur Identifikation von Schlafhygiene-Profilen.</w:t>
      </w:r>
    </w:p>
    <w:p>
      <w:r>
        <w:rPr>
          <w:b/>
        </w:rPr>
        <w:t xml:space="preserve">Ergebnis: </w:t>
      </w:r>
      <w:r>
        <w:t>Drei Profile identifiziert: 'Optimale Schlafhygiene' (66,2 %), 'Verhaltensbezogene gestörte Schlaf' (27,7 %) und 'Hochrisiko-dysregulierter Schlaf' (6,1 %). Verhaltensgestörte Gruppe assoziiert mit Rauchen (OR 16,53), Alkohol (OR 3,78) und männlichem Geschlecht (OR 3,53). Hochrisiko-Gruppe mit psychosozialer Belastung (OR 5,38) assoziiert.</w:t>
      </w:r>
    </w:p>
    <w:p>
      <w:r>
        <w:rPr>
          <w:b/>
          <w:sz w:val="19"/>
        </w:rPr>
        <w:t xml:space="preserve">Übertragbarkeit: </w:t>
      </w:r>
      <w:r>
        <w:rPr>
          <w:sz w:val="19"/>
        </w:rPr>
        <w:t>Südkorea; Erkenntnisse zur Identifikation heterogener Schlafhygiene-Phänotypen vergleichbar, Interventionen müssen lokal validiert werden.</w:t>
      </w:r>
    </w:p>
    <w:p>
      <w:r>
        <w:rPr>
          <w:color w:val="5A7D3A"/>
          <w:sz w:val="18"/>
        </w:rPr>
        <w:t>https://pubmed.ncbi.nlm.nih.gov/42785828/</w:t>
      </w:r>
    </w:p>
    <w:p>
      <w:pPr>
        <w:pStyle w:val="Heading2"/>
      </w:pPr>
      <w:r>
        <w:t>Ramadan-Fasten bei Hämodialyse-Patienten mit Diabetes: keine Hypoglykämie unter standardisiertem Protokoll</w:t>
      </w:r>
    </w:p>
    <w:p>
      <w:r>
        <w:rPr>
          <w:i/>
          <w:color w:val="666666"/>
          <w:sz w:val="18"/>
        </w:rPr>
        <w:t>Saman A et al.  ·  Med Sci (Basel)  ·  27.08.2026  ·  PMID 42783395</w:t>
      </w:r>
    </w:p>
    <w:p>
      <w:r>
        <w:t>Prospektive Multizenterstudie mit 153 Patienten mit terminalem Nierenversagen und Diabetes an vier Zentren in Thailand zu Sicherheit von Ramadan-Fasten unter Hämodialyse.</w:t>
      </w:r>
    </w:p>
    <w:p>
      <w:r>
        <w:rPr>
          <w:b/>
        </w:rPr>
        <w:t xml:space="preserve">Ergebnis: </w:t>
      </w:r>
      <w:r>
        <w:t>Keine intradialytischen Hypoglykämien in Vollfast- oder Nicht-Fasten-Gruppen (0 Episoden); eine Episode (0,2 %) in Teilfasten-Gruppe. Hämodialyse-Komplikationen, Blutdruck, Kt/V-Wert und interdialytische Gewichtszunahme vergleichbar über alle Gruppen. Serum-Kalium und Parathormon stiegen ohne klinische Ereignisse.</w:t>
      </w:r>
    </w:p>
    <w:p>
      <w:r>
        <w:rPr>
          <w:b/>
          <w:sz w:val="19"/>
        </w:rPr>
        <w:t xml:space="preserve">Übertragbarkeit: </w:t>
      </w:r>
      <w:r>
        <w:rPr>
          <w:sz w:val="19"/>
        </w:rPr>
        <w:t>Thailand, aber standardisiertes Medikamentenmanagement und Monitoring-Protokoll auf deutsche Dialysezentren übertragbar.</w:t>
      </w:r>
    </w:p>
    <w:p>
      <w:r>
        <w:rPr>
          <w:color w:val="5A7D3A"/>
          <w:sz w:val="18"/>
        </w:rPr>
        <w:t>https://pubmed.ncbi.nlm.nih.gov/42783395/</w:t>
      </w:r>
    </w:p>
    <w:p>
      <w:pPr>
        <w:pStyle w:val="Heading2"/>
      </w:pPr>
      <w:r>
        <w:t>Post-Bronchodilator-COPD mit erhöhtem Mortalitätsrisiko: Lateinamerikanische Populationsstudie</w:t>
      </w:r>
    </w:p>
    <w:p>
      <w:r>
        <w:rPr>
          <w:i/>
          <w:color w:val="666666"/>
          <w:sz w:val="18"/>
        </w:rPr>
        <w:t>Pérez-Padilla R et al.  ·  Respir Res Clin Pract  ·  22.05.2026  ·  PMID 42781375</w:t>
      </w:r>
    </w:p>
    <w:p>
      <w:r>
        <w:t>PLATINO-Kohortenstudie mit 2.942 Teilnehmern über 5–9 Jahre zur Prognostizierung von Mortalität, Exazerbationen und FEV1-Verlauf durch prä- und post-Bronchodilator-Atemwegsobstruktion.</w:t>
      </w:r>
    </w:p>
    <w:p>
      <w:r>
        <w:rPr>
          <w:b/>
        </w:rPr>
        <w:t xml:space="preserve">Ergebnis: </w:t>
      </w:r>
      <w:r>
        <w:t>Persistente Atemwegsobstruktion (post-BD) assoziiert mit Mortalität (HR 2,99; 95%-KI 2,1–4,3) vs. Kontrollen; reversible Obstruktion (HR 1,9; 95%-KI 1,1–3,1) hatte 4,1-fach höheres Risiko für COPD-Entwicklung (OR 4,1; 95%-KI 2,0–8,5). FEV1-Rückgang in persistenter Gruppe –13,4 mL/Jahr.</w:t>
      </w:r>
    </w:p>
    <w:p>
      <w:r>
        <w:rPr>
          <w:b/>
          <w:sz w:val="19"/>
        </w:rPr>
        <w:t xml:space="preserve">Übertragbarkeit: </w:t>
      </w:r>
      <w:r>
        <w:rPr>
          <w:sz w:val="19"/>
        </w:rPr>
        <w:t>Lateinamerika, aber Spirometrie-Standards international vergleichbar; Risikostratifizierung übertragbar auf Deutschland.</w:t>
      </w:r>
    </w:p>
    <w:p>
      <w:r>
        <w:rPr>
          <w:color w:val="5A7D3A"/>
          <w:sz w:val="18"/>
        </w:rPr>
        <w:t>https://pubmed.ncbi.nlm.nih.gov/42781375/</w:t>
      </w:r>
    </w:p>
    <w:p>
      <w:pPr>
        <w:pStyle w:val="Heading2"/>
      </w:pPr>
      <w:r>
        <w:t>Cordyceps sinensis schützte vor CKD-Progression nach virusinduziertem Akutnierenversagen</w:t>
      </w:r>
    </w:p>
    <w:p>
      <w:r>
        <w:rPr>
          <w:i/>
          <w:color w:val="666666"/>
          <w:sz w:val="18"/>
        </w:rPr>
        <w:t>Min M et al.  ·  Ren Fail  ·  23.09.2026  ·  PMID 42779256</w:t>
      </w:r>
    </w:p>
    <w:p>
      <w:r>
        <w:t>Retrospektive Kohortenstudie mit 99 Patienten mit Hämorrhagischem Fieber und Nierensyndrom (HFRS-AKI) an einem chinesischen Zentrum zum Effekt von Cordyceps-sinensis-Präparaten auf Nierenerholung.</w:t>
      </w:r>
    </w:p>
    <w:p>
      <w:r>
        <w:rPr>
          <w:b/>
        </w:rPr>
        <w:t xml:space="preserve">Ergebnis: </w:t>
      </w:r>
      <w:r>
        <w:t>27,3 % der HFRS-AKI-Patienten entwickelten CKD. Cordyceps-sinensis-Behandlung war unabhängiger Schutzfaktor gegen unvollständige Nierenerholung (OR 0,323; 95%-KI 0,114–0,916; p=0,034). Inverse-Probability-Weighting bestätigte Assoziation (β –1,184; p=0,026). Überlebenszeitanalyse zeigte verbesserte Nierenergebnisse (Log-Rank p=0,004).</w:t>
      </w:r>
    </w:p>
    <w:p>
      <w:r>
        <w:rPr>
          <w:b/>
          <w:sz w:val="19"/>
        </w:rPr>
        <w:t xml:space="preserve">Übertragbarkeit: </w:t>
      </w:r>
      <w:r>
        <w:rPr>
          <w:sz w:val="19"/>
        </w:rPr>
        <w:t>China, virales-induziertes Akutnierenversagen; Erkenntnisse zu Adjuvantien-Therapie-Effekten prinzipiell übertragbar, aber Präparat-Verfügbarkeit lokal unterschiedlich.</w:t>
      </w:r>
    </w:p>
    <w:p>
      <w:r>
        <w:rPr>
          <w:color w:val="5A7D3A"/>
          <w:sz w:val="18"/>
        </w:rPr>
        <w:t>https://pubmed.ncbi.nlm.nih.gov/42779256/</w:t>
      </w:r>
    </w:p>
    <w:p>
      <w:pPr>
        <w:pStyle w:val="Heading1"/>
      </w:pPr>
      <w:r>
        <w:t>Aufgenommen am 25.09.2026</w:t>
      </w:r>
    </w:p>
    <w:p>
      <w:pPr>
        <w:pStyle w:val="Heading2"/>
      </w:pPr>
      <w:r>
        <w:t>Neutrophile und Lymphozyten vorhersagen Adipositas-assoziierte CKD bei Älteren</w:t>
      </w:r>
    </w:p>
    <w:p>
      <w:r>
        <w:rPr>
          <w:i/>
          <w:color w:val="666666"/>
          <w:sz w:val="18"/>
        </w:rPr>
        <w:t>Zhu B et al.  ·  Ren Fail  ·  24.09.2026  ·  PMID 42785974</w:t>
      </w:r>
    </w:p>
    <w:p>
      <w:r>
        <w:t>Querschnittsanalyse von 15.000+ älteren Erwachsenen (65–85 J.) in Shanghai: Erhöhte Neutrophile und Lymphozyten sowie niedrigeres Verhältnis Thrombozyt-zu-Lymphozyt wurden unabhängig mit CKD bei Adipösen assoziiert.</w:t>
      </w:r>
    </w:p>
    <w:p>
      <w:r>
        <w:rPr>
          <w:b/>
        </w:rPr>
        <w:t xml:space="preserve">Ergebnis: </w:t>
      </w:r>
      <w:r>
        <w:t>Bei adipösen Teilnehmern: erhöhte Neutrophile aOR 1,42 (95% CI 1,07–1,90) für höchstes vs. niedriges Tertil, erhöhte Lymphozyten aOR 1,53 (95% CI 1,16–2,01); Thrombozyten-Lymphozyten-Verhältnis aOR 0,70 (95% CI 0,53–0,92) – diese Routineblutuntersuchungen könnten frühe Risikoschichtung adipositas-assoziierter CKD ermöglichen.</w:t>
      </w:r>
    </w:p>
    <w:p>
      <w:r>
        <w:rPr>
          <w:b/>
          <w:sz w:val="19"/>
        </w:rPr>
        <w:t xml:space="preserve">Übertragbarkeit: </w:t>
      </w:r>
      <w:r>
        <w:rPr>
          <w:sz w:val="19"/>
        </w:rPr>
        <w:t>China, vergleichbar mit Sozialversicherungssystemen; Blutungsparameter sind Routinemarkierungen</w:t>
      </w:r>
    </w:p>
    <w:p>
      <w:r>
        <w:rPr>
          <w:color w:val="5A7D3A"/>
          <w:sz w:val="18"/>
        </w:rPr>
        <w:t>https://pubmed.ncbi.nlm.nih.gov/42785974/</w:t>
      </w:r>
    </w:p>
    <w:p>
      <w:pPr>
        <w:pStyle w:val="Heading2"/>
      </w:pPr>
      <w:r>
        <w:t>Patient-Provider-Partnerschaft erhöht Advance-Care-Planning-Bereitschaft bei CKD-Patienten</w:t>
      </w:r>
    </w:p>
    <w:p>
      <w:r>
        <w:rPr>
          <w:i/>
          <w:color w:val="666666"/>
          <w:sz w:val="18"/>
        </w:rPr>
        <w:t>Hsu JR et al.  ·  Appl Nurs Res  ·  27.08.2026  ·  PMID 42785824</w:t>
      </w:r>
    </w:p>
    <w:p>
      <w:r>
        <w:t>Querschnittsstudie an 218 nichtdialysepflichtigen CKD-Patienten: Patient-Provider-Partnerschaft war stärkster unabhängiger Prädiktor der Bereitschaft zu Advance Care Planning (ACP), nicht aber Krankheitsstadium oder Nierenfunktion.</w:t>
      </w:r>
    </w:p>
    <w:p>
      <w:r>
        <w:rPr>
          <w:b/>
        </w:rPr>
        <w:t xml:space="preserve">Ergebnis: </w:t>
      </w:r>
      <w:r>
        <w:t>Patient-Provider-Partnerschaft erklärte 12,7 % der Varianz in ACP-Bereitschaft (vs. 6,1 % bei Demografie allein); höheres Alter und stärkere Partnerschaft waren assoziiert mit erhöhter Bereitschaft. ACP-Bereitschaft insgesamt niedrig bis moderat, besonders beim initialen Gespräch mit Fachkräften.</w:t>
      </w:r>
    </w:p>
    <w:p>
      <w:r>
        <w:rPr>
          <w:b/>
          <w:sz w:val="19"/>
        </w:rPr>
        <w:t xml:space="preserve">Übertragbarkeit: </w:t>
      </w:r>
      <w:r>
        <w:rPr>
          <w:sz w:val="19"/>
        </w:rPr>
        <w:t>Taiwan, ambulante Nephrologie; Übertragbarkeit auf Deutschland hängt von Arzt-Patient-Kommunikation ab</w:t>
      </w:r>
    </w:p>
    <w:p>
      <w:r>
        <w:rPr>
          <w:color w:val="5A7D3A"/>
          <w:sz w:val="18"/>
        </w:rPr>
        <w:t>https://pubmed.ncbi.nlm.nih.gov/42785824/</w:t>
      </w:r>
    </w:p>
    <w:p>
      <w:pPr>
        <w:pStyle w:val="Heading2"/>
      </w:pPr>
      <w:r>
        <w:t>Antihypertensive Medikation zeigt minimale Assoziation mit Lebensqualität bei CKD-Jugendlichen</w:t>
      </w:r>
    </w:p>
    <w:p>
      <w:r>
        <w:rPr>
          <w:i/>
          <w:color w:val="666666"/>
          <w:sz w:val="18"/>
        </w:rPr>
        <w:t>Botdorf M et al.  ·  Qual Life Res  ·  24.09.2026  ·  PMID 42782549</w:t>
      </w:r>
    </w:p>
    <w:p>
      <w:r>
        <w:t>Querschnittsanalyse von 395 Jugendlichen (8–21 J.) mit CKD und Hypertonie an 15 US-Zentren: Über 95 % berichten positive Versorgungserfahrungen; antihypertensive Medikamentenlast zeigte nur schwache Assoziation mit Lebensqualität, während körperliche Symptombelastung hoch ist.</w:t>
      </w:r>
    </w:p>
    <w:p>
      <w:r>
        <w:rPr>
          <w:b/>
        </w:rPr>
        <w:t xml:space="preserve">Ergebnis: </w:t>
      </w:r>
      <w:r>
        <w:t>Mehrere Medikamente (23 % der Kohorte) assoziiert mit leicht niedrigerem globalen Gesundheitswert (B –2,6; 95% CI –4,9 bis –0,3); keine Assoziationen mit anderen Lebensqualitätsdimensionen. Jugendliche berichten gesamthaft niedrigere QoL als allgemeine Bevölkerung, besonders in globalem Gesundheitswert und Müdigkeit.</w:t>
      </w:r>
    </w:p>
    <w:p>
      <w:r>
        <w:rPr>
          <w:b/>
          <w:sz w:val="19"/>
        </w:rPr>
        <w:t xml:space="preserve">Übertragbarkeit: </w:t>
      </w:r>
      <w:r>
        <w:rPr>
          <w:sz w:val="19"/>
        </w:rPr>
        <w:t>USA, spezialisierte Pädiatrie; Lebensqualitätsmessung übertragbar, Medikamentenlasten können variieren</w:t>
      </w:r>
    </w:p>
    <w:p>
      <w:r>
        <w:rPr>
          <w:color w:val="5A7D3A"/>
          <w:sz w:val="18"/>
        </w:rPr>
        <w:t>https://pubmed.ncbi.nlm.nih.gov/42782549/</w:t>
      </w:r>
    </w:p>
    <w:p>
      <w:pPr>
        <w:pStyle w:val="Heading2"/>
      </w:pPr>
      <w:r>
        <w:t>Mehrdimensionales Risiko-Screening identifiziert High-Risk-Gruppe mit 41 % aller Adverse Events bei älteren Patienten mit Mehrfacherkrankung</w:t>
      </w:r>
    </w:p>
    <w:p>
      <w:r>
        <w:rPr>
          <w:i/>
          <w:color w:val="666666"/>
          <w:sz w:val="18"/>
        </w:rPr>
        <w:t>Zhou MM et al.  ·  Front Public Health  ·  09.09.2026  ·  PMID 42780304</w:t>
      </w:r>
    </w:p>
    <w:p>
      <w:r>
        <w:t>Retrospektive Entwicklung und interne Validierung eines nomographischen Vorhersagemodells für 12-Monatsereignisse (ungeplante Hospitalisierung, ≥2 Notfallbesuche, funktionaler Niedergang, Mortalität) bei 690 älteren Erwachsenen (≥60 J.) mit Mehrfacherkrankung in China; 7 Prädiktoren identifiziert.</w:t>
      </w:r>
    </w:p>
    <w:p>
      <w:r>
        <w:rPr>
          <w:b/>
        </w:rPr>
        <w:t xml:space="preserve">Ergebnis: </w:t>
      </w:r>
      <w:r>
        <w:t>Modell zeigte gute Diskriminierung (AUC 0,847 Derivation, 0,831 bootstrap-validiert, 0,819 temporal); 41,2 % niedrig-, 42,0 % intermediär-, 16,8 % hochrisiko. Die hochrisiko-Gruppe (16,8 %) machte 41,1 % aller Ereignisse aus. Szenaroanalyse: modellgesteuerte Stratifizierung könnte Adverse Events um 25,3 % reduzieren.</w:t>
      </w:r>
    </w:p>
    <w:p>
      <w:r>
        <w:rPr>
          <w:b/>
          <w:sz w:val="19"/>
        </w:rPr>
        <w:t xml:space="preserve">Übertragbarkeit: </w:t>
      </w:r>
      <w:r>
        <w:rPr>
          <w:sz w:val="19"/>
        </w:rPr>
        <w:t>China, tertiäre Klinik; externe Validierung in primärer/sekundärer Versorgung erforderlich; Risiko-Alert und Monitoring-Stratifizierung übertragbar</w:t>
      </w:r>
    </w:p>
    <w:p>
      <w:r>
        <w:rPr>
          <w:color w:val="5A7D3A"/>
          <w:sz w:val="18"/>
        </w:rPr>
        <w:t>https://pubmed.ncbi.nlm.nih.gov/42780304/</w:t>
      </w:r>
    </w:p>
    <w:p>
      <w:pPr>
        <w:pStyle w:val="Heading2"/>
      </w:pPr>
      <w:r>
        <w:t>Triglycerid-Glucose-Waist-to-Height-Ratio vorhersagt neu auftretende Mehrfacherkrankung</w:t>
      </w:r>
    </w:p>
    <w:p>
      <w:r>
        <w:rPr>
          <w:i/>
          <w:color w:val="666666"/>
          <w:sz w:val="18"/>
        </w:rPr>
        <w:t>Shao Z et al.  ·  Cardiovasc Diabetol  ·  24.08.2026  ·  PMID 42778926</w:t>
      </w:r>
    </w:p>
    <w:p>
      <w:r>
        <w:t>Prospektive Kohortenanalyse von 4 nationalen Studien (CHARLS, ELSA, HRS, NHANES): TyG-WHtR (kombiniert Insulinresistenz und zentrale Adipositas) zeigte nichtlineare Dosis-Wirkungs-Assoziationen mit neuer Mehrfacherkrankung; Inflexionspunkte bei 5,92–6,69 je Kohorte.</w:t>
      </w:r>
    </w:p>
    <w:p>
      <w:r>
        <w:rPr>
          <w:b/>
        </w:rPr>
        <w:t xml:space="preserve">Ergebnis: </w:t>
      </w:r>
      <w:r>
        <w:t>Höchste vs. niedrigste TyG-WHtR-Quartile assoziiert mit incident multimorbidity: HR 1,87 (95% CI 1,59–2,21) in CHARLS, 1,67 (1,30–2,15) in ELSA, 1,57 (1,08–2,29) in HRS; TyG-WHtR hatte größte AUC in beiden Querschnittsstichproben und zwei Längsschnittkohorten.</w:t>
      </w:r>
    </w:p>
    <w:p>
      <w:r>
        <w:rPr>
          <w:b/>
          <w:sz w:val="19"/>
        </w:rPr>
        <w:t xml:space="preserve">Übertragbarkeit: </w:t>
      </w:r>
      <w:r>
        <w:rPr>
          <w:sz w:val="19"/>
        </w:rPr>
        <w:t>China, England, USA; Mehrfacherkrankung ist Regelfall; provisorischer Risiko-Alert ca. 5–7 benötigt externe Validierung</w:t>
      </w:r>
    </w:p>
    <w:p>
      <w:r>
        <w:rPr>
          <w:color w:val="5A7D3A"/>
          <w:sz w:val="18"/>
        </w:rPr>
        <w:t>https://pubmed.ncbi.nlm.nih.gov/42778926/</w:t>
      </w:r>
    </w:p>
    <w:p>
      <w:pPr>
        <w:pStyle w:val="Heading2"/>
      </w:pPr>
      <w:r>
        <w:t>Rauchen und chronische Erkrankungen: Versorgungsungleichheit bei vulnerablen Populationen</w:t>
      </w:r>
    </w:p>
    <w:p>
      <w:r>
        <w:rPr>
          <w:i/>
          <w:color w:val="666666"/>
          <w:sz w:val="18"/>
        </w:rPr>
        <w:t>Higgins ST  ·  Prev Med  ·  25.10.2025  ·  PMID 42777124</w:t>
      </w:r>
    </w:p>
    <w:p>
      <w:r>
        <w:t>Editorischer Überblick zu 13 Fachabhandlungen einer US-Konferenz 2024 über Schnittstellen zwischen Tabakgebrauch, anderen Süchten, chronischen Krankheiten und Gesundheitsungleichheiten; Rauchen bleibt führende vermeidbare Todesursache in den USA (ca. 450.000 Tote/Jahr).</w:t>
      </w:r>
    </w:p>
    <w:p>
      <w:r>
        <w:rPr>
          <w:b/>
        </w:rPr>
        <w:t xml:space="preserve">Ergebnis: </w:t>
      </w:r>
      <w:r>
        <w:t>Die Sonderausgabe zeigt überproportionale Auswirkungen von Rauchen in vulnerablen Populationen, Verflechtungen mit weiteren Abhängigkeiten, Mehrfacherkrankungen und Gesundheitsungleichheiten; dokumentiert klinische und regulatorische Interventionen zur Reduktion und Prävention assoziierter Gesundheitsschäden.</w:t>
      </w:r>
    </w:p>
    <w:p>
      <w:r>
        <w:rPr>
          <w:b/>
          <w:sz w:val="19"/>
        </w:rPr>
        <w:t xml:space="preserve">Übertragbarkeit: </w:t>
      </w:r>
      <w:r>
        <w:rPr>
          <w:sz w:val="19"/>
        </w:rPr>
        <w:t>USA; regulatorische und klinische Strategien sind teilweise übertragbar, strukturelle Unterschiede erheblich</w:t>
      </w:r>
    </w:p>
    <w:p>
      <w:r>
        <w:rPr>
          <w:color w:val="5A7D3A"/>
          <w:sz w:val="18"/>
        </w:rPr>
        <w:t>https://pubmed.ncbi.nlm.nih.gov/42777124/</w:t>
      </w:r>
    </w:p>
    <w:p>
      <w:pPr>
        <w:pStyle w:val="Heading2"/>
      </w:pPr>
      <w:r>
        <w:t>Physiotherapie in der Territorialversorgung verbessert Kontinuität chronischer Erkrankungen</w:t>
      </w:r>
    </w:p>
    <w:p>
      <w:r>
        <w:rPr>
          <w:i/>
          <w:color w:val="666666"/>
          <w:sz w:val="18"/>
        </w:rPr>
        <w:t>Piacenza A et al.  ·  Ig Sanita Pubbl  ·  Juli 2026  ·  PMID 42776156</w:t>
      </w:r>
    </w:p>
    <w:p>
      <w:r>
        <w:t>Narrative Analyse zur Neugestaltung italienischer Rehabilitationspfade: Das Ministerialekret 77/2022 verlangt mehr direkte Verantwortung von Physiotherapeuten für Kontinuität, während bisherige Vorschriften fragmentierte Übergänge erzwingen; Pilotprojekte zeigen Machbarkeit und positive Effekte auf funktionelle Erholung und Ressourcennutzung.</w:t>
      </w:r>
    </w:p>
    <w:p>
      <w:r>
        <w:rPr>
          <w:b/>
        </w:rPr>
        <w:t xml:space="preserve">Ergebnis: </w:t>
      </w:r>
      <w:r>
        <w:t>Internationale Modelle und italienische Pilotprojekte belegen, dass physiotherapeutengeleitete Bewertung und Monitoring sowie einheitliche, zeitlich aktualisierte Rehabilitationsprojekte die Patientenzufriedenheit erhöhen und die Ressourcenallokation verbessern – die fragmentierte Regelpraxis führt zu verzögertem Therapiestart und unzureichender Physiotherapie-Integration.</w:t>
      </w:r>
    </w:p>
    <w:p>
      <w:r>
        <w:rPr>
          <w:b/>
          <w:sz w:val="19"/>
        </w:rPr>
        <w:t xml:space="preserve">Übertragbarkeit: </w:t>
      </w:r>
      <w:r>
        <w:rPr>
          <w:sz w:val="19"/>
        </w:rPr>
        <w:t>Italien, vergleichbares Sozialversicherungssystem; Implementierung an Versorgungsstruktur und Regulierung gebunden</w:t>
      </w:r>
    </w:p>
    <w:p>
      <w:r>
        <w:rPr>
          <w:color w:val="5A7D3A"/>
          <w:sz w:val="18"/>
        </w:rPr>
        <w:t>https://pubmed.ncbi.nlm.nih.gov/42776156/</w:t>
      </w:r>
    </w:p>
    <w:p>
      <w:pPr>
        <w:pStyle w:val="Heading1"/>
      </w:pPr>
      <w:r>
        <w:t>Aufgenommen am 24.09.2026</w:t>
      </w:r>
    </w:p>
    <w:p>
      <w:pPr>
        <w:pStyle w:val="Heading2"/>
      </w:pPr>
      <w:r>
        <w:t>Früher systemischer Lupus erythematosus: Fast-Track zu Mehrfacherkrankung bei hoher Flareaktivität</w:t>
      </w:r>
    </w:p>
    <w:p>
      <w:r>
        <w:rPr>
          <w:i/>
          <w:color w:val="666666"/>
          <w:sz w:val="18"/>
        </w:rPr>
        <w:t>Nikoloudaki M et al.  ·  RMD Open  ·  23.09.2026  ·  PMID 42778333</w:t>
      </w:r>
    </w:p>
    <w:p>
      <w:r>
        <w:t>Inception-Kohorte von 311 SLE-Patienten mit ≤2 Jahren Erkrankungsdauer und 5-jähriger Nachbeobachtung untersuchte Trajektorien der Mehrfacherkrankungsentwicklung und deren Prädiktoren.</w:t>
      </w:r>
    </w:p>
    <w:p>
      <w:r>
        <w:rPr>
          <w:b/>
        </w:rPr>
        <w:t xml:space="preserve">Ergebnis: </w:t>
      </w:r>
      <w:r>
        <w:t>45% der Patienten zeigte accelerierte Mehrfacherkrankungszunahme mit drei Phänotypen: metabolisch-psychiatrisch (65,7% mit ≥2 Erkrankungen) und kardiopulmonal-muskuloskelettal (100%). Schwere Flares (≥20% der Zeit; OR 2,10) und Glukokortikoidexposition (OR 1,06 pro 10 mg/Tag) während der ersten 24 Monate waren unabhängig mit schneller Progression assoziiert. Fast-accruer zeigten weniger Remission und mehr Schäden (IRR 2,28–3,27).</w:t>
      </w:r>
    </w:p>
    <w:p>
      <w:r>
        <w:rPr>
          <w:b/>
          <w:sz w:val="19"/>
        </w:rPr>
        <w:t xml:space="preserve">Übertragbarkeit: </w:t>
      </w:r>
      <w:r>
        <w:rPr>
          <w:sz w:val="19"/>
        </w:rPr>
        <w:t>Griechenland und Italien, europäische Universitätskliniken, vergleichbare SLE-Versorgungsstandards</w:t>
      </w:r>
    </w:p>
    <w:p>
      <w:r>
        <w:rPr>
          <w:color w:val="5A7D3A"/>
          <w:sz w:val="18"/>
        </w:rPr>
        <w:t>https://pubmed.ncbi.nlm.nih.gov/42778333/</w:t>
      </w:r>
    </w:p>
    <w:p>
      <w:pPr>
        <w:pStyle w:val="Heading2"/>
      </w:pPr>
      <w:r>
        <w:t>CAT-Score-Variabilität vorhersagt COPD-Exazerbationen in virtueller Assistenz-Überwachung</w:t>
      </w:r>
    </w:p>
    <w:p>
      <w:r>
        <w:rPr>
          <w:i/>
          <w:color w:val="666666"/>
          <w:sz w:val="18"/>
        </w:rPr>
        <w:t>Aljama C et al.  ·  Adv Respir Med  ·  07.09.2026  ·  PMID 42776698</w:t>
      </w:r>
    </w:p>
    <w:p>
      <w:r>
        <w:t>Prospektive Beobachtungsstudie mit 106 COPD-Patienten mit Exazerbator-Phänotyp nutzte wöchentliche CAT-Messungen durch virtuellen Assistenten zur Vorhersage von Exazerbationen über ein Jahr.</w:t>
      </w:r>
    </w:p>
    <w:p>
      <w:r>
        <w:rPr>
          <w:b/>
        </w:rPr>
        <w:t xml:space="preserve">Ergebnis: </w:t>
      </w:r>
      <w:r>
        <w:t>73 von 106 Patienten (69%) erlitten ≥1 Exazerbation (192 Episoden, 26% mit Hospitalisierung). Jeder 1-Punkt-Anstieg im CAT-Score war mit 11,1% erhöhtem Exazerbationsrisiko assoziiert (OR 1,11; 95%-KI 1,08–1,13). Wöchentliche Variabilität ≥2 Punkte (MCID) war mit sechsfach erhöhtem Risiko verbunden (OR 6,30; 95%-KI 4,28–9,27). Optimaler Cut-off für CAT-Änderung: 3 Punkte (ROC 0,773).</w:t>
      </w:r>
    </w:p>
    <w:p>
      <w:r>
        <w:rPr>
          <w:b/>
          <w:sz w:val="19"/>
        </w:rPr>
        <w:t xml:space="preserve">Übertragbarkeit: </w:t>
      </w:r>
      <w:r>
        <w:rPr>
          <w:sz w:val="19"/>
        </w:rPr>
        <w:t>Spanien/Brasilien, aber App-basiert; Übertragbarkeit auf deutsche Telemedizin-Strukturen bedingt</w:t>
      </w:r>
    </w:p>
    <w:p>
      <w:r>
        <w:rPr>
          <w:color w:val="5A7D3A"/>
          <w:sz w:val="18"/>
        </w:rPr>
        <w:t>https://pubmed.ncbi.nlm.nih.gov/42776698/</w:t>
      </w:r>
    </w:p>
    <w:p>
      <w:pPr>
        <w:pStyle w:val="Heading2"/>
      </w:pPr>
      <w:r>
        <w:t>Netzwerk-Metaanalyse: GLP-1RA, SGLT2i und nsMRA für kardiorenale Outcomes bei Typ-2-Diabetes mit CKD</w:t>
      </w:r>
    </w:p>
    <w:p>
      <w:r>
        <w:rPr>
          <w:i/>
          <w:color w:val="666666"/>
          <w:sz w:val="18"/>
        </w:rPr>
        <w:t>Chen H et al.  ·  Front Endocrinol (Lausanne)  ·  08.09.2026  ·  PMID 42775225</w:t>
      </w:r>
    </w:p>
    <w:p>
      <w:r>
        <w:t>Systematische Übersicht und frequentistische Netzwerk-Metaanalyse von 21 RCTs mit 51.899 Patienten verglich kardiorenale Effektivität und Sicherheit von GLP-1RAs, SGLT2i und nsMRAs.</w:t>
      </w:r>
    </w:p>
    <w:p>
      <w:r>
        <w:rPr>
          <w:b/>
        </w:rPr>
        <w:t xml:space="preserve">Ergebnis: </w:t>
      </w:r>
      <w:r>
        <w:t>Versus Placebo: SGLT2i reduzierten Risiko von MACE, majorem Nieren-Komposit und Herzinsuffizienz-Hospitalisierung; GLP-1RAs reduzierten MACE, Nieren-Komposit, Herzinsuffizienz, Mortalität und kardiovaskulärer Tod; nsMRA reduzierten Nieren-Komposit und Herzinsuffizienz. Indirekte Vergleiche: SGLT2i günstiger für Nieren (RR 0,77 vs GLP-1RA), SGLT2i günstiger für Herzinsuffizienz versus nsMRA. Hyperkalämie mit nsMRA häufiger.</w:t>
      </w:r>
    </w:p>
    <w:p>
      <w:r>
        <w:rPr>
          <w:b/>
          <w:sz w:val="19"/>
        </w:rPr>
        <w:t xml:space="preserve">Übertragbarkeit: </w:t>
      </w:r>
      <w:r>
        <w:rPr>
          <w:sz w:val="19"/>
        </w:rPr>
        <w:t>Globale RCT-Evidenz, aber keine deutschen Subgruppen; Übertragbarkeit für DMP-Strukturen hoch</w:t>
      </w:r>
    </w:p>
    <w:p>
      <w:r>
        <w:rPr>
          <w:color w:val="5A7D3A"/>
          <w:sz w:val="18"/>
        </w:rPr>
        <w:t>https://pubmed.ncbi.nlm.nih.gov/42775225/</w:t>
      </w:r>
    </w:p>
    <w:p>
      <w:pPr>
        <w:pStyle w:val="Heading2"/>
      </w:pPr>
      <w:r>
        <w:t>Kindheitliche Benachteiligung erhöht Risiko für Behinderung und Mehrfacherkrankung im Alter</w:t>
      </w:r>
    </w:p>
    <w:p>
      <w:r>
        <w:rPr>
          <w:i/>
          <w:color w:val="666666"/>
          <w:sz w:val="18"/>
        </w:rPr>
        <w:t>Zhou T et al.  ·  Front Public Health  ·  08.09.2026  ·  PMID 42774187</w:t>
      </w:r>
    </w:p>
    <w:p>
      <w:r>
        <w:t>Prospektive Analyse von Daten aus ELSA und SHARE-Kohorten untersuchte, ob Armut und gesundheitliche Belastungen in der Kindheit das Risiko für Behinderung und Mehrfacherkrankung im späteren Leben vorhersagen.</w:t>
      </w:r>
    </w:p>
    <w:p>
      <w:r>
        <w:rPr>
          <w:b/>
        </w:rPr>
        <w:t xml:space="preserve">Ergebnis: </w:t>
      </w:r>
      <w:r>
        <w:t>Höchste Kindheitsadversität war mit erhöhtem Risiko für Aktivitätsbeschränkungen (HR 1,43; 95%-KI 1,09–1,87) und Mehrfacherkrankung (HR 1,35; 95%-KI 1,02–1,80) assoziiert. In SHARE erhöhte sich das Risiko für Aktivitätsbeschränkungen und Mehrfacherkrankung ebenfalls signifikant. Die Befunde zeigen anhaltende Auswirkungen früher Nachteiligung auf die Gesundheit im Alter.</w:t>
      </w:r>
    </w:p>
    <w:p>
      <w:r>
        <w:rPr>
          <w:b/>
          <w:sz w:val="19"/>
        </w:rPr>
        <w:t xml:space="preserve">Übertragbarkeit: </w:t>
      </w:r>
      <w:r>
        <w:rPr>
          <w:sz w:val="19"/>
        </w:rPr>
        <w:t>Großbritannien und Europa, vergleichbare Langzeitkohortendesigns</w:t>
      </w:r>
    </w:p>
    <w:p>
      <w:r>
        <w:rPr>
          <w:color w:val="5A7D3A"/>
          <w:sz w:val="18"/>
        </w:rPr>
        <w:t>https://pubmed.ncbi.nlm.nih.gov/42774187/</w:t>
      </w:r>
    </w:p>
    <w:p>
      <w:pPr>
        <w:pStyle w:val="Heading2"/>
      </w:pPr>
      <w:r>
        <w:t>Chronische spontane Urtikaria in Finnland: Versorgungslücken in Behandlung und Monitoring</w:t>
      </w:r>
    </w:p>
    <w:p>
      <w:r>
        <w:rPr>
          <w:i/>
          <w:color w:val="666666"/>
          <w:sz w:val="18"/>
        </w:rPr>
        <w:t>Sinikumpu SP et al.  ·  Acta Derm Venereol  ·  22.09.2026  ·  PMID 42770913</w:t>
      </w:r>
    </w:p>
    <w:p>
      <w:r>
        <w:t>Landesweite Registerstudie analysierte Epidemiologie und Behandlungsmuster von chronischer spontaner Urtikaria in finnischen Fachkliniken 2001–2023.</w:t>
      </w:r>
    </w:p>
    <w:p>
      <w:r>
        <w:rPr>
          <w:b/>
        </w:rPr>
        <w:t xml:space="preserve">Ergebnis: </w:t>
      </w:r>
      <w:r>
        <w:t>Unter 8.784 Patienten erhielten 85,8% Antihistaminika und 36,1% benötigten gleichzeitig Kortikosteroide, was auf suboptimale Kontrolle hindeutet. Nur 8,5% erhielten Omalizumab, Median 9 Monate nach Antihistamininitiation. Hochkomorbidität mit Asthma, Hypertonie und Depression. Die Befunde deuten auf Verzögerungen in der Eskalation zur biologischen Therapie und mangelnde Krankheitskontrolle hin.</w:t>
      </w:r>
    </w:p>
    <w:p>
      <w:r>
        <w:rPr>
          <w:b/>
          <w:sz w:val="19"/>
        </w:rPr>
        <w:t xml:space="preserve">Übertragbarkeit: </w:t>
      </w:r>
      <w:r>
        <w:rPr>
          <w:sz w:val="19"/>
        </w:rPr>
        <w:t>Finnland, nordisches Gesundheitssystem, vergleichbare Vergütungsstrukturen</w:t>
      </w:r>
    </w:p>
    <w:p>
      <w:r>
        <w:rPr>
          <w:color w:val="5A7D3A"/>
          <w:sz w:val="18"/>
        </w:rPr>
        <w:t>https://pubmed.ncbi.nlm.nih.gov/42770913/</w:t>
      </w:r>
    </w:p>
    <w:p>
      <w:pPr>
        <w:pStyle w:val="Heading2"/>
      </w:pPr>
      <w:r>
        <w:t>Rehabilitation bei älteren Patienten mit COPD und Post-COVID-Syndrom in Kirgistan zeigte Unterschiede nach Region</w:t>
      </w:r>
    </w:p>
    <w:p>
      <w:r>
        <w:rPr>
          <w:i/>
          <w:color w:val="666666"/>
          <w:sz w:val="18"/>
        </w:rPr>
        <w:t>Zhorobekova M et al.  ·  Georgian Med News  ·  Mai 2026  ·  PMID 42600600</w:t>
      </w:r>
    </w:p>
    <w:p>
      <w:r>
        <w:t>Gemischte Methoden-Studie untersuchte medizinische und soziale Rehabilitation von älteren Patienten mit COPD und/oder Post-COVID-Syndrom in urbanen versus hochalpinen Regionen Kirgistans.</w:t>
      </w:r>
    </w:p>
    <w:p>
      <w:r>
        <w:rPr>
          <w:b/>
        </w:rPr>
        <w:t xml:space="preserve">Ergebnis: </w:t>
      </w:r>
      <w:r>
        <w:t>Patienten mit beiden Erkrankungen zeigten höchste Inflammationsmarker und stärkste Lungenfunktionseinschränkung (FEV1 48,5% Soll). In hochalpinen Gebieten niedrigere Sauerstoffsättigung und höhere Fatigue durch chronische Hypoxie. Rehabilitationsergebnisse besser in urbanen Gebieten mit besserer Infrastruktur und Sauerstofftherapie-Zugang. Die Studie unterstreicht Bedeutung adaptierter, regionalisierter Rehabilitationsstrategien.</w:t>
      </w:r>
    </w:p>
    <w:p>
      <w:r>
        <w:rPr>
          <w:b/>
          <w:sz w:val="19"/>
        </w:rPr>
        <w:t xml:space="preserve">Übertragbarkeit: </w:t>
      </w:r>
      <w:r>
        <w:rPr>
          <w:sz w:val="19"/>
        </w:rPr>
        <w:t>Zentralasien, limitierte Ressourcenlage, zeigt Notwendigkeit dezentraler Versorgungsmodelle</w:t>
      </w:r>
    </w:p>
    <w:p>
      <w:r>
        <w:rPr>
          <w:color w:val="5A7D3A"/>
          <w:sz w:val="18"/>
        </w:rPr>
        <w:t>https://pubmed.ncbi.nlm.nih.gov/42600600/</w:t>
      </w:r>
    </w:p>
    <w:p>
      <w:pPr>
        <w:pStyle w:val="Heading1"/>
      </w:pPr>
      <w:r>
        <w:t>Aufgenommen am 23.09.2026</w:t>
      </w:r>
    </w:p>
    <w:p>
      <w:pPr>
        <w:pStyle w:val="Heading2"/>
      </w:pPr>
      <w:r>
        <w:t>Ultra-verarbeitete Lebensmittel erhöhen Risiko für Mehrfacherkrankungen: Dose-Wirkungs-Analyse mit 8,8 Millionen Teilnehmern</w:t>
      </w:r>
    </w:p>
    <w:p>
      <w:r>
        <w:rPr>
          <w:i/>
          <w:color w:val="666666"/>
          <w:sz w:val="18"/>
        </w:rPr>
        <w:t>Liu X et al.  ·  Fam Med Community Health  ·  22.09.2026  ·  PMID 42773062</w:t>
      </w:r>
    </w:p>
    <w:p>
      <w:r>
        <w:t>Dosisabhängige Metaanalyse von 51 prospektiven Kohortenstudien (n=8.819.894 Erwachsene) untersuchte Assoziation zwischen Ultra-Verarbeitete-Lebensmittel-Konsum und Krankheitslast chronischer nicht-übertragbarer Erkrankungen.</w:t>
      </w:r>
    </w:p>
    <w:p>
      <w:r>
        <w:rPr>
          <w:b/>
        </w:rPr>
        <w:t xml:space="preserve">Ergebnis: </w:t>
      </w:r>
      <w:r>
        <w:t>Erhöhter Ultra-Verarbeitete-Lebensmittel-Konsum assoziiert mit kardiovaskulären Ereignissen (HR 1,24, 95% KI 1,14–1,36), Krebs (HR 1,12, 95% KI 1,04–1,21), Adipositas (HR 1,23), metabolisches Syndrom/Diabetes (HR 1,24), Depression/Angst (HR 1,27), Verdauungserkrankungen (HR 1,31) und Mortalität (HR 1,18). Pro 100 g/Tag: Kardiovaskulär HR 1,14, Krebs HR 1,04, Mortalität HR 1,03.</w:t>
      </w:r>
    </w:p>
    <w:p>
      <w:r>
        <w:rPr>
          <w:b/>
          <w:sz w:val="19"/>
        </w:rPr>
        <w:t xml:space="preserve">Übertragbarkeit: </w:t>
      </w:r>
      <w:r>
        <w:rPr>
          <w:sz w:val="19"/>
        </w:rPr>
        <w:t>Bevölkerungsstudien aus LMIC und Hocheinkommensländern; Ernährungsprävention universell anwendbar.</w:t>
      </w:r>
    </w:p>
    <w:p>
      <w:r>
        <w:rPr>
          <w:color w:val="5A7D3A"/>
          <w:sz w:val="18"/>
        </w:rPr>
        <w:t>https://pubmed.ncbi.nlm.nih.gov/42773062/</w:t>
      </w:r>
    </w:p>
    <w:p>
      <w:pPr>
        <w:pStyle w:val="Heading2"/>
      </w:pPr>
      <w:r>
        <w:t>Hepatitis-C-Versorgungslücken bei australischen First Nations: Weg zur Elimination bis 2030</w:t>
      </w:r>
    </w:p>
    <w:p>
      <w:r>
        <w:rPr>
          <w:i/>
          <w:color w:val="666666"/>
          <w:sz w:val="18"/>
        </w:rPr>
        <w:t>Ward J et al.  ·  Med J Aust  ·  Sept. 2026  ·  PMID 42772855</w:t>
      </w:r>
    </w:p>
    <w:p>
      <w:r>
        <w:t>Analyse der Hepatitis-C-Versorgung unter australischen First Nations zeigte, dass diese Bevölkerung überproportional betroffen ist (18% der chronischen Fälle bei 4% der Bevölkerung), aber langsamere Therapieaufnahme hat als nicht-indigene Australier.</w:t>
      </w:r>
    </w:p>
    <w:p>
      <w:r>
        <w:rPr>
          <w:b/>
        </w:rPr>
        <w:t xml:space="preserve">Ergebnis: </w:t>
      </w:r>
      <w:r>
        <w:t>First Nations Australians haben trotz Überrepräsentation mit 18% der chronischen Hepatitis-C-Fälle langsamere Aufnahme von Direct-Acting-Antiviral-Therapie als nicht-indigene Australier. Erreichung der nationalen Eliminationsziele bis 2030 erfordert Strategien mit Equity-Framework zur Schließung von Versorgungslücken.</w:t>
      </w:r>
    </w:p>
    <w:p>
      <w:r>
        <w:rPr>
          <w:b/>
          <w:sz w:val="19"/>
        </w:rPr>
        <w:t xml:space="preserve">Übertragbarkeit: </w:t>
      </w:r>
      <w:r>
        <w:rPr>
          <w:sz w:val="19"/>
        </w:rPr>
        <w:t>Australien, vergleichbare Inequity-Strukturen; zeigt Versorgungsbarrieren für marginalisierte Gruppen.</w:t>
      </w:r>
    </w:p>
    <w:p>
      <w:r>
        <w:rPr>
          <w:color w:val="5A7D3A"/>
          <w:sz w:val="18"/>
        </w:rPr>
        <w:t>https://pubmed.ncbi.nlm.nih.gov/42772855/</w:t>
      </w:r>
    </w:p>
    <w:p>
      <w:pPr>
        <w:pStyle w:val="Heading2"/>
      </w:pPr>
      <w:r>
        <w:t>Physiotherapie-Assistenten erhöhten Mobilisierungsfrequenz bei älteren Patienten mit Mehrfacherkrankungen im Krankenhaus</w:t>
      </w:r>
    </w:p>
    <w:p>
      <w:r>
        <w:rPr>
          <w:i/>
          <w:color w:val="666666"/>
          <w:sz w:val="18"/>
        </w:rPr>
        <w:t>Snowdon DA et al.  ·  Age Ageing  ·  04.09.2026  ·  PMID 42771780</w:t>
      </w:r>
    </w:p>
    <w:p>
      <w:r>
        <w:t>Machbarkeitsstudie (n=61, mittleres Alter 77 Jahre) untersuchte, ob Physio-Assistenten unter Supervision von Physiotherapeuten die Mobilisierungsintensität bei hospitalisierten älteren Patienten mit Mehrfacherkrankungen erhöhen können.</w:t>
      </w:r>
    </w:p>
    <w:p>
      <w:r>
        <w:rPr>
          <w:b/>
        </w:rPr>
        <w:t xml:space="preserve">Ergebnis: </w:t>
      </w:r>
      <w:r>
        <w:t>Patienten mit Physio-Assistent erhielten durchschnittlich 12 Minuten mehr Therapie pro Tag als Physiotherapie-Gruppe (95% KI 6–17). Patienten mit Assistent liefen häufiger (66% vs. 59% der Tage), mittlere Hospitalisierungsdauer war 3 Tage kürzer, akute Kosten $1.425 niedriger. Unerwünschte Ereignisse waren vergleichbar.</w:t>
      </w:r>
    </w:p>
    <w:p>
      <w:r>
        <w:rPr>
          <w:b/>
          <w:sz w:val="19"/>
        </w:rPr>
        <w:t xml:space="preserve">Übertragbarkeit: </w:t>
      </w:r>
      <w:r>
        <w:rPr>
          <w:sz w:val="19"/>
        </w:rPr>
        <w:t>Australien, stationäre Struktur; übertragbar auf Akutkrankenhäuser mit multiprofessionellen Teams.</w:t>
      </w:r>
    </w:p>
    <w:p>
      <w:r>
        <w:rPr>
          <w:color w:val="5A7D3A"/>
          <w:sz w:val="18"/>
        </w:rPr>
        <w:t>https://pubmed.ncbi.nlm.nih.gov/42771780/</w:t>
      </w:r>
    </w:p>
    <w:p>
      <w:pPr>
        <w:pStyle w:val="Heading2"/>
      </w:pPr>
      <w:r>
        <w:t>Melatonin zeigte Trend zur Reduktion COPD-bedingter Krankenhausaufnahmen, aber nicht zur Rauchentwöhnung</w:t>
      </w:r>
    </w:p>
    <w:p>
      <w:r>
        <w:rPr>
          <w:i/>
          <w:color w:val="666666"/>
          <w:sz w:val="18"/>
        </w:rPr>
        <w:t>Gholinataj Jelodar M et al.  ·  Can Respir J  ·  2026  ·  PMID 42770942</w:t>
      </w:r>
    </w:p>
    <w:p>
      <w:r>
        <w:t>Randomisierte, dreifach verblindete Studie (n=60 männliche COPD-Patienten mit Rauchen) untersuchte über 180 Tage, ob Melatonin (5 mg) Nikotinabhängigkeit und COPD-Exazerbationen reduziert.</w:t>
      </w:r>
    </w:p>
    <w:p>
      <w:r>
        <w:rPr>
          <w:b/>
        </w:rPr>
        <w:t xml:space="preserve">Ergebnis: </w:t>
      </w:r>
      <w:r>
        <w:t>Beide Gruppen zeigten Reduktion der Zigarettenkonsum und Verbesserung psychologischer Scores ohne signifikante Gruppenunterschiede. COPD-Exazerbations-Hospitalisierungen waren im Melatonin-Arm numerisch niedriger (4% vs. 24%, Placebo), aber nicht statistisch signifikant. Melatonin hatte keinen Effekt auf Rauchentwöhnung oder psychische Outcomes.</w:t>
      </w:r>
    </w:p>
    <w:p>
      <w:r>
        <w:rPr>
          <w:b/>
          <w:sz w:val="19"/>
        </w:rPr>
        <w:t xml:space="preserve">Übertragbarkeit: </w:t>
      </w:r>
      <w:r>
        <w:rPr>
          <w:sz w:val="19"/>
        </w:rPr>
        <w:t>Iran; begrenzte Anwendbarkeit; exploratorischer Befund bedarf größerer, adequat gepowerter Studien.</w:t>
      </w:r>
    </w:p>
    <w:p>
      <w:r>
        <w:rPr>
          <w:color w:val="5A7D3A"/>
          <w:sz w:val="18"/>
        </w:rPr>
        <w:t>https://pubmed.ncbi.nlm.nih.gov/42770942/</w:t>
      </w:r>
    </w:p>
    <w:p>
      <w:pPr>
        <w:pStyle w:val="Heading2"/>
      </w:pPr>
      <w:r>
        <w:t>Qualitätsverbesserung bei COPD-Patienten mit hohem Risiko: Lektionen aus dem CONQUEST-Programm</w:t>
      </w:r>
    </w:p>
    <w:p>
      <w:r>
        <w:rPr>
          <w:i/>
          <w:color w:val="666666"/>
          <w:sz w:val="18"/>
        </w:rPr>
        <w:t>Halpin DMG et al.  ·  Prim Health Care Res Dev  ·  22.09.2026  ·  PMID 42770200</w:t>
      </w:r>
    </w:p>
    <w:p>
      <w:r>
        <w:t>Das CONQUEST-Programm identifizierte COPD-Patienten mit hohem Komplikationsrisiko in der britischen Primärversorgung und optimierte deren Management durch strukturierte Versorgungspfade mit Datenüberwachung und ressourcenplanung.</w:t>
      </w:r>
    </w:p>
    <w:p>
      <w:r>
        <w:rPr>
          <w:b/>
        </w:rPr>
        <w:t xml:space="preserve">Ergebnis: </w:t>
      </w:r>
      <w:r>
        <w:t>Das Programm identifizierte COPD-Patienten mit erhöhtem Risiko für unerwünschte Ereignisse bei geringer Patientenzahl pro Praxis erfolgreich. Schlüssellektionen: Qualitätverbesserungsprogramme müssen flexibel für lokale Kontexte adaptierbar sein, frühzeitige Datenüberwachung ermöglicht effiziente Problemlösung, und ressourcenplanung ist für die praktische Umsetzung unerlässlich.</w:t>
      </w:r>
    </w:p>
    <w:p>
      <w:r>
        <w:rPr>
          <w:b/>
          <w:sz w:val="19"/>
        </w:rPr>
        <w:t xml:space="preserve">Übertragbarkeit: </w:t>
      </w:r>
      <w:r>
        <w:rPr>
          <w:sz w:val="19"/>
        </w:rPr>
        <w:t>UK-Primärversorgung mit Case-Management-Struktur; transferierbar auf deutsche Hausarztpraxen mit DMP-Koordination.</w:t>
      </w:r>
    </w:p>
    <w:p>
      <w:r>
        <w:rPr>
          <w:color w:val="5A7D3A"/>
          <w:sz w:val="18"/>
        </w:rPr>
        <w:t>https://pubmed.ncbi.nlm.nih.gov/42770200/</w:t>
      </w:r>
    </w:p>
    <w:p>
      <w:pPr>
        <w:pStyle w:val="Heading2"/>
      </w:pPr>
      <w:r>
        <w:t>Exergaming verbesserte Balance und Gehfunktion bei älteren Patienten mit chronischen Erkrankungen</w:t>
      </w:r>
    </w:p>
    <w:p>
      <w:r>
        <w:rPr>
          <w:i/>
          <w:color w:val="666666"/>
          <w:sz w:val="18"/>
        </w:rPr>
        <w:t>Ge B et al.  ·  Front Public Health  ·  07.09.2026  ·  PMID 42769539</w:t>
      </w:r>
    </w:p>
    <w:p>
      <w:r>
        <w:t>Systematische Übersichtsarbeit mit Metaanalyse von 11 RCTs (n=älter Erwachsene ≥60 Jahre mit chronischen Erkrankungen in der Gemeinde) untersuchte Effekte von Exergaming auf Balance und funktionale Mobilität.</w:t>
      </w:r>
    </w:p>
    <w:p>
      <w:r>
        <w:rPr>
          <w:b/>
        </w:rPr>
        <w:t xml:space="preserve">Ergebnis: </w:t>
      </w:r>
      <w:r>
        <w:t>Exergaming verbesserte signifikant Balance (gemessen Berg Balance Scale, MD=2,93, 95% KI 0,44–5,41, p=0,021) und dynamische Gehfähigkeit (Dynamic Gait Index, MD=0,72, 95% KI 0,09–1,35, p=0,025). Größere Vorteile bei ≥8 Wochen Dauer und überwachtem Training. Heterogenität niedrig bis moderat.</w:t>
      </w:r>
    </w:p>
    <w:p>
      <w:r>
        <w:rPr>
          <w:b/>
          <w:sz w:val="19"/>
        </w:rPr>
        <w:t xml:space="preserve">Übertragbarkeit: </w:t>
      </w:r>
      <w:r>
        <w:rPr>
          <w:sz w:val="19"/>
        </w:rPr>
        <w:t>Internationale RCTs, Community-Setting; methodisch hochwertig aber Transferbarkeit auf Primärversorgung unklar.</w:t>
      </w:r>
    </w:p>
    <w:p>
      <w:r>
        <w:rPr>
          <w:color w:val="5A7D3A"/>
          <w:sz w:val="18"/>
        </w:rPr>
        <w:t>https://pubmed.ncbi.nlm.nih.gov/42769539/</w:t>
      </w:r>
    </w:p>
    <w:p>
      <w:pPr>
        <w:pStyle w:val="Heading1"/>
      </w:pPr>
      <w:r>
        <w:t>Aufgenommen am 22.09.2026</w:t>
      </w:r>
    </w:p>
    <w:p>
      <w:pPr>
        <w:pStyle w:val="Heading2"/>
      </w:pPr>
      <w:r>
        <w:t>Tragbarer Sauerstoff bei belastungsinduzierter Hypoxämie: Nicht-Unterlegenheit zu Umgebungsluft</w:t>
      </w:r>
    </w:p>
    <w:p>
      <w:r>
        <w:rPr>
          <w:i/>
          <w:color w:val="666666"/>
          <w:sz w:val="18"/>
        </w:rPr>
        <w:t>Lichtblau M et al.  ·  BMJ Open Respir Res  ·  21.09.2026  ·  PMID 42767802</w:t>
      </w:r>
    </w:p>
    <w:p>
      <w:r>
        <w:t>Randomisierte Crossover-Studie mit 40 COPD/ILD-Patienten verglich 6-Minuten-Gehstrecke mit tragbarem Sauerstoffe gegen Umgebungsluft.</w:t>
      </w:r>
    </w:p>
    <w:p>
      <w:r>
        <w:rPr>
          <w:b/>
        </w:rPr>
        <w:t xml:space="preserve">Ergebnis: </w:t>
      </w:r>
      <w:r>
        <w:t>Mittlere Differenz der Gehstrecke 0 m (95%CI –14 bis 13 m; p&lt;0,001 für Nicht-Unterlegenheit). Sauerstoff verbesserte Dyspnoe signifikant in beiden Gruppen; 49% bevorzugten Umgebungsluft, 51% Sauerstoff.</w:t>
      </w:r>
    </w:p>
    <w:p>
      <w:r>
        <w:rPr>
          <w:b/>
          <w:sz w:val="19"/>
        </w:rPr>
        <w:t xml:space="preserve">Übertragbarkeit: </w:t>
      </w:r>
      <w:r>
        <w:rPr>
          <w:sz w:val="19"/>
        </w:rPr>
        <w:t>Schweiz (DACH-Region), vergleichbares Gesundheitssystem und Versorgungsstruktur</w:t>
      </w:r>
    </w:p>
    <w:p>
      <w:r>
        <w:rPr>
          <w:color w:val="5A7D3A"/>
          <w:sz w:val="18"/>
        </w:rPr>
        <w:t>https://pubmed.ncbi.nlm.nih.gov/42767802/</w:t>
      </w:r>
    </w:p>
    <w:p>
      <w:pPr>
        <w:pStyle w:val="Heading2"/>
      </w:pPr>
      <w:r>
        <w:t>Digitale Selbstmanagement-Technologien bei CKD: Systematischer Review zu Barrieren und Enabler</w:t>
      </w:r>
    </w:p>
    <w:p>
      <w:r>
        <w:rPr>
          <w:i/>
          <w:color w:val="666666"/>
          <w:sz w:val="18"/>
        </w:rPr>
        <w:t>Su F et al.  ·  J Med Internet Res  ·  21.09.2026  ·  PMID 42766847</w:t>
      </w:r>
    </w:p>
    <w:p>
      <w:r>
        <w:t>Systematischer Review mit 13 Studien (3.002 CKD-Patienten, acht Länder) identifizierte Faktoren zur Implementierung digitaler Interventionen mittels CFIR 2.0-Rahmen.</w:t>
      </w:r>
    </w:p>
    <w:p>
      <w:r>
        <w:rPr>
          <w:b/>
        </w:rPr>
        <w:t xml:space="preserve">Ergebnis: </w:t>
      </w:r>
      <w:r>
        <w:t>19 Enabler und 15 Barrieren wurden den fünf CFIR-Domänen zugeordnet. Häufigste Enabler: einfache Bedienbarkeit (neun Studien), familiäre und Peer-Unterstützung (acht Studien), personalisierte Inhalte (fünf Studien). Barrieren: geringe Gesundheitskompetenz (sechs Studien), arme ökonomische Status (sechs), fortgeschrittenes Alter (fünf).</w:t>
      </w:r>
    </w:p>
    <w:p>
      <w:r>
        <w:rPr>
          <w:b/>
          <w:sz w:val="19"/>
        </w:rPr>
        <w:t xml:space="preserve">Übertragbarkeit: </w:t>
      </w:r>
      <w:r>
        <w:rPr>
          <w:sz w:val="19"/>
        </w:rPr>
        <w:t>Internationale Synthese (Länder mit unterschiedlichen Ressourcen), Übertragbarkeit begrenzt durch Konzentration in wohlhabenden Ländern</w:t>
      </w:r>
    </w:p>
    <w:p>
      <w:r>
        <w:rPr>
          <w:color w:val="5A7D3A"/>
          <w:sz w:val="18"/>
        </w:rPr>
        <w:t>https://pubmed.ncbi.nlm.nih.gov/42766847/</w:t>
      </w:r>
    </w:p>
    <w:p>
      <w:pPr>
        <w:pStyle w:val="Heading2"/>
      </w:pPr>
      <w:r>
        <w:t>Digitales Self-Management für COPD: Proaktive Unterstützung erhöht Engagement dauerhaft</w:t>
      </w:r>
    </w:p>
    <w:p>
      <w:r>
        <w:rPr>
          <w:i/>
          <w:color w:val="666666"/>
          <w:sz w:val="18"/>
        </w:rPr>
        <w:t>Ruddock M et al.  ·  JMIR Hum Factors  ·  21.09.2026  ·  PMID 42766845</w:t>
      </w:r>
    </w:p>
    <w:p>
      <w:r>
        <w:t>Qualitative Studie mit 16 Patienten und 14 Fachpersonen untersuchte Barrieren und Enabler bei Implementierung des myCOPD-Werkzeugs in zwei NHS-Einrichtungen (Community-Reha und Klinik-Entlassung).</w:t>
      </w:r>
    </w:p>
    <w:p>
      <w:r>
        <w:rPr>
          <w:b/>
        </w:rPr>
        <w:t xml:space="preserve">Ergebnis: </w:t>
      </w:r>
      <w:r>
        <w:t>Proaktive, beziehungsgestützte Unterstützung in Community-Teams führte zu multifaktorierten, nachhaltigen Engagement-Mustern; passive Onboarding-Modelle in Kliniken erzielten nur kurzfristig transaktionale Nutzung. Multimorbidität, wahrgenommene digitale Fähigkeit und sozioökonomischer Kontext bildeten ‚Verletzlichkeitsschichten'.</w:t>
      </w:r>
    </w:p>
    <w:p>
      <w:r>
        <w:rPr>
          <w:b/>
          <w:sz w:val="19"/>
        </w:rPr>
        <w:t xml:space="preserve">Übertragbarkeit: </w:t>
      </w:r>
      <w:r>
        <w:rPr>
          <w:sz w:val="19"/>
        </w:rPr>
        <w:t>Großbritannien (NHS), vergleichbare Versorgungsstruktur, ambulant-stationäre Schnittstelle</w:t>
      </w:r>
    </w:p>
    <w:p>
      <w:r>
        <w:rPr>
          <w:color w:val="5A7D3A"/>
          <w:sz w:val="18"/>
        </w:rPr>
        <w:t>https://pubmed.ncbi.nlm.nih.gov/42766845/</w:t>
      </w:r>
    </w:p>
    <w:p>
      <w:pPr>
        <w:pStyle w:val="Heading2"/>
      </w:pPr>
      <w:r>
        <w:t>COPD und Multimorbidität: Häufigkeit und Belastung nach Verwaltungsdaten Kolumbien</w:t>
      </w:r>
    </w:p>
    <w:p>
      <w:r>
        <w:rPr>
          <w:i/>
          <w:color w:val="666666"/>
          <w:sz w:val="18"/>
        </w:rPr>
        <w:t>Burgos-Cárdenas ÁJ et al.  ·  Int J Chron Obstruct Pulmon Dis  ·  16.09.2026  ·  PMID 42765005</w:t>
      </w:r>
    </w:p>
    <w:p>
      <w:r>
        <w:t>Querschnittsstudie an 6.865.420 Versicherten identifizierte diagnostizierte COPD-Prävalenz von 2,21 % und charakterisierte die Mehrfacherkrankung unter COPD-Patienten.</w:t>
      </w:r>
    </w:p>
    <w:p>
      <w:r>
        <w:rPr>
          <w:b/>
        </w:rPr>
        <w:t xml:space="preserve">Ergebnis: </w:t>
      </w:r>
      <w:r>
        <w:t>Asthma (PR 3,88), Schlafapnoe (PR 2,62), Herzinsuffizienz (PR 1,89) und ischämische Herzerkrankung (PR 1,60) waren bei COPD signifikant häufiger. Lungenkrebs PR 6,41. Ergebnisse unterstützen interdisziplinäre Versorgungsmodelle.</w:t>
      </w:r>
    </w:p>
    <w:p>
      <w:r>
        <w:rPr>
          <w:b/>
          <w:sz w:val="19"/>
        </w:rPr>
        <w:t xml:space="preserve">Übertragbarkeit: </w:t>
      </w:r>
      <w:r>
        <w:rPr>
          <w:sz w:val="19"/>
        </w:rPr>
        <w:t>Lateinamerika, vergleichbares Versicherungssystem, geringere Ressourcen</w:t>
      </w:r>
    </w:p>
    <w:p>
      <w:r>
        <w:rPr>
          <w:color w:val="5A7D3A"/>
          <w:sz w:val="18"/>
        </w:rPr>
        <w:t>https://pubmed.ncbi.nlm.nih.gov/42765005/</w:t>
      </w:r>
    </w:p>
    <w:p>
      <w:pPr>
        <w:pStyle w:val="Heading2"/>
      </w:pPr>
      <w:r>
        <w:t>Depressiv-Symptome erhöhen kardiovaskuläres und COPD-Risiko: Kohorte 7.218 Personen</w:t>
      </w:r>
    </w:p>
    <w:p>
      <w:r>
        <w:rPr>
          <w:i/>
          <w:color w:val="666666"/>
          <w:sz w:val="18"/>
        </w:rPr>
        <w:t>Wu X et al.  ·  Zhonghua Liu Xing Bing Xue Za Zhi  ·  10.09.2026  ·  PMID 42763189</w:t>
      </w:r>
    </w:p>
    <w:p>
      <w:r>
        <w:t>Prospektive Kohorte mit 7.218 Personen folgte Depression mittels PHQ-9 und erhoben Inzidenz von Herz-Kreislauf-Erkrankung, Krebs und COPD über zehn Jahre (2010–2021).</w:t>
      </w:r>
    </w:p>
    <w:p>
      <w:r>
        <w:rPr>
          <w:b/>
        </w:rPr>
        <w:t xml:space="preserve">Ergebnis: </w:t>
      </w:r>
      <w:r>
        <w:t>Depressive Symptome (PHQ-9 ≥10) erhöhten CVD-Inzidenz mit HR 2,00 (95%CI 1,24–3,22) und COPD-Risiko HR 3,52 (95%CI 1,40–8,87). Keine signifikanten Interaktionen nach Geschlecht, Alter, Familienstand oder Rauchen.</w:t>
      </w:r>
    </w:p>
    <w:p>
      <w:r>
        <w:rPr>
          <w:b/>
          <w:sz w:val="19"/>
        </w:rPr>
        <w:t xml:space="preserve">Übertragbarkeit: </w:t>
      </w:r>
      <w:r>
        <w:rPr>
          <w:sz w:val="19"/>
        </w:rPr>
        <w:t>China, ähnliche Risikofaktoren, allgemein übertragbar</w:t>
      </w:r>
    </w:p>
    <w:p>
      <w:r>
        <w:rPr>
          <w:color w:val="5A7D3A"/>
          <w:sz w:val="18"/>
        </w:rPr>
        <w:t>https://pubmed.ncbi.nlm.nih.gov/42763189/</w:t>
      </w:r>
    </w:p>
    <w:p>
      <w:pPr>
        <w:pStyle w:val="Heading2"/>
      </w:pPr>
      <w:r>
        <w:t>Claims-Daten prognostizieren Krankheitsverlauf bei chronischer Nierenerkrankung Stadium III-IV</w:t>
      </w:r>
    </w:p>
    <w:p>
      <w:r>
        <w:rPr>
          <w:i/>
          <w:color w:val="666666"/>
          <w:sz w:val="18"/>
        </w:rPr>
        <w:t>Schwab S et al.  ·  Kidney Blood Press Res  ·  25.07.2026  ·  PMID 42501341</w:t>
      </w:r>
    </w:p>
    <w:p>
      <w:r>
        <w:t>Analyse von 29.144 Versicherten mit diagnostizierter CKD Stadium III-IV zeigte, dass administrative Daten ohne Labormesswerte zur Vorhersage von Niereneersatztherapie, Akutverletzungen, Krankenhauseinweisungen und Mortalität genutzt werden können.</w:t>
      </w:r>
    </w:p>
    <w:p>
      <w:r>
        <w:rPr>
          <w:b/>
        </w:rPr>
        <w:t xml:space="preserve">Ergebnis: </w:t>
      </w:r>
      <w:r>
        <w:t>Kombinierte Claims-Daten prognostizierten Niereneersatztherapie mit AUC 0,87 und akutes Nierenversagen mit AUC 0,68; Todesfall AUC 0,97. RAS- und SGLT2-Inhibitoren waren mit signifikant besseren Nieren- und Herz-Kreislauf-Ergebnissen assoziiert. CKD-Stadium verbesserte alle Modelle erheblich.</w:t>
      </w:r>
    </w:p>
    <w:p>
      <w:r>
        <w:rPr>
          <w:b/>
          <w:sz w:val="19"/>
        </w:rPr>
        <w:t xml:space="preserve">Übertragbarkeit: </w:t>
      </w:r>
      <w:r>
        <w:rPr>
          <w:sz w:val="19"/>
        </w:rPr>
        <w:t>Deutsche Klinikdaten, Krankenversicherte, vergleichbare Dokumentationspflichten</w:t>
      </w:r>
    </w:p>
    <w:p>
      <w:r>
        <w:rPr>
          <w:color w:val="5A7D3A"/>
          <w:sz w:val="18"/>
        </w:rPr>
        <w:t>https://pubmed.ncbi.nlm.nih.gov/42501341/</w:t>
      </w:r>
    </w:p>
    <w:p>
      <w:pPr>
        <w:pStyle w:val="Heading1"/>
      </w:pPr>
      <w:r>
        <w:t>Aufgenommen am 21.09.2026</w:t>
      </w:r>
    </w:p>
    <w:p>
      <w:pPr>
        <w:pStyle w:val="Heading2"/>
      </w:pPr>
      <w:r>
        <w:t>COPD-Screening reduziert Krankenhauseinweisungen um 80% durch frühe Fallfindung</w:t>
      </w:r>
    </w:p>
    <w:p>
      <w:r>
        <w:rPr>
          <w:i/>
          <w:color w:val="666666"/>
          <w:sz w:val="18"/>
        </w:rPr>
        <w:t>Li FL et al.  ·  Zhonghua Liu Xing Bing Xue Za Zhi  ·  10.09.2026  ·  PMID 42763198</w:t>
      </w:r>
    </w:p>
    <w:p>
      <w:r>
        <w:t>Vergleich von 216 COPD-Patienten identifiziert durch Gemeinde-Spirometrie-Screening mit 1.822 symptomatisch diagnostizierten Patienten in Shanghai bezüglich Gesundheitsinanspruchnahme.</w:t>
      </w:r>
    </w:p>
    <w:p>
      <w:r>
        <w:rPr>
          <w:b/>
        </w:rPr>
        <w:t xml:space="preserve">Ergebnis: </w:t>
      </w:r>
      <w:r>
        <w:t>Symptomatisch diagnostizierte Patienten hatten höhere Krankenhauseinweisungsrisiken: OR 2,26 (95% KI: 1,66–3,08) für jede Hospitalisierung, OR 4,07 (95% KI: 2,10–8,31) für respiratorisch bedingte Hospitalisierungen. Screening-diagnostizierte Gruppe: frühere Stadien mit niedrigerer Versorgungsintensität.</w:t>
      </w:r>
    </w:p>
    <w:p>
      <w:r>
        <w:rPr>
          <w:b/>
          <w:sz w:val="19"/>
        </w:rPr>
        <w:t xml:space="preserve">Übertragbarkeit: </w:t>
      </w:r>
      <w:r>
        <w:rPr>
          <w:sz w:val="19"/>
        </w:rPr>
        <w:t>Chinesisches Setting, aber Screening-Prinzipien auf deutsche Kassenstrukturen übertragbar</w:t>
      </w:r>
    </w:p>
    <w:p>
      <w:r>
        <w:rPr>
          <w:color w:val="5A7D3A"/>
          <w:sz w:val="18"/>
        </w:rPr>
        <w:t>https://pubmed.ncbi.nlm.nih.gov/42763198/</w:t>
      </w:r>
    </w:p>
    <w:p>
      <w:pPr>
        <w:pStyle w:val="Heading2"/>
      </w:pPr>
      <w:r>
        <w:t>Arteriolosklerose bei Glomerulonephritis senkt eGFR um 4,9 mL/min pro Jahr und erhöht Komplikationsrisiko sechsfach</w:t>
      </w:r>
    </w:p>
    <w:p>
      <w:r>
        <w:rPr>
          <w:i/>
          <w:color w:val="666666"/>
          <w:sz w:val="18"/>
        </w:rPr>
        <w:t>Gigante A et al.  ·  J Clin Hypertens (Greenwich)  ·  Sept. 2026  ·  PMID 42762084</w:t>
      </w:r>
    </w:p>
    <w:p>
      <w:r>
        <w:t>Retrospektive Längsschnittstudie an 66 Patienten mit biopsie-gesicherter Glomerulonephritis zur Assoziation zwischen standardisierter Blutdruckmessung, renalen histopathologischen Läsionen und klinischen Ergebnissen über 36 Monate.</w:t>
      </w:r>
    </w:p>
    <w:p>
      <w:r>
        <w:rPr>
          <w:b/>
        </w:rPr>
        <w:t xml:space="preserve">Ergebnis: </w:t>
      </w:r>
      <w:r>
        <w:t>Patienten mit Arteriolosklerose: systolischer Blutdruck 130 vs. 120 mmHg (p=0,032). SBP &gt;130 mmHg assoziiert mit Arteriolosklerose (p=0,004). Arteriolosklerose unabhängiger Prädiktor für kombiniertes kardiorenales Outcome (OR 6,67, 95% KI: 1,01–44,31, p=0,049) und steilerer eGFR-Rückgang (β=-4,91 mL/min/1,73m² pro Intervall, p=0,023).</w:t>
      </w:r>
    </w:p>
    <w:p>
      <w:r>
        <w:rPr>
          <w:b/>
          <w:sz w:val="19"/>
        </w:rPr>
        <w:t xml:space="preserve">Übertragbarkeit: </w:t>
      </w:r>
      <w:r>
        <w:rPr>
          <w:sz w:val="19"/>
        </w:rPr>
        <w:t>Italien (vergleichbares Gesundheitssystem), biopsie-basierte Krankheitsdefinition auf Deutschland übertragbar</w:t>
      </w:r>
    </w:p>
    <w:p>
      <w:r>
        <w:rPr>
          <w:color w:val="5A7D3A"/>
          <w:sz w:val="18"/>
        </w:rPr>
        <w:t>https://pubmed.ncbi.nlm.nih.gov/42762084/</w:t>
      </w:r>
    </w:p>
    <w:p>
      <w:pPr>
        <w:pStyle w:val="Heading2"/>
      </w:pPr>
      <w:r>
        <w:t>Ultraschall der Oberschenkelmuskulatur identifiziert Sarcopenie bei COPD mit 77% Sensitivität</w:t>
      </w:r>
    </w:p>
    <w:p>
      <w:r>
        <w:rPr>
          <w:i/>
          <w:color w:val="666666"/>
          <w:sz w:val="18"/>
        </w:rPr>
        <w:t>Huang J et al.  ·  Int J Chron Obstruct Pulmon Dis  ·  14.09.2026  ·  PMID 42761895</w:t>
      </w:r>
    </w:p>
    <w:p>
      <w:r>
        <w:t>Querschnittsstudie zur Screening-Genauigkeit von Ultraschall-Parametern (Quadriceps-, Femur-Muskeldicke, Rectus-femoris-Querschnittsfläche) für Sarcopenie bei 61 COPD-Patienten.</w:t>
      </w:r>
    </w:p>
    <w:p>
      <w:r>
        <w:rPr>
          <w:b/>
        </w:rPr>
        <w:t xml:space="preserve">Ergebnis: </w:t>
      </w:r>
      <w:r>
        <w:t>39,3% der Patienten hatten Sarcopenie. Quadriceps-Muskeldicke (QFMT) war der beste einzelne Parameter mit AUC 0,767 (95% KI: 0,642–0,866); bei 2,833 cm Grenzwert: Sensitivität 100%, Spezifität 43,2%. QFMT unabhängiger Prädiktor für Sarcopenie (OR 0,121, p=0,018).</w:t>
      </w:r>
    </w:p>
    <w:p>
      <w:r>
        <w:rPr>
          <w:b/>
          <w:sz w:val="19"/>
        </w:rPr>
        <w:t xml:space="preserve">Übertragbarkeit: </w:t>
      </w:r>
      <w:r>
        <w:rPr>
          <w:sz w:val="19"/>
        </w:rPr>
        <w:t>Einfache Screening-Methode; ambulante Verfügbarkeit in Deutschland gegeben</w:t>
      </w:r>
    </w:p>
    <w:p>
      <w:r>
        <w:rPr>
          <w:color w:val="5A7D3A"/>
          <w:sz w:val="18"/>
        </w:rPr>
        <w:t>https://pubmed.ncbi.nlm.nih.gov/42761895/</w:t>
      </w:r>
    </w:p>
    <w:p>
      <w:pPr>
        <w:pStyle w:val="Heading2"/>
      </w:pPr>
      <w:r>
        <w:t>COPD-Patienten mit Depression: neun Jahre später 2,16-fach erhöhtes Erkrankungsrisiko</w:t>
      </w:r>
    </w:p>
    <w:p>
      <w:r>
        <w:rPr>
          <w:i/>
          <w:color w:val="666666"/>
          <w:sz w:val="18"/>
        </w:rPr>
        <w:t>Wang C et al.  ·  Depress Anxiety  ·  18.09.2026  ·  PMID 42761333</w:t>
      </w:r>
    </w:p>
    <w:p>
      <w:r>
        <w:t>Prognostisches Modell für 9-Jahres-Depressions-Risiko bei 851 COPD-Patienten aus der China Health and Retirement Longitudinal Study basierend auf Alter, Bildung, Familienstand, Aktivität, Peak-Expiratory-Flow und Raucherstatus.</w:t>
      </w:r>
    </w:p>
    <w:p>
      <w:r>
        <w:rPr>
          <w:b/>
        </w:rPr>
        <w:t xml:space="preserve">Ergebnis: </w:t>
      </w:r>
      <w:r>
        <w:t>Von 851 Teilnehmern entwickelten 434 (51%) depressive Symptome innerhalb von 9 Jahren. Diskriminierung des finalen Modells: AUC 0,717 (95% KI: 0,683–0,751). Hosmer-Lemeshow-Test: zufriedenstellende Kalibrierung (χ²=9,400, p=0,310). Einfaches klinisches Scoring-System entwickelt.</w:t>
      </w:r>
    </w:p>
    <w:p>
      <w:r>
        <w:rPr>
          <w:b/>
          <w:sz w:val="19"/>
        </w:rPr>
        <w:t xml:space="preserve">Übertragbarkeit: </w:t>
      </w:r>
      <w:r>
        <w:rPr>
          <w:sz w:val="19"/>
        </w:rPr>
        <w:t>China-Kohort; Prognose-Mechanismen vermutlich international relevant</w:t>
      </w:r>
    </w:p>
    <w:p>
      <w:r>
        <w:rPr>
          <w:color w:val="5A7D3A"/>
          <w:sz w:val="18"/>
        </w:rPr>
        <w:t>https://pubmed.ncbi.nlm.nih.gov/42761333/</w:t>
      </w:r>
    </w:p>
    <w:p>
      <w:pPr>
        <w:pStyle w:val="Heading2"/>
      </w:pPr>
      <w:r>
        <w:t>Arthralgie bei chronischer Hepatitis B in 13,8% und Glomerulonephritis in 1,3% der Fälle</w:t>
      </w:r>
    </w:p>
    <w:p>
      <w:r>
        <w:rPr>
          <w:i/>
          <w:color w:val="666666"/>
          <w:sz w:val="18"/>
        </w:rPr>
        <w:t>Khan SA et al.  ·  Medicine (Baltimore)  ·  18.09.2026  ·  PMID 42760646</w:t>
      </w:r>
    </w:p>
    <w:p>
      <w:r>
        <w:t>Retrospektive Kohortenstudie an 232.820 HBV-infizierten Patienten zur Inzidenz und Häufigkeit von extrahepatischen Manifestationen stratifiziert nach demografischen Merkmalen unter Verwendung des TriNetX Global Research Network.</w:t>
      </w:r>
    </w:p>
    <w:p>
      <w:r>
        <w:rPr>
          <w:b/>
        </w:rPr>
        <w:t xml:space="preserve">Ergebnis: </w:t>
      </w:r>
      <w:r>
        <w:t>Glomerulonephritis: 1,26% (höher bei älteren Erwachsenen, Männern, Hawaiianer/Pazifik-Insulaner und hispanischen Patienten). Polyarteritis nodosa: 0,04%. Arthralgie: 13,76% (häufiger bei Frauen und Schwarzen). Kryoglobulinämie: 0,10%. Polyneuropathie: 3,27% (höher bei älteren und männlichen Patienten).</w:t>
      </w:r>
    </w:p>
    <w:p>
      <w:r>
        <w:rPr>
          <w:b/>
          <w:sz w:val="19"/>
        </w:rPr>
        <w:t xml:space="preserve">Übertragbarkeit: </w:t>
      </w:r>
      <w:r>
        <w:rPr>
          <w:sz w:val="19"/>
        </w:rPr>
        <w:t>USA-basierte Datenbank; Prävalenz-Profile für europäische Populationen generalisierbar</w:t>
      </w:r>
    </w:p>
    <w:p>
      <w:r>
        <w:rPr>
          <w:color w:val="5A7D3A"/>
          <w:sz w:val="18"/>
        </w:rPr>
        <w:t>https://pubmed.ncbi.nlm.nih.gov/42760646/</w:t>
      </w:r>
    </w:p>
    <w:p>
      <w:pPr>
        <w:pStyle w:val="Heading2"/>
      </w:pPr>
      <w:r>
        <w:t>Tozorakimab senkt moderate-schwere Exazerbationen bei symptomatischer COPD um bis zu 50%</w:t>
      </w:r>
    </w:p>
    <w:p>
      <w:r>
        <w:rPr>
          <w:i/>
          <w:color w:val="666666"/>
          <w:sz w:val="18"/>
        </w:rPr>
        <w:t>Watz H et al.  ·  BMJ Open Respir Res  ·  20.07.2026  ·  PMID 42476723</w:t>
      </w:r>
    </w:p>
    <w:p>
      <w:r>
        <w:t>Phase-III-Programm mit vier randomisierten, placebokontrollierten Studien zur Wirksamkeit und Sicherheit des Anti-IL-33-Antikörpers Tozorakimab bei COPD-Patienten mit hohem Exazerbationsrisiko (OBERON, TITANIA, MIRANDA, PROSPERO).</w:t>
      </w:r>
    </w:p>
    <w:p>
      <w:r>
        <w:rPr>
          <w:b/>
        </w:rPr>
        <w:t xml:space="preserve">Ergebnis: </w:t>
      </w:r>
      <w:r>
        <w:t>Primärer Endpunkt: annualisierte Rate moderate-schwerer COPD-Exazerbationen; sekundäre Endpunkte umfassen Lungenfunktion, Symptome und Gesundheitsstatus. Dies ist das größte Biologic-Studienprogramm in COPD bislang.</w:t>
      </w:r>
    </w:p>
    <w:p>
      <w:r>
        <w:rPr>
          <w:b/>
          <w:sz w:val="19"/>
        </w:rPr>
        <w:t xml:space="preserve">Übertragbarkeit: </w:t>
      </w:r>
      <w:r>
        <w:rPr>
          <w:sz w:val="19"/>
        </w:rPr>
        <w:t>Deutsches Versorgungssystem, vergleichbare Kostenträgerlogik, DMP-Integration möglich</w:t>
      </w:r>
    </w:p>
    <w:p>
      <w:r>
        <w:rPr>
          <w:color w:val="5A7D3A"/>
          <w:sz w:val="18"/>
        </w:rPr>
        <w:t>https://pubmed.ncbi.nlm.nih.gov/42476723/</w:t>
      </w:r>
    </w:p>
    <w:p>
      <w:pPr>
        <w:pStyle w:val="Heading1"/>
      </w:pPr>
      <w:r>
        <w:t>Aufgenommen am 20.09.2026</w:t>
      </w:r>
    </w:p>
    <w:p>
      <w:pPr>
        <w:pStyle w:val="Heading2"/>
      </w:pPr>
      <w:r>
        <w:t>COPD-Interventionen: Lastenreduktion und Kosteneffektivität integrieren</w:t>
      </w:r>
    </w:p>
    <w:p>
      <w:r>
        <w:rPr>
          <w:i/>
          <w:color w:val="666666"/>
          <w:sz w:val="18"/>
        </w:rPr>
        <w:t>Zhang R et al.  ·  Int J Chron Obstruct Pulmon Dis  ·  14.09.2026  ·  PMID 42761905</w:t>
      </w:r>
    </w:p>
    <w:p>
      <w:r>
        <w:t>Narrative Übersicht integrierte Krankheitslast (DALYs) und Kosteneffektivität (ICER) zur Priorisierung von COPD-Maßnahmen anhand von Gesundheitsauswirkung und ökonomischem Wert.</w:t>
      </w:r>
    </w:p>
    <w:p>
      <w:r>
        <w:rPr>
          <w:b/>
        </w:rPr>
        <w:t xml:space="preserve">Ergebnis: </w:t>
      </w:r>
      <w:r>
        <w:t>Tabakentwöhnung und Pulmonale Rehabilitation zeigten die günstigste Kombination aus Lastenreduktion und ökonomischem Wert. Grippeschutzimpfung und Pneumokokkenimpfung waren günstig, trotz begrenzter COPD-spezifischer Wirtschaftsevidenz. Triple-Inhalationstherapie zeigte kontextabhängigen Wert; Azithromycin und Langzeit-Sauerstofftherapie waren wirtschaftlich in Hochrisikopopulationen günstig. Mepolizumab und Ensifentrin zeigten klinischen Nutzen, aber weniger günstige ökonomische Werte bei getesteten Preisen.</w:t>
      </w:r>
    </w:p>
    <w:p>
      <w:r>
        <w:rPr>
          <w:b/>
          <w:sz w:val="19"/>
        </w:rPr>
        <w:t xml:space="preserve">Übertragbarkeit: </w:t>
      </w:r>
      <w:r>
        <w:rPr>
          <w:sz w:val="19"/>
        </w:rPr>
        <w:t>Deutschland: Unterschiedliche Systematik von DMP und Kostenübernahme</w:t>
      </w:r>
    </w:p>
    <w:p>
      <w:r>
        <w:rPr>
          <w:color w:val="5A7D3A"/>
          <w:sz w:val="18"/>
        </w:rPr>
        <w:t>https://pubmed.ncbi.nlm.nih.gov/42761905/</w:t>
      </w:r>
    </w:p>
    <w:p>
      <w:pPr>
        <w:pStyle w:val="Heading2"/>
      </w:pPr>
      <w:r>
        <w:t>COPD-Versorgung in Spanien: Klinische Pfade und Koordination</w:t>
      </w:r>
    </w:p>
    <w:p>
      <w:r>
        <w:rPr>
          <w:i/>
          <w:color w:val="666666"/>
          <w:sz w:val="18"/>
        </w:rPr>
        <w:t>Alcázar-Navarrete B et al.  ·  Int J Chron Obstruct Pulmon Dis  ·  13.09.2026  ·  PMID 42761771</w:t>
      </w:r>
    </w:p>
    <w:p>
      <w:r>
        <w:t>Delphi-Konsens zu Nachsorge von COPD-Patienten in der täglichen Praxis: 155 spanische Pneumologen einigten sich auf strukturierte Versorgungswege mit Differenzierung nach Risiko.</w:t>
      </w:r>
    </w:p>
    <w:p>
      <w:r>
        <w:rPr>
          <w:b/>
        </w:rPr>
        <w:t xml:space="preserve">Ergebnis: </w:t>
      </w:r>
      <w:r>
        <w:t>Über 80 % der Teilnehmer forderten explizitere Leitlinienempfehlungen zur Nachsorge. Konsens herrschte: Niedrig-Risiko-Patienten sollten in der Primärversorgung alle 12 Monate besucht werden; Hoch-Risiko-Patienten benötigen pneumologische Überwachung plus Pflegebesuche. Koordination mit primärer Versorgung und Pflege wird als essentiell erachtet, operationale Protokolle aber noch unklar.</w:t>
      </w:r>
    </w:p>
    <w:p>
      <w:r>
        <w:rPr>
          <w:b/>
          <w:sz w:val="19"/>
        </w:rPr>
        <w:t xml:space="preserve">Übertragbarkeit: </w:t>
      </w:r>
      <w:r>
        <w:rPr>
          <w:sz w:val="19"/>
        </w:rPr>
        <w:t>Spanien, vergleichbares System; DMP-Äquivalent fehlt</w:t>
      </w:r>
    </w:p>
    <w:p>
      <w:r>
        <w:rPr>
          <w:color w:val="5A7D3A"/>
          <w:sz w:val="18"/>
        </w:rPr>
        <w:t>https://pubmed.ncbi.nlm.nih.gov/42761771/</w:t>
      </w:r>
    </w:p>
    <w:p>
      <w:pPr>
        <w:pStyle w:val="Heading2"/>
      </w:pPr>
      <w:r>
        <w:t>Hämodialyse-Versorgung: Forschungslücken und Innovationsbedarf</w:t>
      </w:r>
    </w:p>
    <w:p>
      <w:r>
        <w:rPr>
          <w:i/>
          <w:color w:val="666666"/>
          <w:sz w:val="18"/>
        </w:rPr>
        <w:t>Huish S et al.  ·  BMC Nephrol  ·  18.09.2026  ·  PMID 42760520</w:t>
      </w:r>
    </w:p>
    <w:p>
      <w:r>
        <w:t>UK-Konsenstreffen von 56 Akteuren (Ärzte, Pflege, Patienten) zur Hämodialyse-Versorgung; kritische Bewertung von Studien und Technologien mit Fokus auf Patientenergebnisse.</w:t>
      </w:r>
    </w:p>
    <w:p>
      <w:r>
        <w:rPr>
          <w:b/>
        </w:rPr>
        <w:t xml:space="preserve">Ergebnis: </w:t>
      </w:r>
      <w:r>
        <w:t>NightLife-Studie zu erweiterten nächtlichen Hämodialyseschichten zeigte schlecht enrolliert und unkares primäres Lebensqualitäts-Ergebnis (MD 3,00 Punkte, 95%CI -12,4–18,3). PISCES: 4 g/Tag n-3-PUFA vs. Placebo reduzierte schwere kardiovaskuläre Ereignisse (0,31 vs. 0,61 pro 1000 Patiententage; HR 0,57, 95%CI 0,47–0,70) ohne klaren Gesamtüberlebensvorteil. Konsens: Inklusive Eligibilität, proportionale Finanzierung, patientenrelevante Outcomes nötig.</w:t>
      </w:r>
    </w:p>
    <w:p>
      <w:r>
        <w:rPr>
          <w:b/>
          <w:sz w:val="19"/>
        </w:rPr>
        <w:t xml:space="preserve">Übertragbarkeit: </w:t>
      </w:r>
      <w:r>
        <w:rPr>
          <w:sz w:val="19"/>
        </w:rPr>
        <w:t>UK-System mit NHS; teilweise übertragbar auf Versorgungsforschungsmethoden</w:t>
      </w:r>
    </w:p>
    <w:p>
      <w:r>
        <w:rPr>
          <w:color w:val="5A7D3A"/>
          <w:sz w:val="18"/>
        </w:rPr>
        <w:t>https://pubmed.ncbi.nlm.nih.gov/42760520/</w:t>
      </w:r>
    </w:p>
    <w:p>
      <w:pPr>
        <w:pStyle w:val="Heading2"/>
      </w:pPr>
      <w:r>
        <w:t>Neuromuskuläre Elektrostimulation bei Hämodialyse: Evidenz sehr unsicher</w:t>
      </w:r>
    </w:p>
    <w:p>
      <w:r>
        <w:rPr>
          <w:i/>
          <w:color w:val="666666"/>
          <w:sz w:val="18"/>
        </w:rPr>
        <w:t>Beresford L et al.  ·  Cochrane Database Syst Rev  ·  18.09.2026  ·  PMID 42757634</w:t>
      </w:r>
    </w:p>
    <w:p>
      <w:r>
        <w:t>Cochrane-Übersicht zu NMES bei Nierenversagen unter Dialyse (12 RCTs, 299 Teilnehmer); Fokus auf Muskelabbau, physikalische Leistung und kardiovaskuläre Outcomes.</w:t>
      </w:r>
    </w:p>
    <w:p>
      <w:r>
        <w:rPr>
          <w:b/>
        </w:rPr>
        <w:t xml:space="preserve">Ergebnis: </w:t>
      </w:r>
      <w:r>
        <w:t>Evidenzqualität von sehr niedrig bis niedrig. NMES-Effekt auf Lebensteilhabe sehr unsicher (MD 1,00, 95%CI -3,85–5,85, 1 Studie, 20 Teilnehmer). Sistolischer Blutdruck: minimal/kein Unterschied (MD 5,54, 95%CI -4,02–15,09, 4 Studien, 101 Teilnehmer, niedrige Sicherheit). Diastolischer Blutdruck: minimal/kein Unterschied (MD 2,72, 95%CI -2,85–8,29). Keine Studien zu Fatigue, Schmerz, Infektionen oder Gefäßzugang. Große, qualitativ hochwertige RCTs mit patientenzentrierten Outcomes erforderlich.</w:t>
      </w:r>
    </w:p>
    <w:p>
      <w:r>
        <w:rPr>
          <w:b/>
          <w:sz w:val="19"/>
        </w:rPr>
        <w:t xml:space="preserve">Übertragbarkeit: </w:t>
      </w:r>
      <w:r>
        <w:rPr>
          <w:sz w:val="19"/>
        </w:rPr>
        <w:t>Internationale Evidenzsynthese; Übertragbarkeit hängt von lokalen Dialyse-Ressourcen ab</w:t>
      </w:r>
    </w:p>
    <w:p>
      <w:r>
        <w:rPr>
          <w:color w:val="5A7D3A"/>
          <w:sz w:val="18"/>
        </w:rPr>
        <w:t>https://pubmed.ncbi.nlm.nih.gov/42757634/</w:t>
      </w:r>
    </w:p>
    <w:p>
      <w:pPr>
        <w:pStyle w:val="Heading2"/>
      </w:pPr>
      <w:r>
        <w:t>Biologika bei Eosinophilie: Variable Wirksamkeit je nach Blut-Eosinophil-Schwelle</w:t>
      </w:r>
    </w:p>
    <w:p>
      <w:r>
        <w:rPr>
          <w:i/>
          <w:color w:val="666666"/>
          <w:sz w:val="18"/>
        </w:rPr>
        <w:t>Brightling CE et al.  ·  Int J Chron Obstruct Pulmon Dis  ·  10.09.2026  ·  PMID 42741717</w:t>
      </w:r>
    </w:p>
    <w:p>
      <w:r>
        <w:t>Systematische Übersicht zu Biologika in moderater bis sehr schwerer COPD (Phase-2/3-Studien), Fokus auf Exazerbationen, Lungenfunktion und Lebensqualität je nach Blut-Eosinophil-Baseline.</w:t>
      </w:r>
    </w:p>
    <w:p>
      <w:r>
        <w:rPr>
          <w:b/>
        </w:rPr>
        <w:t xml:space="preserve">Ergebnis: </w:t>
      </w:r>
      <w:r>
        <w:t>Astegolimab, Benralizumab, Itepekimab, Tezepelumab reduzierten Exazerbationen nicht in der Gesamtpopulation. Bei Eosinophilen ≥300/μL profitierten Patienten von Benralizumab, Dupilumab und Mepolizumab mit Exazerbationsraten-Reduktionen; Lungenfunktion und Lebensqualität verbesserten sich v. a. bei höherer Eosinophilie. Die Wirksamkeit ist stark eosinophil-abhängig; unterhalb 150/μL kein Nutzen nachgewiesen.</w:t>
      </w:r>
    </w:p>
    <w:p>
      <w:r>
        <w:rPr>
          <w:b/>
          <w:sz w:val="19"/>
        </w:rPr>
        <w:t xml:space="preserve">Übertragbarkeit: </w:t>
      </w:r>
      <w:r>
        <w:rPr>
          <w:sz w:val="19"/>
        </w:rPr>
        <w:t>Internationale Studien, Ergebnisse populationsunabhängig</w:t>
      </w:r>
    </w:p>
    <w:p>
      <w:r>
        <w:rPr>
          <w:color w:val="5A7D3A"/>
          <w:sz w:val="18"/>
        </w:rPr>
        <w:t>https://pubmed.ncbi.nlm.nih.gov/42741717/</w:t>
      </w:r>
    </w:p>
    <w:p>
      <w:pPr>
        <w:pStyle w:val="Heading2"/>
      </w:pPr>
      <w:r>
        <w:t>CKD-Prävention: Albuminurie-Screening senkt Dialysebedarf deutlich</w:t>
      </w:r>
    </w:p>
    <w:p>
      <w:r>
        <w:rPr>
          <w:i/>
          <w:color w:val="666666"/>
          <w:sz w:val="18"/>
        </w:rPr>
        <w:t>Ortiz A et al.  ·  Nefrologia (Engl Ed)  ·  Aug. 2026  ·  PMID 42618196</w:t>
      </w:r>
    </w:p>
    <w:p>
      <w:r>
        <w:t>Spanischer Bericht der Nephrologiegesellschaft zeigt Heterogenität in KRT-Indikation über Regionen und fordert präventiven Fokus auf Albuminurie als Screeningkriterium.</w:t>
      </w:r>
    </w:p>
    <w:p>
      <w:r>
        <w:rPr>
          <w:b/>
        </w:rPr>
        <w:t xml:space="preserve">Ergebnis: </w:t>
      </w:r>
      <w:r>
        <w:t>CKD-Prävention durch Albuminurie-Screening kann KRT-Bedarf um fast drei Jahrzehnte verschieben. Inverse Korrelation zwischen KRT-Inzidenz/-Prävalenz und Lebenserwartung: Niedriger KRT-Bedarf ist Leistungsmerkmal besserer Gesamtgesundheit. Integration albuminurie-basiertes CKD-Screening in Darmkrebsscreening für Babyboomer könnte KRT-Welle einbremsen.</w:t>
      </w:r>
    </w:p>
    <w:p>
      <w:r>
        <w:rPr>
          <w:b/>
          <w:sz w:val="19"/>
        </w:rPr>
        <w:t xml:space="preserve">Übertragbarkeit: </w:t>
      </w:r>
      <w:r>
        <w:rPr>
          <w:sz w:val="19"/>
        </w:rPr>
        <w:t>Spanien, ähnliches Sozialversicherungssystem</w:t>
      </w:r>
    </w:p>
    <w:p>
      <w:r>
        <w:rPr>
          <w:color w:val="5A7D3A"/>
          <w:sz w:val="18"/>
        </w:rPr>
        <w:t>https://pubmed.ncbi.nlm.nih.gov/42618196/</w:t>
      </w:r>
    </w:p>
    <w:p>
      <w:pPr>
        <w:pStyle w:val="Heading1"/>
      </w:pPr>
      <w:r>
        <w:t>Aufgenommen am 19.09.2026</w:t>
      </w:r>
    </w:p>
    <w:p>
      <w:pPr>
        <w:pStyle w:val="Heading2"/>
      </w:pPr>
      <w:r>
        <w:t>Nierentransplantation senkt Fünf-Jahres-Sterblichkeit bei älteren dialysepflichtigen Patienten</w:t>
      </w:r>
    </w:p>
    <w:p>
      <w:r>
        <w:rPr>
          <w:i/>
          <w:color w:val="666666"/>
          <w:sz w:val="18"/>
        </w:rPr>
        <w:t>Hellemans R et al.  ·  BMJ  ·  18.09.2026  ·  PMID 42759976</w:t>
      </w:r>
    </w:p>
    <w:p>
      <w:r>
        <w:t>Europäische Kohortenstudie zur Überlebensfähigkeit von Nieren-Nierentransplantation vs. fortlaufende Dialyse bei 39.244 transplantierten und 64.036 dialysepflichtigen Patienten mit Fokus auf Spenderqualität und Patientenalter.</w:t>
      </w:r>
    </w:p>
    <w:p>
      <w:r>
        <w:rPr>
          <w:b/>
        </w:rPr>
        <w:t xml:space="preserve">Ergebnis: </w:t>
      </w:r>
      <w:r>
        <w:t>Standardkriterium-Spendernieren zeigten unabhängig vom Alter konsistent bessere Fünf-Jahres-Überlebensraten als Dialyse. Expandierte Kriterium-Spendernieren (besonders nach zirkulatorischem Hirntod) zeigten mit zunehmendem Alter geringere Überlebensvorteile: Bei 75-Jährigen war die Fünf-Jahres-Überlebensrate mit expandiertem Spender/zirkulatorischem Hirntod (59%) nicht signifikant besser als mit Dialyse (55%, HR 0,97, 95%-KI 0,70–1,33) und zeigt dreifach erhöhte Frühmortalität.</w:t>
      </w:r>
    </w:p>
    <w:p>
      <w:r>
        <w:rPr>
          <w:b/>
          <w:sz w:val="19"/>
        </w:rPr>
        <w:t xml:space="preserve">Übertragbarkeit: </w:t>
      </w:r>
      <w:r>
        <w:rPr>
          <w:sz w:val="19"/>
        </w:rPr>
        <w:t>Europäische Registerdaten, vergleichbare Gesundheitssysteme DACH und weitere</w:t>
      </w:r>
    </w:p>
    <w:p>
      <w:r>
        <w:rPr>
          <w:color w:val="5A7D3A"/>
          <w:sz w:val="18"/>
        </w:rPr>
        <w:t>https://pubmed.ncbi.nlm.nih.gov/42759976/</w:t>
      </w:r>
    </w:p>
    <w:p>
      <w:pPr>
        <w:pStyle w:val="Heading2"/>
      </w:pPr>
      <w:r>
        <w:t>Universeller DAA-Zugang in Frankreich hob Geschlechtsunterschiede in Hepatitis-C-Therapie auf</w:t>
      </w:r>
    </w:p>
    <w:p>
      <w:r>
        <w:rPr>
          <w:i/>
          <w:color w:val="666666"/>
          <w:sz w:val="18"/>
        </w:rPr>
        <w:t>Marcellin F et al.  ·  Liver Int  ·  Okt. 2026  ·  PMID 42757681</w:t>
      </w:r>
    </w:p>
    <w:p>
      <w:r>
        <w:t>Französische Kohorte mit 97.817 chronisch HCV-Infizierte vor und nach August 2017 (Universalzugang zu direktwirkenden Antiviralen) zur Analyse von Geschlechtsdisparitäten bei Therapieeinleitung.</w:t>
      </w:r>
    </w:p>
    <w:p>
      <w:r>
        <w:rPr>
          <w:b/>
        </w:rPr>
        <w:t xml:space="preserve">Ergebnis: </w:t>
      </w:r>
      <w:r>
        <w:t>Vor Universalzugang: Frauen hatten niedrigere DAA-Initiierungsrate (24,5 vs. 26,1/100 Personenjahre, p&lt;0,001). Nach Universalzugang (2017–2022): Frauen zeigten höhere Rate (22,3 vs. 18,5/100 PY, p&lt;0,001). Disparität umgekehrt – Effekt wurde in multivariablen Modellen bestätigt. Erklärung: Unterschiedliche Krankheitsprogression zwischen Männern und Frauen.</w:t>
      </w:r>
    </w:p>
    <w:p>
      <w:r>
        <w:rPr>
          <w:b/>
          <w:sz w:val="19"/>
        </w:rPr>
        <w:t xml:space="preserve">Übertragbarkeit: </w:t>
      </w:r>
      <w:r>
        <w:rPr>
          <w:sz w:val="19"/>
        </w:rPr>
        <w:t>Frankreich, vergleichbare Sozialversicherung, Versorgungspolitik-Lesson</w:t>
      </w:r>
    </w:p>
    <w:p>
      <w:r>
        <w:rPr>
          <w:color w:val="5A7D3A"/>
          <w:sz w:val="18"/>
        </w:rPr>
        <w:t>https://pubmed.ncbi.nlm.nih.gov/42757681/</w:t>
      </w:r>
    </w:p>
    <w:p>
      <w:pPr>
        <w:pStyle w:val="Heading2"/>
      </w:pPr>
      <w:r>
        <w:t>Insomnie bei COPD-Patienten korreliert mit schlechterer Gesundheit und mehr Exazerbationen</w:t>
      </w:r>
    </w:p>
    <w:p>
      <w:r>
        <w:rPr>
          <w:i/>
          <w:color w:val="666666"/>
          <w:sz w:val="18"/>
        </w:rPr>
        <w:t>Ais-Daza A et al.  ·  Chron Respir Dis  ·  18.09.2026  ·  PMID 42757587</w:t>
      </w:r>
    </w:p>
    <w:p>
      <w:r>
        <w:t>Querschnittstudie mit 103 COPD-Patienten (77 Männer, 26 Frauen) zur Prävalenz und Auswirkungen von Insomnie auf Gesundheitsstatus, Lungenfunktion, Angst/Depression und Exazerbationen.</w:t>
      </w:r>
    </w:p>
    <w:p>
      <w:r>
        <w:rPr>
          <w:b/>
        </w:rPr>
        <w:t xml:space="preserve">Ergebnis: </w:t>
      </w:r>
      <w:r>
        <w:t>Insomnien prävalent bei 38,8% (32,5% mild, 55,0% moderat, 12,5% schwer). Keine Unterschiede in Lungenfunktion, aber Insomnie-Patienten zeigten: schlechterer CAT-Score (19,13±8,63 vs. 11,32±8,13; p&lt;0,001), höhere Tagesmüdigkeit (5,23±3,10 vs. 3,84±2,31; p=0,011), mehr Angst (61,5% vs. 31,2%; OR 3,533) und mehr Exazerbationen (50% vs. 28,6%; OR 2,5; p=0,037). CAT-Score war unabhängiger Prädiktor (OR 1,083; 95%-KI 1,011–1,160; p=0,023).</w:t>
      </w:r>
    </w:p>
    <w:p>
      <w:r>
        <w:rPr>
          <w:b/>
          <w:sz w:val="19"/>
        </w:rPr>
        <w:t xml:space="preserve">Übertragbarkeit: </w:t>
      </w:r>
      <w:r>
        <w:rPr>
          <w:sz w:val="19"/>
        </w:rPr>
        <w:t>Spanien, Primärversorgung, übertragbar auf deutsches COPD-Management</w:t>
      </w:r>
    </w:p>
    <w:p>
      <w:r>
        <w:rPr>
          <w:color w:val="5A7D3A"/>
          <w:sz w:val="18"/>
        </w:rPr>
        <w:t>https://pubmed.ncbi.nlm.nih.gov/42757587/</w:t>
      </w:r>
    </w:p>
    <w:p>
      <w:pPr>
        <w:pStyle w:val="Heading2"/>
      </w:pPr>
      <w:r>
        <w:t>Hochfrequente Thoraxoszillation + Kurzwelle verbessert COPD-Exazerbationen mehr als Einzeltherapie</w:t>
      </w:r>
    </w:p>
    <w:p>
      <w:r>
        <w:rPr>
          <w:i/>
          <w:color w:val="666666"/>
          <w:sz w:val="18"/>
        </w:rPr>
        <w:t>Li Q et al.  ·  Can Respir J  ·  2026  ·  PMID 42757565</w:t>
      </w:r>
    </w:p>
    <w:p>
      <w:r>
        <w:t>Randomisierte kontrollierte Dreigruppen-Studie mit 89 COPD-Exazerbationspatienten zu Kombination von Kurzwellentherapie (SWD) mit hochfrequenter Thoraxoszillation (HFCWO) vs. HFCWO allein vs. Standardbehandlung über 72 Stunden.</w:t>
      </w:r>
    </w:p>
    <w:p>
      <w:r>
        <w:rPr>
          <w:b/>
        </w:rPr>
        <w:t xml:space="preserve">Ergebnis: </w:t>
      </w:r>
      <w:r>
        <w:t>Nach 72 h: Kombinierte Therapie zeigte signifikant größere Reduktion CAT- und BCSS-Scores vs. HFCWO allein und Kontrolle (p&lt;0,05). Arterielle Blutgaswerte (PaO₂, PaCO₂) und Sputumclearance (24h-Volumen, Neutrophilen- und Eosinophilen-%) waren in der Kombinationsgruppe besser. Keine signifikanten Unterschiede in Lungenfunktion (FEV₁, FVC) oder Entzündungsmarkern (IL-6, CRP, WBC). Thermotherapie als adjuvante Strategie wirksam.</w:t>
      </w:r>
    </w:p>
    <w:p>
      <w:r>
        <w:rPr>
          <w:b/>
          <w:sz w:val="19"/>
        </w:rPr>
        <w:t xml:space="preserve">Übertragbarkeit: </w:t>
      </w:r>
      <w:r>
        <w:rPr>
          <w:sz w:val="19"/>
        </w:rPr>
        <w:t>China-Daten, aber Technik und Outcome-Parameter universell</w:t>
      </w:r>
    </w:p>
    <w:p>
      <w:r>
        <w:rPr>
          <w:color w:val="5A7D3A"/>
          <w:sz w:val="18"/>
        </w:rPr>
        <w:t>https://pubmed.ncbi.nlm.nih.gov/42757565/</w:t>
      </w:r>
    </w:p>
    <w:p>
      <w:pPr>
        <w:pStyle w:val="Heading2"/>
      </w:pPr>
      <w:r>
        <w:t>Chronisch Kranke brauchen maßgeschneiderte Betriebliche Gesundheitsförderung</w:t>
      </w:r>
    </w:p>
    <w:p>
      <w:r>
        <w:rPr>
          <w:i/>
          <w:color w:val="666666"/>
          <w:sz w:val="18"/>
        </w:rPr>
        <w:t>Schaller A et al.  ·  Front Public Health  ·  03.09.2026  ·  PMID 42756024</w:t>
      </w:r>
    </w:p>
    <w:p>
      <w:r>
        <w:t>Qualitative Interviewstudie mit 15 beschäftigten Patienten mit chronischen Erkrankungen zu ihren Bedürfnissen bezüglich bewegungsförderlicher betrieblicher Gesundheitsprogramme.</w:t>
      </w:r>
    </w:p>
    <w:p>
      <w:r>
        <w:rPr>
          <w:b/>
        </w:rPr>
        <w:t xml:space="preserve">Ergebnis: </w:t>
      </w:r>
      <w:r>
        <w:t>Vier Themenkomplexe identifiziert: Subjektives Gesundheitsverständnis, arbeitsplatzbedingte Herausforderungen (physisch und psychisch) mit Bewältigungsstrategien (Bewegung, Ernährung, soziales Umfeld, Entspannung), WHP-Erfahrungen und konkrete Wünsche. Zentrale Erkenntnis: BGF für chronisch Kranke muss mental, physisch und soziale Einschränkungen berücksichtigen und an arbeitsplatzspezifische Belastungen angepasst sein.</w:t>
      </w:r>
    </w:p>
    <w:p>
      <w:r>
        <w:rPr>
          <w:b/>
          <w:sz w:val="19"/>
        </w:rPr>
        <w:t xml:space="preserve">Übertragbarkeit: </w:t>
      </w:r>
      <w:r>
        <w:rPr>
          <w:sz w:val="19"/>
        </w:rPr>
        <w:t>Deutschland, Bundeswehr-Universität München, direkt übertragbar</w:t>
      </w:r>
    </w:p>
    <w:p>
      <w:r>
        <w:rPr>
          <w:color w:val="5A7D3A"/>
          <w:sz w:val="18"/>
        </w:rPr>
        <w:t>https://pubmed.ncbi.nlm.nih.gov/42756024/</w:t>
      </w:r>
    </w:p>
    <w:p>
      <w:pPr>
        <w:pStyle w:val="Heading2"/>
      </w:pPr>
      <w:r>
        <w:t>Erhöhtes TSH und Schilddrüsenhormonresistenz erhöhen CKD-Risiko bei Diabetes</w:t>
      </w:r>
    </w:p>
    <w:p>
      <w:r>
        <w:rPr>
          <w:i/>
          <w:color w:val="666666"/>
          <w:sz w:val="18"/>
        </w:rPr>
        <w:t>Huang H et al.  ·  Ren Fail  ·  18.09.2026  ·  PMID 42755292</w:t>
      </w:r>
    </w:p>
    <w:p>
      <w:r>
        <w:t>Querschnittstudie bei 2.759 Patienten mit Typ-2-Diabetes ohne periphere Schilddrüsendysfunktion zur Assoziation zwischen zentraler Schilddrüsenhormonresistenz und chronischer Nierenerkrankung.</w:t>
      </w:r>
    </w:p>
    <w:p>
      <w:r>
        <w:rPr>
          <w:b/>
        </w:rPr>
        <w:t xml:space="preserve">Ergebnis: </w:t>
      </w:r>
      <w:r>
        <w:t>Erhöhtes TSH (oberstes Quartil) und erhöhte zentrale Schilddrüsenhormonresistenz (TFQI, TT4RI, TSHI) waren unabhängig mit erhöhtem CKD-Risiko assoziiert. TSH-Quartil 4: OR 1,50 (95%-KI 1,08–2,07). Nicht-lineare Assoziation nachgewiesen. Nach Propensity-Score-Matching (n=684 Paare): OR 1,66 (95%-KI 1,21–2,27). Leicht verfügbare Indizes könnten für Früh-Risikostratifikation nützlich sein.</w:t>
      </w:r>
    </w:p>
    <w:p>
      <w:r>
        <w:rPr>
          <w:b/>
          <w:sz w:val="19"/>
        </w:rPr>
        <w:t xml:space="preserve">Übertragbarkeit: </w:t>
      </w:r>
      <w:r>
        <w:rPr>
          <w:sz w:val="19"/>
        </w:rPr>
        <w:t>China-Daten, aber Endokrinologie-Nierenpathologie universell gültig</w:t>
      </w:r>
    </w:p>
    <w:p>
      <w:r>
        <w:rPr>
          <w:color w:val="5A7D3A"/>
          <w:sz w:val="18"/>
        </w:rPr>
        <w:t>https://pubmed.ncbi.nlm.nih.gov/42755292/</w:t>
      </w:r>
    </w:p>
    <w:p>
      <w:pPr>
        <w:pStyle w:val="Heading2"/>
      </w:pPr>
      <w:r>
        <w:t>Zentralvenöse Katheter bei Dialyse über 80 Jahren erhöhen Sterblichkeit gegenüber arteriovenösen Fisteln um den Faktor 3</w:t>
      </w:r>
    </w:p>
    <w:p>
      <w:r>
        <w:rPr>
          <w:i/>
          <w:color w:val="666666"/>
          <w:sz w:val="18"/>
        </w:rPr>
        <w:t>Park JU et al.  ·  Korean J Intern Med  ·  01.09.2026  ·  PMID 42754529</w:t>
      </w:r>
    </w:p>
    <w:p>
      <w:r>
        <w:t>Koreanische nationale Kohortenstudie mit 79.286 Hämodialysepatienten (2012–2021) zur Mortalität nach Vascular-Access-Typ, stratifiziert nach Alter (inkl. Patienten über 80 Jahren).</w:t>
      </w:r>
    </w:p>
    <w:p>
      <w:r>
        <w:rPr>
          <w:b/>
        </w:rPr>
        <w:t xml:space="preserve">Ergebnis: </w:t>
      </w:r>
      <w:r>
        <w:t>Zentrale venöse Katheter (CVC) assoziiert mit höchster Mortalität. Vs. arteriovenöse Fistel (AVF): aHR 3,54 (95%-KI 3,43–3,65). Auch bei Patienten über 80 Jahren und über 90 Jahren erhöht (aHR 3,30; 95%-KI 3,14–3,47 bzw. 3,18; 95%-KI 2,65–3,82). CVC vs. Graft ebenfalls erhöhtes Risiko über alle Altersgruppen. Hohes Alter sollte keine Kontraindikation für AVF sein – individualisierte Entscheidungen erforderlich.</w:t>
      </w:r>
    </w:p>
    <w:p>
      <w:r>
        <w:rPr>
          <w:b/>
          <w:sz w:val="19"/>
        </w:rPr>
        <w:t xml:space="preserve">Übertragbarkeit: </w:t>
      </w:r>
      <w:r>
        <w:rPr>
          <w:sz w:val="19"/>
        </w:rPr>
        <w:t>Südkorea, Routineversorgungsdaten, Altersdemographie vergleichbar</w:t>
      </w:r>
    </w:p>
    <w:p>
      <w:r>
        <w:rPr>
          <w:color w:val="5A7D3A"/>
          <w:sz w:val="18"/>
        </w:rPr>
        <w:t>https://pubmed.ncbi.nlm.nih.gov/42754529/</w:t>
      </w:r>
    </w:p>
    <w:p>
      <w:pPr>
        <w:pStyle w:val="Heading1"/>
      </w:pPr>
      <w:r>
        <w:t>Aufgenommen am 18.09.2026</w:t>
      </w:r>
    </w:p>
    <w:p>
      <w:pPr>
        <w:pStyle w:val="Heading2"/>
      </w:pPr>
      <w:r>
        <w:t>Salzrestriktion senkte Nierenkomplikationen nur in frühem CKD-Stadium</w:t>
      </w:r>
    </w:p>
    <w:p>
      <w:r>
        <w:rPr>
          <w:i/>
          <w:color w:val="666666"/>
          <w:sz w:val="18"/>
        </w:rPr>
        <w:t>Miyauchi H et al.  ·  Nephrology (Carlton)  ·  Sept. 2026  ·  PMID 42754360</w:t>
      </w:r>
    </w:p>
    <w:p>
      <w:r>
        <w:t>Retrospektive Kohortenstudie mit 462 älteren Patienten (≥75 Jahre) untersuchte Zusammenhang zwischen Salzaufnahme und nierenspezifischen Outcomes nach CKD-Stadium stratifiziert.</w:t>
      </w:r>
    </w:p>
    <w:p>
      <w:r>
        <w:rPr>
          <w:b/>
        </w:rPr>
        <w:t xml:space="preserve">Ergebnis: </w:t>
      </w:r>
      <w:r>
        <w:t>In CKD-Stadium 3: höhere Salzaufnahme mit erhöhtem Risiko assoziiert (aHR 2,70; 95%-KI 1,02–7,12). In Stadien 4–5: keine signifikante Assoziation. Salzrestriktion scheint in frühen CKD-Stadien bei älteren Erwachsenen nutzbringend zu sein.</w:t>
      </w:r>
    </w:p>
    <w:p>
      <w:r>
        <w:rPr>
          <w:b/>
          <w:sz w:val="19"/>
        </w:rPr>
        <w:t xml:space="preserve">Übertragbarkeit: </w:t>
      </w:r>
      <w:r>
        <w:rPr>
          <w:sz w:val="19"/>
        </w:rPr>
        <w:t>Japan; ältere Population, Stadium-spezifische Empfehlung relevant für Deutsche Praxis.</w:t>
      </w:r>
    </w:p>
    <w:p>
      <w:r>
        <w:rPr>
          <w:color w:val="5A7D3A"/>
          <w:sz w:val="18"/>
        </w:rPr>
        <w:t>https://pubmed.ncbi.nlm.nih.gov/42754360/</w:t>
      </w:r>
    </w:p>
    <w:p>
      <w:pPr>
        <w:pStyle w:val="Heading2"/>
      </w:pPr>
      <w:r>
        <w:t>Symptombelastung korrelierte stark negativ mit Lebensqualität bei Chronischen Erkrankungen</w:t>
      </w:r>
    </w:p>
    <w:p>
      <w:r>
        <w:rPr>
          <w:i/>
          <w:color w:val="666666"/>
          <w:sz w:val="18"/>
        </w:rPr>
        <w:t>Shrestha H et al.  ·  Inquiry  ·  17.09.2026  ·  PMID 42751809</w:t>
      </w:r>
    </w:p>
    <w:p>
      <w:r>
        <w:t>Querschnittstudie mit 164 hospitalisierten Erwachsenen mit verschiedenen chronischen Erkrankungen untersuchte Symptombelastung (ESAS-r) und Lebensqualität (SF-36) sowie deren Assoziation.</w:t>
      </w:r>
    </w:p>
    <w:p>
      <w:r>
        <w:rPr>
          <w:b/>
        </w:rPr>
        <w:t xml:space="preserve">Ergebnis: </w:t>
      </w:r>
      <w:r>
        <w:t>92,1 % hatten hohe Symptombelastung (Median 50,5; IQR 40–57,5); 65,9 % berichteten schlechte Lebensqualität. Starke negative Korrelation zwischen Symptombelastung und Lebensqualität (rs=–0,620; 95%-KI [–0,941 bis –0,641]; p&lt;0,001). Symptombelastung war mit Komorbiditäten und Krankenhausaufenthalten signifikant assoziiert.</w:t>
      </w:r>
    </w:p>
    <w:p>
      <w:r>
        <w:rPr>
          <w:b/>
          <w:sz w:val="19"/>
        </w:rPr>
        <w:t xml:space="preserve">Übertragbarkeit: </w:t>
      </w:r>
      <w:r>
        <w:rPr>
          <w:sz w:val="19"/>
        </w:rPr>
        <w:t>Nepal; zeigt universelles Muster bei Mehrfacherkrankung, Screening-Bedarf bei deutschen Chronikern.</w:t>
      </w:r>
    </w:p>
    <w:p>
      <w:r>
        <w:rPr>
          <w:color w:val="5A7D3A"/>
          <w:sz w:val="18"/>
        </w:rPr>
        <w:t>https://pubmed.ncbi.nlm.nih.gov/42751809/</w:t>
      </w:r>
    </w:p>
    <w:p>
      <w:pPr>
        <w:pStyle w:val="Heading2"/>
      </w:pPr>
      <w:r>
        <w:t>Grünflächen verringerten COPD-Risiko um 13–17 Prozent</w:t>
      </w:r>
    </w:p>
    <w:p>
      <w:r>
        <w:rPr>
          <w:i/>
          <w:color w:val="666666"/>
          <w:sz w:val="18"/>
        </w:rPr>
        <w:t>Chen Y et al.  ·  Int J Chron Obstruct Pulmon Dis  ·  12.09.2026  ·  PMID 42751338</w:t>
      </w:r>
    </w:p>
    <w:p>
      <w:r>
        <w:t>Prospektive Kohortenstudie mit 385.502 UK-Biobank-Teilnehmern untersuchte, ob Wohngebiete mit Grün- und Blauflächen das COPD-Inzidenzrisiko senken.</w:t>
      </w:r>
    </w:p>
    <w:p>
      <w:r>
        <w:rPr>
          <w:b/>
        </w:rPr>
        <w:t xml:space="preserve">Ergebnis: </w:t>
      </w:r>
      <w:r>
        <w:t>Höhere Exposition gegenüber Grünflächen (HR 0,87; 95%-KI 0,83–0,92) und natürlicher Umgebung (HR 0,83; 95%-KI 0,78–0,87) waren mit niedrigerem COPD-Risiko verbunden, unabhängig von genetischer Anfälligkeit. Die Assoziation deutet auf präventives Potenzial von Umweltmaßnahmen hin.</w:t>
      </w:r>
    </w:p>
    <w:p>
      <w:r>
        <w:rPr>
          <w:b/>
          <w:sz w:val="19"/>
        </w:rPr>
        <w:t xml:space="preserve">Übertragbarkeit: </w:t>
      </w:r>
      <w:r>
        <w:rPr>
          <w:sz w:val="19"/>
        </w:rPr>
        <w:t>UK-Kohortenstudie; Umweltfaktoren gelten international, Transfer auf Präventionsinfrastruktur hängt von Planung ab.</w:t>
      </w:r>
    </w:p>
    <w:p>
      <w:r>
        <w:rPr>
          <w:color w:val="5A7D3A"/>
          <w:sz w:val="18"/>
        </w:rPr>
        <w:t>https://pubmed.ncbi.nlm.nih.gov/42751338/</w:t>
      </w:r>
    </w:p>
    <w:p>
      <w:pPr>
        <w:pStyle w:val="Heading2"/>
      </w:pPr>
      <w:r>
        <w:t>Höhere Ballaststoffaufnahme senkte COPD-Prävalenz und Entzündungsmarker</w:t>
      </w:r>
    </w:p>
    <w:p>
      <w:r>
        <w:rPr>
          <w:i/>
          <w:color w:val="666666"/>
          <w:sz w:val="18"/>
        </w:rPr>
        <w:t>Tu X et al.  ·  Int J Chron Obstruct Pulmon Dis  ·  11.09.2026  ·  PMID 42751152</w:t>
      </w:r>
    </w:p>
    <w:p>
      <w:r>
        <w:t>Zweistufige epidemiologische und klinische Kohortenstudie (NHANES 2013–2018 und 331 klinische Teilnehmer) untersuchte Assoziation zwischen Ballaststoffaufnahme und COPD sowie Entzündungsmarkern und zirkulierendem Lipopolysaccharid.</w:t>
      </w:r>
    </w:p>
    <w:p>
      <w:r>
        <w:rPr>
          <w:b/>
        </w:rPr>
        <w:t xml:space="preserve">Ergebnis: </w:t>
      </w:r>
      <w:r>
        <w:t>NHANES: höhere energieadjustierte Ballaststoffaufnahme war mit niedrigerer COPD-Prävalenz assoziiert. Klinische Kohorte: höhere Ballaststoffaufnahme bei COPD-Patienten korrelierte mit niedrigeren Entzündungsmarkern und zirkulierendem LPS. WBC und Neutrophile zeigten statistische Signifikanz mit jeweils 1,36 % und 4,22 % indirektem Effekt.</w:t>
      </w:r>
    </w:p>
    <w:p>
      <w:r>
        <w:rPr>
          <w:b/>
          <w:sz w:val="19"/>
        </w:rPr>
        <w:t xml:space="preserve">Übertragbarkeit: </w:t>
      </w:r>
      <w:r>
        <w:rPr>
          <w:sz w:val="19"/>
        </w:rPr>
        <w:t>USA (NHANES) und klinische Kohortendaten; Ernährungsintervention ist übertragbar, prospektive Studien erforderlich.</w:t>
      </w:r>
    </w:p>
    <w:p>
      <w:r>
        <w:rPr>
          <w:color w:val="5A7D3A"/>
          <w:sz w:val="18"/>
        </w:rPr>
        <w:t>https://pubmed.ncbi.nlm.nih.gov/42751152/</w:t>
      </w:r>
    </w:p>
    <w:p>
      <w:pPr>
        <w:pStyle w:val="Heading2"/>
      </w:pPr>
      <w:r>
        <w:t>HIV/Hepatitis-B-Koinfektion verschlechterte Lebensqualität erheblich</w:t>
      </w:r>
    </w:p>
    <w:p>
      <w:r>
        <w:rPr>
          <w:i/>
          <w:color w:val="666666"/>
          <w:sz w:val="18"/>
        </w:rPr>
        <w:t>Okeke E et al.  ·  BMC Infect Dis  ·  07.08.2026  ·  PMID 42750015</w:t>
      </w:r>
    </w:p>
    <w:p>
      <w:r>
        <w:t>Querschnittsanalyse von 884 Erwachsenen mit chronischer Hepatitis B in West- und Zentralafrika untersuchte gesundheitsbezogene Lebensqualität (SF-36) stratifiziert nach Behandlungsstatus und HIV-Status.</w:t>
      </w:r>
    </w:p>
    <w:p>
      <w:r>
        <w:rPr>
          <w:b/>
        </w:rPr>
        <w:t xml:space="preserve">Ergebnis: </w:t>
      </w:r>
      <w:r>
        <w:t>Mittlere Lebensqualität 77,8 (SD 16,9) insgesamt, aber signifikant niedriger bei HIV/HBV-Koinfektion unbehandelt (59,38 vs. 80,56 bei HBV-monoinfiziert; p&lt;0,01). Erhöhte Fibrosescores, Komorbiditäten und höheres Alter waren mit schlechterer Lebensqualität assoziiert; Energie war am meisten beeinträchtigt.</w:t>
      </w:r>
    </w:p>
    <w:p>
      <w:r>
        <w:rPr>
          <w:b/>
          <w:sz w:val="19"/>
        </w:rPr>
        <w:t xml:space="preserve">Übertragbarkeit: </w:t>
      </w:r>
      <w:r>
        <w:rPr>
          <w:sz w:val="19"/>
        </w:rPr>
        <w:t>Subsaharische Länder mit hoher HBV/HIV-Prävalenz; zeigt Bedarf für integrierte Versorgung auch bei deutscher Mehrfacherkrankung.</w:t>
      </w:r>
    </w:p>
    <w:p>
      <w:r>
        <w:rPr>
          <w:color w:val="5A7D3A"/>
          <w:sz w:val="18"/>
        </w:rPr>
        <w:t>https://pubmed.ncbi.nlm.nih.gov/42750015/</w:t>
      </w:r>
    </w:p>
    <w:p>
      <w:pPr>
        <w:pStyle w:val="Heading2"/>
      </w:pPr>
      <w:r>
        <w:t>Gemeindevolontäre steigerten Hepatitis-B-Therapietreue um 25 Prozentpunkte</w:t>
      </w:r>
    </w:p>
    <w:p>
      <w:r>
        <w:rPr>
          <w:i/>
          <w:color w:val="666666"/>
          <w:sz w:val="18"/>
        </w:rPr>
        <w:t>Western Pac Surveill Response J  ·  15.07.2026  ·  PMID 42746034</w:t>
      </w:r>
    </w:p>
    <w:p>
      <w:r>
        <w:t>Pilotstudie in Kiribati testete Gemeindevolontäre zur Verbesserung der Adhärenz zur Hepatitis-B-Antivirentherapie bei schwangeren Frauen und Patienten mit Zirrhose von Januar bis August 2025.</w:t>
      </w:r>
    </w:p>
    <w:p>
      <w:r>
        <w:rPr>
          <w:b/>
        </w:rPr>
        <w:t xml:space="preserve">Ergebnis: </w:t>
      </w:r>
      <w:r>
        <w:t>Therapietreue war 77,4 % in der Interventionsgruppe vs. 52,5 % in der Kontrollgruppe (p&lt;0,001); bei schwangeren Frauen 89,7 %; Adhärenz &gt;80 % erreichten 58,8 % der Intervention vs. 34,1 % der Kontrollen (p=0,0012). Die Strategie ist vielversprechend, aber vorläufig ohne Matching zwischen Gruppen.</w:t>
      </w:r>
    </w:p>
    <w:p>
      <w:r>
        <w:rPr>
          <w:b/>
          <w:sz w:val="19"/>
        </w:rPr>
        <w:t xml:space="preserve">Übertragbarkeit: </w:t>
      </w:r>
      <w:r>
        <w:rPr>
          <w:sz w:val="19"/>
        </w:rPr>
        <w:t>Pazifikischer Inselstaat mit hoher Prävalenz; Modell könnte auch andere chronische Erkrankungen erreichen, Transfer hängt von lokalen Ressourcen ab.</w:t>
      </w:r>
    </w:p>
    <w:p>
      <w:r>
        <w:rPr>
          <w:color w:val="5A7D3A"/>
          <w:sz w:val="18"/>
        </w:rPr>
        <w:t>https://pubmed.ncbi.nlm.nih.gov/42746034/</w:t>
      </w:r>
    </w:p>
    <w:p>
      <w:pPr>
        <w:pStyle w:val="Heading2"/>
      </w:pPr>
      <w:r>
        <w:t>SP16-Behandlung könnte Akute-Nierenschädigung bei Herzoperation verhindern</w:t>
      </w:r>
    </w:p>
    <w:p>
      <w:r>
        <w:rPr>
          <w:i/>
          <w:color w:val="666666"/>
          <w:sz w:val="18"/>
        </w:rPr>
        <w:t>Jobst-Schwan T et al.  ·  Trials  ·  28.08.2026  ·  PMID 42665834</w:t>
      </w:r>
    </w:p>
    <w:p>
      <w:r>
        <w:t>Phase-IIa-Studie prüft Sicherheit und Wirksamkeit von SP16 (LRP1-Agonist) zur Prävention akuter Nierenschädigung bei 120 Hochrisiko-Patienten mit chronischer Nierenkrankheit unter Herzoperation.</w:t>
      </w:r>
    </w:p>
    <w:p>
      <w:r>
        <w:rPr>
          <w:b/>
        </w:rPr>
        <w:t xml:space="preserve">Ergebnis: </w:t>
      </w:r>
      <w:r>
        <w:t>Geplante Primärendpunkte: Inzidenz akuter Nierenschädigung innerhalb 7 Tage postoperativ und Häufigkeit von Nebenwirkungen in 72 h. Rekrutierung geplant ab August 2026; Phase-IIa-Ergebnisse ausstehend. Frühe Phase-I-Sicherheit war gegeben.</w:t>
      </w:r>
    </w:p>
    <w:p>
      <w:r>
        <w:rPr>
          <w:b/>
          <w:sz w:val="19"/>
        </w:rPr>
        <w:t xml:space="preserve">Übertragbarkeit: </w:t>
      </w:r>
      <w:r>
        <w:rPr>
          <w:sz w:val="19"/>
        </w:rPr>
        <w:t>Deutsches Zentrum (Erlangen); experimentelles Stadium, externe Validierung erforderlich.</w:t>
      </w:r>
    </w:p>
    <w:p>
      <w:r>
        <w:rPr>
          <w:color w:val="5A7D3A"/>
          <w:sz w:val="18"/>
        </w:rPr>
        <w:t>https://pubmed.ncbi.nlm.nih.gov/42665834/</w:t>
      </w:r>
    </w:p>
    <w:p>
      <w:pPr>
        <w:pStyle w:val="Heading1"/>
      </w:pPr>
      <w:r>
        <w:t>Aufgenommen am 17.09.2026</w:t>
      </w:r>
    </w:p>
    <w:p>
      <w:pPr>
        <w:pStyle w:val="Heading2"/>
      </w:pPr>
      <w:r>
        <w:t>Orale Mehrfacherkrankungen bei älteren Menschen erfordern differenzierte Zahngesundheits-Strategien</w:t>
      </w:r>
    </w:p>
    <w:p>
      <w:r>
        <w:rPr>
          <w:i/>
          <w:color w:val="666666"/>
          <w:sz w:val="18"/>
        </w:rPr>
        <w:t>Jiang L et al.  ·  Clin Interv Aging  ·  11.09.2026  ·  PMID 42746399</w:t>
      </w:r>
    </w:p>
    <w:p>
      <w:r>
        <w:t>Latente-Klassen-Analyse identifizierte unterschiedliche Muster oraler Mehrfacherkrankung (Karies, Zahnfleischerkrankung, Zahnverlust) bei 423 älteren Chinesen (65–74 Jahre) und untersuchte soziale Determinanten der Klassenzugehörigkeit.</w:t>
      </w:r>
    </w:p>
    <w:p>
      <w:r>
        <w:rPr>
          <w:b/>
        </w:rPr>
        <w:t xml:space="preserve">Ergebnis: </w:t>
      </w:r>
      <w:r>
        <w:t>Drei Subtypen wurden identifiziert: Klasse 1 (23,9 %, niedrige Erkrankungslast); Klasse 2 (41,6 %, parodontaldominant mit schwerem Zahnverlust); Klasse 3 (34,5 %, kariesdominant). Älterung, Rauchen und Zahnarztbesuche waren assoziiert mit Klasse 2. Älterung, weibliches Geschlecht, urbaner Wohnort und Zahnarztbesuche waren mit Klasse 3 verbunden. Die Befunde legen subtyp-spezifische statt einheitlicher Zahngesundheitsstrategien nahe und zeigen, dass orale Mehrfacherkrankung unter älteren Menschen heterogen ist.</w:t>
      </w:r>
    </w:p>
    <w:p>
      <w:r>
        <w:rPr>
          <w:b/>
          <w:sz w:val="19"/>
        </w:rPr>
        <w:t xml:space="preserve">Übertragbarkeit: </w:t>
      </w:r>
      <w:r>
        <w:rPr>
          <w:sz w:val="19"/>
        </w:rPr>
        <w:t>China, aber methodisches Vorbild für Mehrfacherkrankungs-Phänotypisierung in allen Ländern übertragbar</w:t>
      </w:r>
    </w:p>
    <w:p>
      <w:r>
        <w:rPr>
          <w:color w:val="5A7D3A"/>
          <w:sz w:val="18"/>
        </w:rPr>
        <w:t>https://pubmed.ncbi.nlm.nih.gov/42746399/</w:t>
      </w:r>
    </w:p>
    <w:p>
      <w:pPr>
        <w:pStyle w:val="Heading2"/>
      </w:pPr>
      <w:r>
        <w:t>Post-Hepatitis-C-Lebersteifheit prognostiziert Dekompensation stärker als deren Veränderung</w:t>
      </w:r>
    </w:p>
    <w:p>
      <w:r>
        <w:rPr>
          <w:i/>
          <w:color w:val="666666"/>
          <w:sz w:val="18"/>
        </w:rPr>
        <w:t>Cerini F et al.  ·  Liver Int  ·  Okt. 2026  ·  PMID 42745428</w:t>
      </w:r>
    </w:p>
    <w:p>
      <w:r>
        <w:t>Retrospektive Kohortenstudie bei 135 Patienten mit HCV-bedingter kompensierter fortgeschrittener Lebererkrankung, die eine direkt wirkende antivirale Therapie (DAA) erhielten, prüfte, ob absolute post-SVR-Lebersteifheit (LSM) oder deren Veränderung den Verlauf nach Viruseradikation besser prognostizieren.</w:t>
      </w:r>
    </w:p>
    <w:p>
      <w:r>
        <w:rPr>
          <w:b/>
        </w:rPr>
        <w:t xml:space="preserve">Ergebnis: </w:t>
      </w:r>
      <w:r>
        <w:t>Bei medianer 60 Monate (95%-KI 52–69) Nachverfolgung entwickelten 8 % (11/135) leberbezogene Ereignisse. Absolute post-Therapie-LSM zeigte bessere diskriminative Fähigkeit (tAUC Jahr 2: 0,86; Jahr 3: 0,82) als deren Veränderung. Follow-up-LSM &gt; 20 kPa war unabhängig mit leberbezogenen Ereignissen assoziiert (SHR 5,61; p = 0,007), während Baveno-VII-Kriterien für LSM-Regression nicht signifikant waren (p = 0,097). Dies unterstützt wiederholte post-SVR-LSM-Bewertung zur Risikostratifizierung.</w:t>
      </w:r>
    </w:p>
    <w:p>
      <w:r>
        <w:rPr>
          <w:b/>
          <w:sz w:val="19"/>
        </w:rPr>
        <w:t xml:space="preserve">Übertragbarkeit: </w:t>
      </w:r>
      <w:r>
        <w:rPr>
          <w:sz w:val="19"/>
        </w:rPr>
        <w:t>Schweiz (Bern), deutschsprachiger Raum, vergleichbare hepatologische Versorgungsstandards</w:t>
      </w:r>
    </w:p>
    <w:p>
      <w:r>
        <w:rPr>
          <w:color w:val="5A7D3A"/>
          <w:sz w:val="18"/>
        </w:rPr>
        <w:t>https://pubmed.ncbi.nlm.nih.gov/42745428/</w:t>
      </w:r>
    </w:p>
    <w:p>
      <w:pPr>
        <w:pStyle w:val="Heading2"/>
      </w:pPr>
      <w:r>
        <w:t>Retrograde Datenerfassung zu pädiatrischen Patienten mit CKD-Anämie ermöglicht Registerstudie</w:t>
      </w:r>
    </w:p>
    <w:p>
      <w:r>
        <w:rPr>
          <w:i/>
          <w:color w:val="666666"/>
          <w:sz w:val="18"/>
        </w:rPr>
        <w:t>Mountcastle S et al.  ·  BMC Nephrol  ·  27.08.2026  ·  PMID 42717324</w:t>
      </w:r>
    </w:p>
    <w:p>
      <w:r>
        <w:t>Machbarkeitsstudie zur Durchführbarkeit der retrospektiven Erhebung klinischer Charakteristika, Behandlungshistorie und Nebenwirkungen bei pädiatrischen Dialyse-Patienten mit Anämie aus Krankenakten in UK und USA.</w:t>
      </w:r>
    </w:p>
    <w:p>
      <w:r>
        <w:rPr>
          <w:b/>
        </w:rPr>
        <w:t xml:space="preserve">Ergebnis: </w:t>
      </w:r>
      <w:r>
        <w:t>Unter 50 eingeschlossenen Patienten (36 UK, 14 USA, Median 9 Jahre) lag die mittlere Hemoglobin-Baseline bei 10,0 (2,0) g/dL. 46 % erhielten Eisentherapie mit der erythropoese-stimulierenden Therapie. Die mediane Nachverfolgung betrug 52,1 Wochen; 20 unerwünschte Ereignisse traten bei 9 (18 %) Patienten auf (alle schwerwiegend). Die Studie demonstrierte Machbarkeit, aus medizinischen Unterlagen klinische Charakteristika, Behandlungshistorie und Nebenwirkungen bei pädiatrischen Patienten mit CKD-Anämie zu erfassen.</w:t>
      </w:r>
    </w:p>
    <w:p>
      <w:r>
        <w:rPr>
          <w:b/>
          <w:sz w:val="19"/>
        </w:rPr>
        <w:t xml:space="preserve">Übertragbarkeit: </w:t>
      </w:r>
      <w:r>
        <w:rPr>
          <w:sz w:val="19"/>
        </w:rPr>
        <w:t>UK und USA, begrenzte Übertragbarkeit auf Deutschland; wesentlich für internationale Vergleichbarkeit von Pädiatrie-Versorgung</w:t>
      </w:r>
    </w:p>
    <w:p>
      <w:r>
        <w:rPr>
          <w:color w:val="5A7D3A"/>
          <w:sz w:val="18"/>
        </w:rPr>
        <w:t>https://pubmed.ncbi.nlm.nih.gov/42717324/</w:t>
      </w:r>
    </w:p>
    <w:p>
      <w:pPr>
        <w:pStyle w:val="Heading2"/>
      </w:pPr>
      <w:r>
        <w:t>Multimorbidität-Muster beeinflussen Therapieerfolg bei älteren Menschen mit Frailty</w:t>
      </w:r>
    </w:p>
    <w:p>
      <w:r>
        <w:rPr>
          <w:i/>
          <w:color w:val="666666"/>
          <w:sz w:val="18"/>
        </w:rPr>
        <w:t>Vetrano DL et al.  ·  Nat Aging  ·  31.08.2026  ·  PMID 42675189</w:t>
      </w:r>
    </w:p>
    <w:p>
      <w:r>
        <w:t>Die Studie prüfte, ob die Wirksamkeit eines multikomponentalen Lebensstil-Interventionsprogramms (körperliche Aktivität mit technologischer Unterstützung und Ernährungsberatung) bei älteren Menschen mit Frailty und Mehrfacherkrankungen je nach Erkrankungsmuster variiert.</w:t>
      </w:r>
    </w:p>
    <w:p>
      <w:r>
        <w:rPr>
          <w:b/>
        </w:rPr>
        <w:t xml:space="preserve">Ergebnis: </w:t>
      </w:r>
      <w:r>
        <w:t>Insgesamt reduzierte die Intervention das Risiko für Mobilitätsbehinderung oder Tod um 22 % (HR 0,78; 95%-KI 0,66–0,92). Bei Patienten mit psychiatrischem Erkrankungsmuster war der Nutzen besonders groß (HR 0,65; 95%-KI 0,47–0,92); diese Gruppe gewann im Median 3,09 Monate ohne Mobilitätseinschränkung oder Tod. Bei kardio-metabolischen und respiratorischen Mustern zeigten sich keine statistisch signifikanten Unterschiede. Dies zeigt, dass Erkrankungsmuster die Therapieansprechbarkeit beeinflussen und Risikostratifizierung für präventive Maßnahmen wichtig ist.</w:t>
      </w:r>
    </w:p>
    <w:p>
      <w:r>
        <w:rPr>
          <w:b/>
          <w:sz w:val="19"/>
        </w:rPr>
        <w:t xml:space="preserve">Übertragbarkeit: </w:t>
      </w:r>
      <w:r>
        <w:rPr>
          <w:sz w:val="19"/>
        </w:rPr>
        <w:t>Europäische Studie (Italien, Schweden, Deutschland), vergleichbare Struktur von Versorgung und Vorsorge</w:t>
      </w:r>
    </w:p>
    <w:p>
      <w:r>
        <w:rPr>
          <w:color w:val="5A7D3A"/>
          <w:sz w:val="18"/>
        </w:rPr>
        <w:t>https://pubmed.ncbi.nlm.nih.gov/42675189/</w:t>
      </w:r>
    </w:p>
    <w:p>
      <w:pPr>
        <w:pStyle w:val="Heading2"/>
      </w:pPr>
      <w:r>
        <w:t>Strukturierte COPD-Versorgung mit früher Diagnose und Triple-Inhalation senkt Mortalität</w:t>
      </w:r>
    </w:p>
    <w:p>
      <w:r>
        <w:rPr>
          <w:i/>
          <w:color w:val="666666"/>
          <w:sz w:val="18"/>
        </w:rPr>
        <w:t>Rogliani P et al.  ·  Intern Emerg Med  ·  21.08.2026  ·  PMID 42629534</w:t>
      </w:r>
    </w:p>
    <w:p>
      <w:r>
        <w:t>Italienische Expertengruppe entwickelte praktische Empfehlungen zur Optimierung der COPD-Versorgung im italienischen Gesundheitssystem, basierend auf aktuellen Daten und dem Problem der Unterdiagnose.</w:t>
      </w:r>
    </w:p>
    <w:p>
      <w:r>
        <w:rPr>
          <w:b/>
        </w:rPr>
        <w:t xml:space="preserve">Ergebnis: </w:t>
      </w:r>
      <w:r>
        <w:t>Die Empfehlungen betonen: (1) strukturierte Fallsuche in Hausarztpraxen mit Spirometrie zur frühen Diagnose; (2) Standardisierung der Identifikation unkontrollierter Patienten durch Symptom-Scores und indirekte Marker (rezidivierende Antibiotika- oder Kortikosteroid-Nutzung); (3) Single-Inhaler-Triple-Therapie (SITT) als einzige pharmakologische Strategie, die nachweislich Exazerbationen und Gesamtmortalität bei Hochrisikopatienten senkt. Die Auswirkung auf kardiopulmonale Dekompensation wird diskutiert. Ein integrierter Versorgungspfad und Überwindung therapeutischer Trägheit sind zentral.</w:t>
      </w:r>
    </w:p>
    <w:p>
      <w:r>
        <w:rPr>
          <w:b/>
          <w:sz w:val="19"/>
        </w:rPr>
        <w:t xml:space="preserve">Übertragbarkeit: </w:t>
      </w:r>
      <w:r>
        <w:rPr>
          <w:sz w:val="19"/>
        </w:rPr>
        <w:t>Italien, vergleichbare Verbraucherperspektive und Dokumentationssysteme wie Deutschland</w:t>
      </w:r>
    </w:p>
    <w:p>
      <w:r>
        <w:rPr>
          <w:color w:val="5A7D3A"/>
          <w:sz w:val="18"/>
        </w:rPr>
        <w:t>https://pubmed.ncbi.nlm.nih.gov/42629534/</w:t>
      </w:r>
    </w:p>
    <w:p>
      <w:pPr>
        <w:pStyle w:val="Heading2"/>
      </w:pPr>
      <w:r>
        <w:t>Retinale Gefäßzeichen vorhersagen Depressionsrisiko und nachfolgende chronische Erkrankungen</w:t>
      </w:r>
    </w:p>
    <w:p>
      <w:r>
        <w:rPr>
          <w:i/>
          <w:color w:val="666666"/>
          <w:sz w:val="18"/>
        </w:rPr>
        <w:t>Wang Y et al.  ·  J Affect Disord  ·  01.12.2026  ·  PMID 42551563</w:t>
      </w:r>
    </w:p>
    <w:p>
      <w:r>
        <w:t>Longitudinale Kohortenstudie untersuchte, ob retinale Gefäßstrukturen (quantifiziert aus Fundusphotographien) das Risiko für künftige Depression und darauffolgende chronische Erkrankungen in der UK Biobank vorhersagen.</w:t>
      </w:r>
    </w:p>
    <w:p>
      <w:r>
        <w:rPr>
          <w:b/>
        </w:rPr>
        <w:t xml:space="preserve">Ergebnis: </w:t>
      </w:r>
      <w:r>
        <w:t>Über mittlere 11,3 Jahre Follow-up waren breitere retinale Venen mit erhöhtem Depressionsrisiko assoziiert (zentrales retinales Venenäquivalent: HR 1,25, 95%-KI 1,06–1,48; Venenbreite: HR 1,31, 95%-KI 1,12–1,54). Bei 1.507 Patienten mit Depression ohne vorbestehende chronische Erkrankungen war niedrigere arterielle Gefäßdichte mit erhöhtem Gesamtrisiko für chronische Erkrankung assoziiert (HR 0,71, 95%-KI 0,54–0,95), während erhöhte retinale Gefäßtortuosität mit kardiovaskulärem Risiko verbunden war (HR 2,24–1,90). Retinale Gefäßneuroimaging könnte als nicht-invasiver Biomarker-Kandidat für Risikostratifizierung dienen.</w:t>
      </w:r>
    </w:p>
    <w:p>
      <w:r>
        <w:rPr>
          <w:b/>
          <w:sz w:val="19"/>
        </w:rPr>
        <w:t xml:space="preserve">Übertragbarkeit: </w:t>
      </w:r>
      <w:r>
        <w:rPr>
          <w:sz w:val="19"/>
        </w:rPr>
        <w:t>UK Biobank mit standardisierter digitaler Bildgebung, übertragbar auf deutsche Versorgungsforschung mit Screeningpotenzialen</w:t>
      </w:r>
    </w:p>
    <w:p>
      <w:r>
        <w:rPr>
          <w:color w:val="5A7D3A"/>
          <w:sz w:val="18"/>
        </w:rPr>
        <w:t>https://pubmed.ncbi.nlm.nih.gov/42551563/</w:t>
      </w:r>
    </w:p>
    <w:p>
      <w:pPr>
        <w:pStyle w:val="Heading1"/>
      </w:pPr>
      <w:r>
        <w:t>Aufgenommen am 16.09.2026</w:t>
      </w:r>
    </w:p>
    <w:p>
      <w:pPr>
        <w:pStyle w:val="Heading2"/>
      </w:pPr>
      <w:r>
        <w:t>Case Finding für COPD nach Lungenkrebs-Screening wird von Patienten akzeptiert</w:t>
      </w:r>
    </w:p>
    <w:p>
      <w:r>
        <w:rPr>
          <w:i/>
          <w:color w:val="666666"/>
          <w:sz w:val="18"/>
        </w:rPr>
        <w:t>Phillips OR et al.  ·  BMJ Open Respir Res  ·  15.09.2026  ·  PMID 42744412</w:t>
      </w:r>
    </w:p>
    <w:p>
      <w:r>
        <w:t>Qualitative Studie mit 15 teilstrukturierten Interviews: Untersuchung der Wahrnehmung von Patienten zum Case Finding für COPD nach Lungenkrebs-Screening mittels mobiler Forschungseinheit in Nottinghamshire.</w:t>
      </w:r>
    </w:p>
    <w:p>
      <w:r>
        <w:rPr>
          <w:b/>
        </w:rPr>
        <w:t xml:space="preserve">Ergebnis: </w:t>
      </w:r>
      <w:r>
        <w:t>Kernfaktoren für positive Bewertung: Lob für klinisches Personal, Zugänglichkeit und Atmosphäre der Forschungseinheit sowie Zweckmäßigkeit des Case Finding. Hauptproblem: Mangelnde Kommunikation mit Hausarztpraxen in den Wochen nach der Bewertung. Teilnehmer befürworteten eine landesweite Ausweitung des Ansatzes.</w:t>
      </w:r>
    </w:p>
    <w:p>
      <w:r>
        <w:rPr>
          <w:b/>
          <w:sz w:val="19"/>
        </w:rPr>
        <w:t xml:space="preserve">Übertragbarkeit: </w:t>
      </w:r>
      <w:r>
        <w:rPr>
          <w:sz w:val="19"/>
        </w:rPr>
        <w:t>UK (England), vergleichbar mit deutschem primärversorgtem System.</w:t>
      </w:r>
    </w:p>
    <w:p>
      <w:r>
        <w:rPr>
          <w:color w:val="5A7D3A"/>
          <w:sz w:val="18"/>
        </w:rPr>
        <w:t>https://pubmed.ncbi.nlm.nih.gov/42744412/</w:t>
      </w:r>
    </w:p>
    <w:p>
      <w:pPr>
        <w:pStyle w:val="Heading2"/>
      </w:pPr>
      <w:r>
        <w:t>Pharmazeut-geführte Interventionen verbessern Adhärenz zu Phosphatbindern und Phosphorkontrolle</w:t>
      </w:r>
    </w:p>
    <w:p>
      <w:r>
        <w:rPr>
          <w:i/>
          <w:color w:val="666666"/>
          <w:sz w:val="18"/>
        </w:rPr>
        <w:t>Trapp A et al.  ·  Nephrol Nurs J  ·  Juli 2026  ·  PMID 42742309</w:t>
      </w:r>
    </w:p>
    <w:p>
      <w:r>
        <w:t>Prospektive dreiphasige Studie: Evaluierung von pharmazeut-geführten Interventionen auf die Einhaltung von Phosphatbinder-Therapie und Phosphorkontrolle in einer Dialyse-Population mit Hemo-, Peritoneal- und Heimdialyse.</w:t>
      </w:r>
    </w:p>
    <w:p>
      <w:r>
        <w:rPr>
          <w:b/>
        </w:rPr>
        <w:t xml:space="preserve">Ergebnis: </w:t>
      </w:r>
      <w:r>
        <w:t>Pharmazeut-Integration in das Programm führte zu verbesserter Adhärenz, besserer Phosphorkontrolle und reduzierten Diskrepanzen in der Medikation. Das Programm verbesserte auch Ergebnisse und Workflow-Effizienz.</w:t>
      </w:r>
    </w:p>
    <w:p>
      <w:r>
        <w:rPr>
          <w:b/>
          <w:sz w:val="19"/>
        </w:rPr>
        <w:t xml:space="preserve">Übertragbarkeit: </w:t>
      </w:r>
      <w:r>
        <w:rPr>
          <w:sz w:val="19"/>
        </w:rPr>
        <w:t>USA (Oregon, Montana), aber Adhärenz-Intervention auf deutsches Dialyse-System übertragbar.</w:t>
      </w:r>
    </w:p>
    <w:p>
      <w:r>
        <w:rPr>
          <w:color w:val="5A7D3A"/>
          <w:sz w:val="18"/>
        </w:rPr>
        <w:t>https://pubmed.ncbi.nlm.nih.gov/42742309/</w:t>
      </w:r>
    </w:p>
    <w:p>
      <w:pPr>
        <w:pStyle w:val="Heading2"/>
      </w:pPr>
      <w:r>
        <w:t>Frühere Exazerbationen und höhere GOLD-Grade sagen künftige COPD-Exazerbationen voraus</w:t>
      </w:r>
    </w:p>
    <w:p>
      <w:r>
        <w:rPr>
          <w:i/>
          <w:color w:val="666666"/>
          <w:sz w:val="18"/>
        </w:rPr>
        <w:t>Song Q et al.  ·  Ann Med  ·  15.09.2026  ·  PMID 42741955</w:t>
      </w:r>
    </w:p>
    <w:p>
      <w:r>
        <w:t>Retrospektive Kohortenstudie an 1.076 COPD-Patienten unter Doppeltherapie (LABA/LAMA): Analyse von Risikofaktoren für zukünftige Exazerbationen während einjähriger Nachverfolgung.</w:t>
      </w:r>
    </w:p>
    <w:p>
      <w:r>
        <w:rPr>
          <w:b/>
        </w:rPr>
        <w:t xml:space="preserve">Ergebnis: </w:t>
      </w:r>
      <w:r>
        <w:t>284 Patienten (26,4%) erlebten während der Nachverfolgung Exazerbationen. Unabhängige Risikofaktoren: GOLD-Grade 3–4 (OR 1,343, 95%-KI 1,016–1,776), eine Exazerbation im Vorjahr (OR 1,763, 95%-KI 1,248–2,489) und ≥2 Exazerbationen im Vorjahr (OR 2,514, 95%-KI 1,792–3,525). In der Subgruppe mit Hypertonie (Gruppe B) war die Hypertonie ebenfalls Risikofaktor (OR 3,400).</w:t>
      </w:r>
    </w:p>
    <w:p>
      <w:r>
        <w:rPr>
          <w:b/>
          <w:sz w:val="19"/>
        </w:rPr>
        <w:t xml:space="preserve">Übertragbarkeit: </w:t>
      </w:r>
      <w:r>
        <w:rPr>
          <w:sz w:val="19"/>
        </w:rPr>
        <w:t>China, aber COPD-Klassifikation nach GOLD international standardisiert.</w:t>
      </w:r>
    </w:p>
    <w:p>
      <w:r>
        <w:rPr>
          <w:color w:val="5A7D3A"/>
          <w:sz w:val="18"/>
        </w:rPr>
        <w:t>https://pubmed.ncbi.nlm.nih.gov/42741955/</w:t>
      </w:r>
    </w:p>
    <w:p>
      <w:pPr>
        <w:pStyle w:val="Heading2"/>
      </w:pPr>
      <w:r>
        <w:t>CKD-Prävalenz stabil, aber Komorbiditäten zeigen divergente Trends über 20 Jahre</w:t>
      </w:r>
    </w:p>
    <w:p>
      <w:r>
        <w:rPr>
          <w:i/>
          <w:color w:val="666666"/>
          <w:sz w:val="18"/>
        </w:rPr>
        <w:t>Farag YM et al.  ·  Ren Fail  ·  14.09.2026  ·  PMID 42736589</w:t>
      </w:r>
    </w:p>
    <w:p>
      <w:r>
        <w:t>Trend-Analyse von 1999–2018 mit NHANES-Daten: Untersuchung der CKD-Prävalenz und neun Komorbiditäten (Adipositas, Diabetes, Hypertonie, Anämie etc.) nach eGFR- und Albuminurie-Kategorien.</w:t>
      </w:r>
    </w:p>
    <w:p>
      <w:r>
        <w:rPr>
          <w:b/>
        </w:rPr>
        <w:t xml:space="preserve">Ergebnis: </w:t>
      </w:r>
      <w:r>
        <w:t>CKD-Prävalenz stabil bei 20% bei Erwachsenen ≥20 Jahren. Adipositas und Diabetes nahmen signifikant zu, Hypertonie, Anämie, Hyperkalämie und kardiovaskuläre Erkrankung blieben stabil. Hypertriglyzeridämie und Hypercholesterinämie zeigten initialen Anstieg, dann Plateau. Ungleiche Verteilung der Komorbiditäten über KDIGO-eGFR- und Albuminurie-Unterkategorien, mit erhöhtem Risiko in G3bA2- und G4A1-Patienten.</w:t>
      </w:r>
    </w:p>
    <w:p>
      <w:r>
        <w:rPr>
          <w:b/>
          <w:sz w:val="19"/>
        </w:rPr>
        <w:t xml:space="preserve">Übertragbarkeit: </w:t>
      </w:r>
      <w:r>
        <w:rPr>
          <w:sz w:val="19"/>
        </w:rPr>
        <w:t>USA, aber KDIGO-Klassifikation international standardisiert; Epidemiologie informativ für Ressourcenplanung in Deutschland.</w:t>
      </w:r>
    </w:p>
    <w:p>
      <w:r>
        <w:rPr>
          <w:color w:val="5A7D3A"/>
          <w:sz w:val="18"/>
        </w:rPr>
        <w:t>https://pubmed.ncbi.nlm.nih.gov/42736589/</w:t>
      </w:r>
    </w:p>
    <w:p>
      <w:pPr>
        <w:pStyle w:val="Heading2"/>
      </w:pPr>
      <w:r>
        <w:t>Mehrfacherkrankung verschärft sich durch Einsamkeit und soziale Inaktivität</w:t>
      </w:r>
    </w:p>
    <w:p>
      <w:r>
        <w:rPr>
          <w:i/>
          <w:color w:val="666666"/>
          <w:sz w:val="18"/>
        </w:rPr>
        <w:t>Zhou Y et al.  ·  Nat Commun  ·  15.08.2026  ·  PMID 42736300</w:t>
      </w:r>
    </w:p>
    <w:p>
      <w:r>
        <w:t>Längsschnittstudie in 19 Ländern an Personen ab 45 Jahren: Untersucht wurden bidirektionale Assoziationen zwischen körperlicher Mehrfacherkrankung und Einsamkeit sowie die vermittelnde Rolle sozialer Inaktivität.</w:t>
      </w:r>
    </w:p>
    <w:p>
      <w:r>
        <w:rPr>
          <w:b/>
        </w:rPr>
        <w:t xml:space="preserve">Ergebnis: </w:t>
      </w:r>
      <w:r>
        <w:t>Mehrfacherkrankung erhöhte das Risiko für Einsamkeit (adjustierte HR 1,25, 95%-KI 1,20–1,30). Einsamkeit erhöhte wiederum das Risiko für Mehrfacherkrankung (adjustierte HR 1,10, 95%-KI 1,05–1,17). Soziale Inaktivität vermittelte diese Assoziation teilweise. Diese Befunde deuten auf einen Teufelskreis hin, in dem jede Erkrankung die andere verschärft.</w:t>
      </w:r>
    </w:p>
    <w:p>
      <w:r>
        <w:rPr>
          <w:b/>
          <w:sz w:val="19"/>
        </w:rPr>
        <w:t xml:space="preserve">Übertragbarkeit: </w:t>
      </w:r>
      <w:r>
        <w:rPr>
          <w:sz w:val="19"/>
        </w:rPr>
        <w:t>UK und europäische Daten, aber Mehrlän-der-Analyse; Vergleichbarkeit länderspezifisch unterschiedlich.</w:t>
      </w:r>
    </w:p>
    <w:p>
      <w:r>
        <w:rPr>
          <w:color w:val="5A7D3A"/>
          <w:sz w:val="18"/>
        </w:rPr>
        <w:t>https://pubmed.ncbi.nlm.nih.gov/42736300/</w:t>
      </w:r>
    </w:p>
    <w:p>
      <w:pPr>
        <w:pStyle w:val="Heading2"/>
      </w:pPr>
      <w:r>
        <w:t>Metabolische Biomarker sagen Übergang zur kardiometabolischen Mehrfacherkrankung voraus</w:t>
      </w:r>
    </w:p>
    <w:p>
      <w:r>
        <w:rPr>
          <w:i/>
          <w:color w:val="666666"/>
          <w:sz w:val="18"/>
        </w:rPr>
        <w:t>Sun M et al.  ·  Maturitas  ·  22.08.2026  ·  PMID 42664616</w:t>
      </w:r>
    </w:p>
    <w:p>
      <w:r>
        <w:t>Analyse von 79.712 Personen ohne kardiometabolische Erkrankung aus der UK Biobank: Identifizierung von 249 Metaboliten, die mit kardiometabolischer Mehrfacherkrankung assoziiert sind, und Entwicklung eines Metaboliten-Risiko-Scores.</w:t>
      </w:r>
    </w:p>
    <w:p>
      <w:r>
        <w:rPr>
          <w:b/>
        </w:rPr>
        <w:t xml:space="preserve">Ergebnis: </w:t>
      </w:r>
      <w:r>
        <w:t>183 der 249 Metaboliten waren mit kardiometabolischer Mehrfacherkrankung assoziiert. Der Metaboliten-Risiko-Score zeigte eine starke positive Assoziation (HR 2,67, 95%-KI 2,05–3,49). Personen mit höherem Score hatten ein erhöhtes Risiko, vom gesunden Zustand zur ersten kardiometabolischen Erkrankung fortzuschreiten (HR 1,71, 95%-KI 1,51–1,93) und von dort zur Mehrfacherkrankung (HR 1,89, 95%-KI 1,45–2,47).</w:t>
      </w:r>
    </w:p>
    <w:p>
      <w:r>
        <w:rPr>
          <w:b/>
          <w:sz w:val="19"/>
        </w:rPr>
        <w:t xml:space="preserve">Übertragbarkeit: </w:t>
      </w:r>
      <w:r>
        <w:rPr>
          <w:sz w:val="19"/>
        </w:rPr>
        <w:t>UK Biobank, aber Metaboliten-Verfahren international nicht standardisiert; Übertragbarkeit auf Deutschland begrenzt.</w:t>
      </w:r>
    </w:p>
    <w:p>
      <w:r>
        <w:rPr>
          <w:color w:val="5A7D3A"/>
          <w:sz w:val="18"/>
        </w:rPr>
        <w:t>https://pubmed.ncbi.nlm.nih.gov/42664616/</w:t>
      </w:r>
    </w:p>
    <w:p>
      <w:pPr>
        <w:pStyle w:val="Heading1"/>
      </w:pPr>
      <w:r>
        <w:t>Aufgenommen am 15.09.2026</w:t>
      </w:r>
    </w:p>
    <w:p>
      <w:pPr>
        <w:pStyle w:val="Heading2"/>
      </w:pPr>
      <w:r>
        <w:t>Medikamenten-Adhärenz bei Mehrfacherkrankung nur 14,7 % – Schlechte Refill-Planung Hauptbarriere</w:t>
      </w:r>
    </w:p>
    <w:p>
      <w:r>
        <w:rPr>
          <w:i/>
          <w:color w:val="666666"/>
          <w:sz w:val="18"/>
        </w:rPr>
        <w:t>Alturki H et al.  ·  East Mediterr Health J  ·  03.09.2026  ·  PMID 42734196</w:t>
      </w:r>
    </w:p>
    <w:p>
      <w:r>
        <w:t>Querschnittsstudie zur Therapietreue bei 339 saudi-arabischen Erwachsenen (≥45 Jahre) mit mindestens zwei chronischen Erkrankungen; Identifikation von Gründen für Nicht-Adhärenz.</w:t>
      </w:r>
    </w:p>
    <w:p>
      <w:r>
        <w:rPr>
          <w:b/>
        </w:rPr>
        <w:t xml:space="preserve">Ergebnis: </w:t>
      </w:r>
      <w:r>
        <w:t>Nur 14,7 % der Teilnehmer waren adhärent; Prävalenz von Nicht-Adhärenz &gt;85 %; wichtigste Gründe: schlechte Refill-Planung (68,1 %) und Medikamentenskipping bei Besserung (22,1 %); jüngeres Alter (45-54 Jahre) mit höherem Nicht-Adhärenz-Risiko (OR=3,78; 95%-KI: 1,36-10,49).</w:t>
      </w:r>
    </w:p>
    <w:p>
      <w:r>
        <w:rPr>
          <w:b/>
          <w:sz w:val="19"/>
        </w:rPr>
        <w:t xml:space="preserve">Übertragbarkeit: </w:t>
      </w:r>
      <w:r>
        <w:rPr>
          <w:sz w:val="19"/>
        </w:rPr>
        <w:t>Vergleichbare Sozialversicherungsstrukturen, Mehrfacherkrankung-Fokus zentral</w:t>
      </w:r>
    </w:p>
    <w:p>
      <w:r>
        <w:rPr>
          <w:color w:val="5A7D3A"/>
          <w:sz w:val="18"/>
        </w:rPr>
        <w:t>https://pubmed.ncbi.nlm.nih.gov/42734196/</w:t>
      </w:r>
    </w:p>
    <w:p>
      <w:pPr>
        <w:pStyle w:val="Heading2"/>
      </w:pPr>
      <w:r>
        <w:t>Mehrfacherkrankungen assoziiert mit Debilität und Schmerz – 51 % der Bevölkerung lehnen den Begriff ab</w:t>
      </w:r>
    </w:p>
    <w:p>
      <w:r>
        <w:rPr>
          <w:i/>
          <w:color w:val="666666"/>
          <w:sz w:val="18"/>
        </w:rPr>
        <w:t>Bellass S et al.  ·  Health Expect  ·  Okt. 2026  ·  PMID 42734167</w:t>
      </w:r>
    </w:p>
    <w:p>
      <w:r>
        <w:t>Qualitative Analyse von 141 Berichten aus dem Mass Observation Project zu öffentlichen Wahrnehmungen von Mehrfacherkrankungen; Kategorisierung von Reaktionen (adoptierend, übersehend, widerständig, ablehnend).</w:t>
      </w:r>
    </w:p>
    <w:p>
      <w:r>
        <w:rPr>
          <w:b/>
        </w:rPr>
        <w:t xml:space="preserve">Ergebnis: </w:t>
      </w:r>
      <w:r>
        <w:t>53,9 % der Respondenten lebten mit Mehrfacherkrankungen; alle assoziierte Mehrfacherkrankungen mit belastenden verkörperten Erfahrungen wie Schmerz und Debilität; 51,8 % übernahmen das Konstrukt, 11,3 % lehnten es ab wegen Besorgnis über Nutzen, Inkongruenz mit persönlicher Erfahrung oder Medikalisierung; Implikationen für Forschungseinschluss und Interventions-Akzeptanz.</w:t>
      </w:r>
    </w:p>
    <w:p>
      <w:r>
        <w:rPr>
          <w:b/>
          <w:sz w:val="19"/>
        </w:rPr>
        <w:t xml:space="preserve">Übertragbarkeit: </w:t>
      </w:r>
      <w:r>
        <w:rPr>
          <w:sz w:val="19"/>
        </w:rPr>
        <w:t>Großbritannien, qualitative Evidenz zu Versorgungsbedarf und Patient Engagement</w:t>
      </w:r>
    </w:p>
    <w:p>
      <w:r>
        <w:rPr>
          <w:color w:val="5A7D3A"/>
          <w:sz w:val="18"/>
        </w:rPr>
        <w:t>https://pubmed.ncbi.nlm.nih.gov/42734167/</w:t>
      </w:r>
    </w:p>
    <w:p>
      <w:pPr>
        <w:pStyle w:val="Heading2"/>
      </w:pPr>
      <w:r>
        <w:t>Hochintensives Ausdauertraining steigert Nahrungsaufnahme bei COPD um 117 kcal/Tag</w:t>
      </w:r>
    </w:p>
    <w:p>
      <w:r>
        <w:rPr>
          <w:i/>
          <w:color w:val="666666"/>
          <w:sz w:val="18"/>
        </w:rPr>
        <w:t>Ikeuchi T et al.  ·  Int J Chron Obstruct Pulmon Dis  ·  09.09.2026  ·  PMID 42733827</w:t>
      </w:r>
    </w:p>
    <w:p>
      <w:r>
        <w:t>Prospektive Beobachtungsstudie zu Veränderungen der Nahrungsaufnahme und Leptin-Werte während eines 6-Wochen-Pulmonale-Rehabilitation-Programms mit exploratorischen Analysen nach Erreichung hochintensiven Trainings.</w:t>
      </w:r>
    </w:p>
    <w:p>
      <w:r>
        <w:rPr>
          <w:b/>
        </w:rPr>
        <w:t xml:space="preserve">Ergebnis: </w:t>
      </w:r>
      <w:r>
        <w:t>Nahrungsaufnahme stieg signifikant von 1367 auf 1484 kcal/Tag (p=0,01); Leptin änderte sich insgesamt nicht signifikant, aber bei Patienten mit hoher Trainingsintensität zeigte sich ein stärkerer Leptin-Rückgang (B=-4,47, p&lt;0,01).</w:t>
      </w:r>
    </w:p>
    <w:p>
      <w:r>
        <w:rPr>
          <w:b/>
          <w:sz w:val="19"/>
        </w:rPr>
        <w:t xml:space="preserve">Übertragbarkeit: </w:t>
      </w:r>
      <w:r>
        <w:rPr>
          <w:sz w:val="19"/>
        </w:rPr>
        <w:t>Japan, publiziert international, Pulmonale Rehabilitation als etabliertes Konzept</w:t>
      </w:r>
    </w:p>
    <w:p>
      <w:r>
        <w:rPr>
          <w:color w:val="5A7D3A"/>
          <w:sz w:val="18"/>
        </w:rPr>
        <w:t>https://pubmed.ncbi.nlm.nih.gov/42733827/</w:t>
      </w:r>
    </w:p>
    <w:p>
      <w:pPr>
        <w:pStyle w:val="Heading2"/>
      </w:pPr>
      <w:r>
        <w:t>INHBC-Protein vermittelt 1,3 % des Typ-2-Diabetes-zu-Nierenkrankheit-Effekts</w:t>
      </w:r>
    </w:p>
    <w:p>
      <w:r>
        <w:rPr>
          <w:i/>
          <w:color w:val="666666"/>
          <w:sz w:val="18"/>
        </w:rPr>
        <w:t>Liang KYH et al.  ·  PLoS Med  ·  11.09.2026  ·  PMID 42726788</w:t>
      </w:r>
    </w:p>
    <w:p>
      <w:r>
        <w:t>Zweistufige Mendelsche Randomisierung mit Proteomik-GWAS (35.559 Individuen deCODE, 80.154 T2D-Fälle) und Nierenmerkmale (bis 1.004.040 Teilnehmer) zur Identifikation von Protein-Mediatoren des CKD-Risikos bei T2D.</w:t>
      </w:r>
    </w:p>
    <w:p>
      <w:r>
        <w:rPr>
          <w:b/>
        </w:rPr>
        <w:t xml:space="preserve">Ergebnis: </w:t>
      </w:r>
      <w:r>
        <w:t>71 zirkulierende Proteine durch genetische T2D-Veranlagung beeinflusst; fünf Proteine (INHBC, GNPTG, LPO, AGRN, CTSD) beeinflussten Nierenmerkmale; höhere INHBC assoziiert mit niedrigerem eGFR und höherem BUN (MR); INHBC vermittelt geschätzt 1,3 % (95%-KI: 0,85-1,9 %) der T2D-zu-Nierenkrankheit-Assoziation in UK Biobank (37.854 Teilnehmer).</w:t>
      </w:r>
    </w:p>
    <w:p>
      <w:r>
        <w:rPr>
          <w:b/>
          <w:sz w:val="19"/>
        </w:rPr>
        <w:t xml:space="preserve">Übertragbarkeit: </w:t>
      </w:r>
      <w:r>
        <w:rPr>
          <w:sz w:val="19"/>
        </w:rPr>
        <w:t>UK Biobank und multiple europäische Kohorten, Versorgungsrelevanz durch Zielprotein begrenzt</w:t>
      </w:r>
    </w:p>
    <w:p>
      <w:r>
        <w:rPr>
          <w:color w:val="5A7D3A"/>
          <w:sz w:val="18"/>
        </w:rPr>
        <w:t>https://pubmed.ncbi.nlm.nih.gov/42726788/</w:t>
      </w:r>
    </w:p>
    <w:p>
      <w:pPr>
        <w:pStyle w:val="Heading2"/>
      </w:pPr>
      <w:r>
        <w:t>RSV-Infektionen erhöhen Krankenhausaufenthalt bei COPD-Exazerbation</w:t>
      </w:r>
    </w:p>
    <w:p>
      <w:r>
        <w:rPr>
          <w:i/>
          <w:color w:val="666666"/>
          <w:sz w:val="18"/>
        </w:rPr>
        <w:t>Agusti A et al.  ·  BMJ Open  ·  20.07.2026  ·  PMID 42476737</w:t>
      </w:r>
    </w:p>
    <w:p>
      <w:r>
        <w:t>Prospektive multizentrische Kohortenstudie, die die Häufigkeit von RSV-Infektionen bei COPD-Exazerbationen und ihre Assoziation mit Hospitalisierung, Krankenhausdauer und kardialen Ereignissen untersucht.</w:t>
      </w:r>
    </w:p>
    <w:p>
      <w:r>
        <w:rPr>
          <w:b/>
        </w:rPr>
        <w:t xml:space="preserve">Ergebnis: </w:t>
      </w:r>
      <w:r>
        <w:t>Design der RECODE-Studie mit geplanter Erfassung von RSV-Nachweis mittels RT-PCR und Outcome-Messung nach 15 Tagen und 3 Monaten; erste Ergebnisse noch nicht verfügbar, aber Studienprotokoll zeigt systematische Erfassung klinisch relevanter Endpunkte.</w:t>
      </w:r>
    </w:p>
    <w:p>
      <w:r>
        <w:rPr>
          <w:b/>
          <w:sz w:val="19"/>
        </w:rPr>
        <w:t xml:space="preserve">Übertragbarkeit: </w:t>
      </w:r>
      <w:r>
        <w:rPr>
          <w:sz w:val="19"/>
        </w:rPr>
        <w:t>Spanien, europäisches Gesundheitssystem, vergleichbare COPD-Versorgung</w:t>
      </w:r>
    </w:p>
    <w:p>
      <w:r>
        <w:rPr>
          <w:color w:val="5A7D3A"/>
          <w:sz w:val="18"/>
        </w:rPr>
        <w:t>https://pubmed.ncbi.nlm.nih.gov/42476737/</w:t>
      </w:r>
    </w:p>
    <w:p>
      <w:pPr>
        <w:pStyle w:val="Heading2"/>
      </w:pPr>
      <w:r>
        <w:t>Chronische Nierenkrankheit assoziiert mit Herzinsuffizienz-mit-erhaltener-EF – zwei-facher Odds 2,46</w:t>
      </w:r>
    </w:p>
    <w:p>
      <w:r>
        <w:rPr>
          <w:i/>
          <w:color w:val="666666"/>
          <w:sz w:val="18"/>
        </w:rPr>
        <w:t>Valente V et al.  ·  ESC Heart Fail  ·  04.07.2026  ·  PMID 42471242</w:t>
      </w:r>
    </w:p>
    <w:p>
      <w:r>
        <w:t>Retrospektive Fall-Kontroll-Studie mit Daten aus dem Schwedischen Herzinsuffizienz-Register (2005-2021); Assoziation zwischen CKD und neu aufgetretener Herzinsuffizienz über das EF-Spektrum.</w:t>
      </w:r>
    </w:p>
    <w:p>
      <w:r>
        <w:rPr>
          <w:b/>
        </w:rPr>
        <w:t xml:space="preserve">Ergebnis: </w:t>
      </w:r>
      <w:r>
        <w:t>51.848 Herzinsuffizienz-Patienten und 51.848 Kontrollen; CKD assoziiert mit ~zwei-fach höheres HI-Risiko, besonders für HFpEF vs. HFrEF (ICD-10-Definition: OR 2,46 vs. 1,52; p-Interaktion=0,001); moderate bis fortgeschrittene CKD (KDIGO G3b-G5) stärker mit HFpEF assoziiert als mit HFrEF.</w:t>
      </w:r>
    </w:p>
    <w:p>
      <w:r>
        <w:rPr>
          <w:b/>
          <w:sz w:val="19"/>
        </w:rPr>
        <w:t xml:space="preserve">Übertragbarkeit: </w:t>
      </w:r>
      <w:r>
        <w:rPr>
          <w:sz w:val="19"/>
        </w:rPr>
        <w:t>Schweden, europäisches Register mit Dokumentationspflicht, vergleichbar</w:t>
      </w:r>
    </w:p>
    <w:p>
      <w:r>
        <w:rPr>
          <w:color w:val="5A7D3A"/>
          <w:sz w:val="18"/>
        </w:rPr>
        <w:t>https://pubmed.ncbi.nlm.nih.gov/42471242/</w:t>
      </w:r>
    </w:p>
    <w:p>
      <w:pPr>
        <w:pStyle w:val="Heading1"/>
      </w:pPr>
      <w:r>
        <w:t>Aufgenommen am 14.09.2026</w:t>
      </w:r>
    </w:p>
    <w:p>
      <w:pPr>
        <w:pStyle w:val="Heading2"/>
      </w:pPr>
      <w:r>
        <w:t>Low-Carb-Ernährung senkt Mortalität bei chronischen Erkrankungen: Meta-Analyse</w:t>
      </w:r>
    </w:p>
    <w:p>
      <w:r>
        <w:rPr>
          <w:i/>
          <w:color w:val="666666"/>
          <w:sz w:val="18"/>
        </w:rPr>
        <w:t>Duc TQ et al.  ·  BMJ Open  ·  11.09.2026  ·  PMID 42731843</w:t>
      </w:r>
    </w:p>
    <w:p>
      <w:r>
        <w:t>Systematische Review und Meta-Analyse von Prospektivkohorten zur Assoziation unterschiedlicher Low-Carbohydrat-Ernährungsmuster mit Gesamtmortalität in der Allgemeinbevölkerung und bei chronischen Erkrankungen.</w:t>
      </w:r>
    </w:p>
    <w:p>
      <w:r>
        <w:rPr>
          <w:b/>
        </w:rPr>
        <w:t xml:space="preserve">Ergebnis: </w:t>
      </w:r>
      <w:r>
        <w:t>Gesunde Low-Carb-Ernährung war mit niedrigerer Mortalität bei chronischen Erkrankungen assoziiert (HR 0,72, 95%-KI 0,69–0,76; I² = 0 %; hohe Gewissheit), nicht aber in der Allgemeinbevölkerung (HR 0,93, 95%-KI 0,85–1,01; moderate Gewissheit). Ungesunde Low-Carb-Diäten waren in beiden Populationen nicht mit Mortalität assoziiert.</w:t>
      </w:r>
    </w:p>
    <w:p>
      <w:r>
        <w:rPr>
          <w:b/>
          <w:sz w:val="19"/>
        </w:rPr>
        <w:t xml:space="preserve">Übertragbarkeit: </w:t>
      </w:r>
      <w:r>
        <w:rPr>
          <w:sz w:val="19"/>
        </w:rPr>
        <w:t>18 Länderübergreifende Kohortenstudien mit 779.158 Teilnehmern; Ernährungsempfehlungen universal anwendbar.</w:t>
      </w:r>
    </w:p>
    <w:p>
      <w:r>
        <w:rPr>
          <w:color w:val="5A7D3A"/>
          <w:sz w:val="18"/>
        </w:rPr>
        <w:t>https://pubmed.ncbi.nlm.nih.gov/42731843/</w:t>
      </w:r>
    </w:p>
    <w:p>
      <w:pPr>
        <w:pStyle w:val="Heading2"/>
      </w:pPr>
      <w:r>
        <w:t>Glittre-ADL-Test vorhersagt Mortalität bei Hämodialysepatienten zuverlässig</w:t>
      </w:r>
    </w:p>
    <w:p>
      <w:r>
        <w:rPr>
          <w:i/>
          <w:color w:val="666666"/>
          <w:sz w:val="18"/>
        </w:rPr>
        <w:t>Santos JNV et al.  ·  J Bras Nefrol  ·  Okt. 2026  ·  PMID 42726081</w:t>
      </w:r>
    </w:p>
    <w:p>
      <w:r>
        <w:t>Prospektive Beobachtungsstudie zur Prognosekraft der Funktionsfähigkeit (gemessen mit dem Glittre-ADL-Test) für Mortalität bei Hämodialysepatienten in Brasilien.</w:t>
      </w:r>
    </w:p>
    <w:p>
      <w:r>
        <w:rPr>
          <w:b/>
        </w:rPr>
        <w:t xml:space="preserve">Ergebnis: </w:t>
      </w:r>
      <w:r>
        <w:t>Bei 76 eingeschlossenen Patienten war der Glittre-ADL-Test (HR 1,003 [95%-KI 1,001–1,006]; p = 0,03) und Alter (HR 1,049 [95%-KI 1,020–1,078]; p &lt; 0,001) unabhängig mit Mortalität assoziiert; optimaler Cut-off-Wert ≥268,5 Sekunden identifizierte Todesrisiko mit AUC von 0,86 (95%-KI 0,77–0,94).</w:t>
      </w:r>
    </w:p>
    <w:p>
      <w:r>
        <w:rPr>
          <w:b/>
          <w:sz w:val="19"/>
        </w:rPr>
        <w:t xml:space="preserve">Übertragbarkeit: </w:t>
      </w:r>
      <w:r>
        <w:rPr>
          <w:sz w:val="19"/>
        </w:rPr>
        <w:t>Brasilien, physikalische Rehabilitationsmessung; Übertragbarkeit des Funktionsmerkmals auf deutsches Dialysesetting gegeben.</w:t>
      </w:r>
    </w:p>
    <w:p>
      <w:r>
        <w:rPr>
          <w:color w:val="5A7D3A"/>
          <w:sz w:val="18"/>
        </w:rPr>
        <w:t>https://pubmed.ncbi.nlm.nih.gov/42726081/</w:t>
      </w:r>
    </w:p>
    <w:p>
      <w:pPr>
        <w:pStyle w:val="Heading2"/>
      </w:pPr>
      <w:r>
        <w:t>Arabische Version der FACIT-TS-Skala für Therapiezufriedenheit bei Krebspatienten validiert</w:t>
      </w:r>
    </w:p>
    <w:p>
      <w:r>
        <w:rPr>
          <w:i/>
          <w:color w:val="666666"/>
          <w:sz w:val="18"/>
        </w:rPr>
        <w:t>Jakal C et al.  ·  Palliat Support Care  ·  11.09.2026  ·  PMID 42723525</w:t>
      </w:r>
    </w:p>
    <w:p>
      <w:r>
        <w:t>Psychometrische Validierungsstudie der arabischsprachigen Version der Functional Assessment of Chronic Illness Therapy-Treatment Satisfaction (FACIT-TS)-Skala bei libanesischen Krebspatienten.</w:t>
      </w:r>
    </w:p>
    <w:p>
      <w:r>
        <w:rPr>
          <w:b/>
        </w:rPr>
        <w:t xml:space="preserve">Ergebnis: </w:t>
      </w:r>
      <w:r>
        <w:t>Die arabische FACIT-TS zeigte gute interne Konsistenz (Cronbachs α = 0,87; McDonalds ω = 0,87), unterstützte unidimensionale Struktur und Messinvarianz nach Geschlecht; höhere Therapiezufriedenheit war mit besserer Lebensqualität, größerer wahrgenommener sozialer Unterstützung und reduziertem psychologischem Distress assoziiert.</w:t>
      </w:r>
    </w:p>
    <w:p>
      <w:r>
        <w:rPr>
          <w:b/>
          <w:sz w:val="19"/>
        </w:rPr>
        <w:t xml:space="preserve">Übertragbarkeit: </w:t>
      </w:r>
      <w:r>
        <w:rPr>
          <w:sz w:val="19"/>
        </w:rPr>
        <w:t>Libanon, kulturell adaptiertes Patient-Reported-Outcome-Messinstrument; beschränkt auf Krebspatienten.</w:t>
      </w:r>
    </w:p>
    <w:p>
      <w:r>
        <w:rPr>
          <w:color w:val="5A7D3A"/>
          <w:sz w:val="18"/>
        </w:rPr>
        <w:t>https://pubmed.ncbi.nlm.nih.gov/42723525/</w:t>
      </w:r>
    </w:p>
    <w:p>
      <w:pPr>
        <w:pStyle w:val="Heading2"/>
      </w:pPr>
      <w:r>
        <w:t>Phänotypgesteuerte Hämoadsorbtion/Hämodialyse reduziert urämische Toxine effektiver</w:t>
      </w:r>
    </w:p>
    <w:p>
      <w:r>
        <w:rPr>
          <w:i/>
          <w:color w:val="666666"/>
          <w:sz w:val="18"/>
        </w:rPr>
        <w:t>Ramírez-Guerrero G et al.  ·  Contrib Nephrol  ·  10.09.2026  ·  PMID 42721092</w:t>
      </w:r>
    </w:p>
    <w:p>
      <w:r>
        <w:t>Übersichtsarbeit zum Konzept der Hämoadsorbtion gekoppelt mit Hämodialyse (HAHD) als Strategie zur Überwindung der Grenzen konventioneller Dialyse beim Entfernen von Proteintoxinen und mittleren Molekülen und zur Behandlung residualer urämischer Toxizität bei Endstadium-Nierenerkrankung.</w:t>
      </w:r>
    </w:p>
    <w:p>
      <w:r>
        <w:rPr>
          <w:b/>
        </w:rPr>
        <w:t xml:space="preserve">Ergebnis: </w:t>
      </w:r>
      <w:r>
        <w:t>HAHD ermöglicht physikochemische Interaktionen zwischen zirkulierenden Stoffen und Sorbentien und überwindet damit Beschränkungen durch Molekülgröße und Proteinbindung. Ein phänotypgestützter Toxin-Domänen-Ansatz wird vorgeschlagen mit vier Phänotypen: entzündlich, proteingebunden-toxin-getrieben, Mittelmolekülbelastung und neurokognitiv; emerge Evidenz deutet auf verbesserte Entzündungsmarker und Patient-zentrierte Ergebnisse hin.</w:t>
      </w:r>
    </w:p>
    <w:p>
      <w:r>
        <w:rPr>
          <w:b/>
          <w:sz w:val="19"/>
        </w:rPr>
        <w:t xml:space="preserve">Übertragbarkeit: </w:t>
      </w:r>
      <w:r>
        <w:rPr>
          <w:sz w:val="19"/>
        </w:rPr>
        <w:t>Konzeptuelle Versorgungsanleitung auf Grundlage europäischer und nordamerikanischer Erfahrung; direkt auf deutsches Dialysesetting übertragbar.</w:t>
      </w:r>
    </w:p>
    <w:p>
      <w:r>
        <w:rPr>
          <w:color w:val="5A7D3A"/>
          <w:sz w:val="18"/>
        </w:rPr>
        <w:t>https://pubmed.ncbi.nlm.nih.gov/42721092/</w:t>
      </w:r>
    </w:p>
    <w:p>
      <w:pPr>
        <w:pStyle w:val="Heading2"/>
      </w:pPr>
      <w:r>
        <w:t>HBsAg-Glykaniomer vorhersagt Virusansprechrate bei chronischer Hepatitis B</w:t>
      </w:r>
    </w:p>
    <w:p>
      <w:r>
        <w:rPr>
          <w:i/>
          <w:color w:val="666666"/>
          <w:sz w:val="18"/>
        </w:rPr>
        <w:t>Li J et al.  ·  Front Cell Infect Microbiol  ·  20.08.2026  ·  PMID 42694137</w:t>
      </w:r>
    </w:p>
    <w:p>
      <w:r>
        <w:t>Studie zum Potenzial des HBsAg-Glykanimers (HBsAgGi) als zirkulierender Biomarker für intrahepales cccDNA und Vorhersage des Therapieansprechens bei Hepatitis-B-Patienten unter Nucleos(t)id-Analoga.</w:t>
      </w:r>
    </w:p>
    <w:p>
      <w:r>
        <w:rPr>
          <w:b/>
        </w:rPr>
        <w:t xml:space="preserve">Ergebnis: </w:t>
      </w:r>
      <w:r>
        <w:t>HBsAgGi korrelierte signifikant mit intrahepatalem cccDNA (r = 0,7172, p &lt; 0,01) stärker als herkömmliche Marker; bei 18 Patienten unter Therapie sagte Baseline-HBsAgGi Therapieansprechung mit AUC von 0,9538 prädiktor besser voraus als andere Marker.</w:t>
      </w:r>
    </w:p>
    <w:p>
      <w:r>
        <w:rPr>
          <w:b/>
          <w:sz w:val="19"/>
        </w:rPr>
        <w:t xml:space="preserve">Übertragbarkeit: </w:t>
      </w:r>
      <w:r>
        <w:rPr>
          <w:sz w:val="19"/>
        </w:rPr>
        <w:t>China, grundlagenwissenschaftlich zur Diagnostik; begrenzte direkte Versorgungstransferabilität.</w:t>
      </w:r>
    </w:p>
    <w:p>
      <w:r>
        <w:rPr>
          <w:color w:val="5A7D3A"/>
          <w:sz w:val="18"/>
        </w:rPr>
        <w:t>https://pubmed.ncbi.nlm.nih.gov/42694137/</w:t>
      </w:r>
    </w:p>
    <w:p>
      <w:pPr>
        <w:pStyle w:val="Heading2"/>
      </w:pPr>
      <w:r>
        <w:t>Kostenersparnis durch Empagliflozin bei Nierenerkrankung: Haushaltsauswirkungen für Italien</w:t>
      </w:r>
    </w:p>
    <w:p>
      <w:r>
        <w:rPr>
          <w:i/>
          <w:color w:val="666666"/>
          <w:sz w:val="18"/>
        </w:rPr>
        <w:t>De Nicola L et al.  ·  J Nephrol  ·  20.08.2026  ·  PMID 42475513</w:t>
      </w:r>
    </w:p>
    <w:p>
      <w:r>
        <w:t>Budget-Impact-Analyse zur Additionstherapie mit dem SGLT2-Inhibitor Empagliflozin bei chronischer Nierenerkrankung im italienischen Gesundheitssystem.</w:t>
      </w:r>
    </w:p>
    <w:p>
      <w:r>
        <w:rPr>
          <w:b/>
        </w:rPr>
        <w:t xml:space="preserve">Ergebnis: </w:t>
      </w:r>
      <w:r>
        <w:t>Einführung von Empagliflozin reduzierte die direkten Krankheitskosten um 4,7 % mit Kostenersparnis von 10,09 Mio. € über 3 Jahre (216,07 Mio. € ohne vs. 205,98 Mio. € mit Empagliflozin), hauptsächlich durch Verzögerung der Progression zum Nierenversagen.</w:t>
      </w:r>
    </w:p>
    <w:p>
      <w:r>
        <w:rPr>
          <w:b/>
          <w:sz w:val="19"/>
        </w:rPr>
        <w:t xml:space="preserve">Übertragbarkeit: </w:t>
      </w:r>
      <w:r>
        <w:rPr>
          <w:sz w:val="19"/>
        </w:rPr>
        <w:t>Italien, vergleichbare Gesundheitsausgabendaten, aber Strukturen unterscheiden sich von deutschem System.</w:t>
      </w:r>
    </w:p>
    <w:p>
      <w:r>
        <w:rPr>
          <w:color w:val="5A7D3A"/>
          <w:sz w:val="18"/>
        </w:rPr>
        <w:t>https://pubmed.ncbi.nlm.nih.gov/42475513/</w:t>
      </w:r>
    </w:p>
    <w:p>
      <w:pPr>
        <w:pStyle w:val="Heading1"/>
      </w:pPr>
      <w:r>
        <w:t>Aufgenommen am 13.09.2026</w:t>
      </w:r>
    </w:p>
    <w:p>
      <w:pPr>
        <w:pStyle w:val="Heading2"/>
      </w:pPr>
      <w:r>
        <w:t>Parasternal-Muskeldicke sagt Weaning-Misserfolg bei COPD-Patienten voraus</w:t>
      </w:r>
    </w:p>
    <w:p>
      <w:r>
        <w:rPr>
          <w:i/>
          <w:color w:val="666666"/>
          <w:sz w:val="18"/>
        </w:rPr>
        <w:t>Gürün Kaya A et al.  ·  BMJ Open Respir Res  ·  11.09.2026  ·  PMID 42731822</w:t>
      </w:r>
    </w:p>
    <w:p>
      <w:r>
        <w:t>Prospektive Beobachtungsstudie mit 131 beatmeten COPD-Patienten: Ultraschall-Messung der Atemhilfsmuskulatur vor Spontanatmungstest zur Vorhersage des Weaning-Erfolgs.</w:t>
      </w:r>
    </w:p>
    <w:p>
      <w:r>
        <w:rPr>
          <w:b/>
        </w:rPr>
        <w:t xml:space="preserve">Ergebnis: </w:t>
      </w:r>
      <w:r>
        <w:t>Atemmuskeldicken-Zunahme ≥11,9% versus 7,4% bei Erfolg (p&lt;0,001); adjustiertes OR 3,3–4,0 pro 1%-Punkt Zunahme für Weaning-Misserfolg; Weaning-Misserfolg: 19%. Ultraschall der Atemhilfsmuskulatur identifiziert High-Risk-Patienten zuverlässig.</w:t>
      </w:r>
    </w:p>
    <w:p>
      <w:r>
        <w:rPr>
          <w:b/>
          <w:sz w:val="19"/>
        </w:rPr>
        <w:t xml:space="preserve">Übertragbarkeit: </w:t>
      </w:r>
      <w:r>
        <w:rPr>
          <w:sz w:val="19"/>
        </w:rPr>
        <w:t>Türkische Universitätsklinik; Methode ist in deutschen Intensivstationen verfügbar und anwendbar</w:t>
      </w:r>
    </w:p>
    <w:p>
      <w:r>
        <w:rPr>
          <w:color w:val="5A7D3A"/>
          <w:sz w:val="18"/>
        </w:rPr>
        <w:t>https://pubmed.ncbi.nlm.nih.gov/42731822/</w:t>
      </w:r>
    </w:p>
    <w:p>
      <w:pPr>
        <w:pStyle w:val="Heading2"/>
      </w:pPr>
      <w:r>
        <w:t>Kombinierter Stoffwechsel-Index sagt Mehrfacherkrankung bei Steatosis hepatis voraus</w:t>
      </w:r>
    </w:p>
    <w:p>
      <w:r>
        <w:rPr>
          <w:i/>
          <w:color w:val="666666"/>
          <w:sz w:val="18"/>
        </w:rPr>
        <w:t>Mu K et al.  ·  Cardiovasc Diabetol  ·  23.08.2026  ·  PMID 42728598</w:t>
      </w:r>
    </w:p>
    <w:p>
      <w:r>
        <w:t>Prospektive Kohortenstudie mit 109.434 Personen aus UK Biobank: Sieben Cholesterol-HDL-Glukose-abgeleitete Indizes zur Vorhersage kardio-metaboler Mehrfacherkrankung (mindestens 2 von 3: T2D, KHK, Schlaganfall) bei nicht-alkoholischer Fettlebererkrankung.</w:t>
      </w:r>
    </w:p>
    <w:p>
      <w:r>
        <w:rPr>
          <w:b/>
        </w:rPr>
        <w:t xml:space="preserve">Ergebnis: </w:t>
      </w:r>
      <w:r>
        <w:t>4.225 Mehrfacherkrankungen über 16,4 Jahre. CHG-Waist-to-Height-Ratio: HR 1,61 pro SD (95%-KI 1,57–1,65); CHG-Taillenumfang: HR 1,59. Kombination der Indizes besserte C-Index und Reklassifizierung. Stärkste Assoziationen für Transition T2D→Mehrfacherkrankung.</w:t>
      </w:r>
    </w:p>
    <w:p>
      <w:r>
        <w:rPr>
          <w:b/>
          <w:sz w:val="19"/>
        </w:rPr>
        <w:t xml:space="preserve">Übertragbarkeit: </w:t>
      </w:r>
      <w:r>
        <w:rPr>
          <w:sz w:val="19"/>
        </w:rPr>
        <w:t>UK Biobank, vergleichbar mit deutschen Gesundheitsdaten und Versorgungsstrukturen</w:t>
      </w:r>
    </w:p>
    <w:p>
      <w:r>
        <w:rPr>
          <w:color w:val="5A7D3A"/>
          <w:sz w:val="18"/>
        </w:rPr>
        <w:t>https://pubmed.ncbi.nlm.nih.gov/42728598/</w:t>
      </w:r>
    </w:p>
    <w:p>
      <w:pPr>
        <w:pStyle w:val="Heading2"/>
      </w:pPr>
      <w:r>
        <w:t>Muskelkraft senkt Sterblichkeit unabhängig von Aktivität – Versorgungslücke in NCDs</w:t>
      </w:r>
    </w:p>
    <w:p>
      <w:r>
        <w:rPr>
          <w:i/>
          <w:color w:val="666666"/>
          <w:sz w:val="18"/>
        </w:rPr>
        <w:t>Puelles-Diaz A  ·  Front Public Health  ·  27.08.2026  ·  PMID 42724145</w:t>
      </w:r>
    </w:p>
    <w:p>
      <w:r>
        <w:t>Narrative Perspektive zur Gesundheitspolitik: Muskelkraft und funktionelle Kapazität sind prognostisch eigenständige Ziele in NCD-Prävention und müssen in globale Frameworks integriert werden; Blockaden sind Assessments, Trainingsformate, Finanzierung und Compliance.</w:t>
      </w:r>
    </w:p>
    <w:p>
      <w:r>
        <w:rPr>
          <w:b/>
        </w:rPr>
        <w:t xml:space="preserve">Ergebnis: </w:t>
      </w:r>
      <w:r>
        <w:t>Kernaussage: Muskelkraft sagt Sterblichkeit voraus, unabhängig vom Aktivitätslevel; Widerstands- und Mehrkompponententraining bringt größere Gewinne als Ausdauertraining allein. Größte Effekte bei Patienten mit Funktionsbeeinträchtigung. Drei Integrationslücken: fehlende Assessments in Primärversorgung, Unterpriorisierung von Resistanztraining, Abwesenheit in WHO-NCD-Zielen.</w:t>
      </w:r>
    </w:p>
    <w:p>
      <w:r>
        <w:rPr>
          <w:b/>
          <w:sz w:val="19"/>
        </w:rPr>
        <w:t xml:space="preserve">Übertragbarkeit: </w:t>
      </w:r>
      <w:r>
        <w:rPr>
          <w:sz w:val="19"/>
        </w:rPr>
        <w:t>Internationale Evidenz (Japan, Europa, Nordamerika, Brasilien), direkt relevant für deutsche NCD-Politik und Strukturen</w:t>
      </w:r>
    </w:p>
    <w:p>
      <w:r>
        <w:rPr>
          <w:color w:val="5A7D3A"/>
          <w:sz w:val="18"/>
        </w:rPr>
        <w:t>https://pubmed.ncbi.nlm.nih.gov/42724145/</w:t>
      </w:r>
    </w:p>
    <w:p>
      <w:pPr>
        <w:pStyle w:val="Heading2"/>
      </w:pPr>
      <w:r>
        <w:t>Online-Hemodiafiltration mit hohem konvektivem Volumen reduziert kardiovaskuläre Todesfälle</w:t>
      </w:r>
    </w:p>
    <w:p>
      <w:r>
        <w:rPr>
          <w:i/>
          <w:color w:val="666666"/>
          <w:sz w:val="18"/>
        </w:rPr>
        <w:t>Maduell F et al.  ·  Contrib Nephrol  ·  10.09.2026  ·  PMID 42721100</w:t>
      </w:r>
    </w:p>
    <w:p>
      <w:r>
        <w:t>Systematische Übersicht klinischer Evidenz über 3 Jahrzehnte zur Hemodiafiltration zur Clearance urämischer Toxine bei Nierenersatztherapie: Literaturanalyse mit Fokus auf Konvektion und Sterblichkeit.</w:t>
      </w:r>
    </w:p>
    <w:p>
      <w:r>
        <w:rPr>
          <w:b/>
        </w:rPr>
        <w:t xml:space="preserve">Ergebnis: </w:t>
      </w:r>
      <w:r>
        <w:t>Konvektives Volumen &gt;23 L/Session zeigte konsistent Überlebensvorteil in randomisierten Studien und Beobachtungsdaten; Reduktion von Hypotension, Entzündung und kardiovaskullären Ereignissen gegenüber konventioneller Hämodialyse; Verbesserung der Endothelfunktion und Knochenstoffwechsel dokumentiert.</w:t>
      </w:r>
    </w:p>
    <w:p>
      <w:r>
        <w:rPr>
          <w:b/>
          <w:sz w:val="19"/>
        </w:rPr>
        <w:t xml:space="preserve">Übertragbarkeit: </w:t>
      </w:r>
      <w:r>
        <w:rPr>
          <w:sz w:val="19"/>
        </w:rPr>
        <w:t>Deutschland, Europa: Evidenz aus RCTs und Poolanalysen zu etablierter Technik mit direkter Anwendbarkeit</w:t>
      </w:r>
    </w:p>
    <w:p>
      <w:r>
        <w:rPr>
          <w:color w:val="5A7D3A"/>
          <w:sz w:val="18"/>
        </w:rPr>
        <w:t>https://pubmed.ncbi.nlm.nih.gov/42721100/</w:t>
      </w:r>
    </w:p>
    <w:p>
      <w:pPr>
        <w:pStyle w:val="Heading2"/>
      </w:pPr>
      <w:r>
        <w:t>Chronische Erkrankungen mehrfach verbunden mit Aortenerkrankung – Mehrfacherkrankung verdoppelt Risiko</w:t>
      </w:r>
    </w:p>
    <w:p>
      <w:r>
        <w:rPr>
          <w:i/>
          <w:color w:val="666666"/>
          <w:sz w:val="18"/>
        </w:rPr>
        <w:t>Yu L et al.  ·  Nat Commun  ·  11.08.2026  ·  PMID 42717190</w:t>
      </w:r>
    </w:p>
    <w:p>
      <w:r>
        <w:t>Prospektive Kohortenstudie mit UK Biobank (n=~500.000) und externe Validierung in China Kadoorie Biobank: 42 chronische Erkrankungen auf Zusammenhang mit Aortenerkrankung untersucht.</w:t>
      </w:r>
    </w:p>
    <w:p>
      <w:r>
        <w:rPr>
          <w:b/>
        </w:rPr>
        <w:t xml:space="preserve">Ergebnis: </w:t>
      </w:r>
      <w:r>
        <w:t>21 Erkrankungen signifikant assoziiert nach FDR-Korrektur (Koronarerkrankung, Hypertonie, Vorhofflimmern, pAVK, Herzinsuffizienz, COPD). Hypertonie größte Population Attributable Fraction (PAF), zusätzlich COPD und CKD. Höhere Multimorbidität→höheres Risiko in beiden Kohorten. Aortenatherosklerose zeigt breiteste Komorbiditätsprofile.</w:t>
      </w:r>
    </w:p>
    <w:p>
      <w:r>
        <w:rPr>
          <w:b/>
          <w:sz w:val="19"/>
        </w:rPr>
        <w:t xml:space="preserve">Übertragbarkeit: </w:t>
      </w:r>
      <w:r>
        <w:rPr>
          <w:sz w:val="19"/>
        </w:rPr>
        <w:t>UK Biobank + China Kadoorie Biobank, Methodik und Risikoprofile übertragbar auf deutsches Gesundheitssystem</w:t>
      </w:r>
    </w:p>
    <w:p>
      <w:r>
        <w:rPr>
          <w:color w:val="5A7D3A"/>
          <w:sz w:val="18"/>
        </w:rPr>
        <w:t>https://pubmed.ncbi.nlm.nih.gov/42717190/</w:t>
      </w:r>
    </w:p>
    <w:p>
      <w:pPr>
        <w:pStyle w:val="Heading2"/>
      </w:pPr>
      <w:r>
        <w:t>Strukturierte Selbstmanagement-Unterstützung verbessert Therapietreue chronischer Erkrankungen</w:t>
      </w:r>
    </w:p>
    <w:p>
      <w:r>
        <w:rPr>
          <w:i/>
          <w:color w:val="666666"/>
          <w:sz w:val="18"/>
        </w:rPr>
        <w:t>Hald MH et al.  ·  Patient Educ Couns  ·  27.07.2026  ·  PMID 42520599</w:t>
      </w:r>
    </w:p>
    <w:p>
      <w:r>
        <w:t>Qualitative Studie mit 23 Fachpersonen in Grönland: Self-Management-Unterstützung für COPD und Typ-2-Diabetes war überwiegend informell und biomedizinisch ausgerichtet, mit begrenzter Nutzung strukturierter, handlungsorientierter Strategien.</w:t>
      </w:r>
    </w:p>
    <w:p>
      <w:r>
        <w:rPr>
          <w:b/>
        </w:rPr>
        <w:t xml:space="preserve">Ergebnis: </w:t>
      </w:r>
      <w:r>
        <w:t>Kernfindung: Self-Management-Unterstützung war in 80% der dokumentierten Interaktionen informell und reaktiv statt proaktiv strukturiert. Handlungsempfehlung: Organisationale Gesundheitskompetenz und pädagogisch fundierte, alltagsorientierte Unterstützung sind notwendig zur Qualitätsverbesserung.</w:t>
      </w:r>
    </w:p>
    <w:p>
      <w:r>
        <w:rPr>
          <w:b/>
          <w:sz w:val="19"/>
        </w:rPr>
        <w:t xml:space="preserve">Übertragbarkeit: </w:t>
      </w:r>
      <w:r>
        <w:rPr>
          <w:sz w:val="19"/>
        </w:rPr>
        <w:t>Grönland-Studie; übertragbar auf dezentralisierte und ressourcenbegrenzte Systeme in Deutschland</w:t>
      </w:r>
    </w:p>
    <w:p>
      <w:r>
        <w:rPr>
          <w:color w:val="5A7D3A"/>
          <w:sz w:val="18"/>
        </w:rPr>
        <w:t>https://pubmed.ncbi.nlm.nih.gov/42520599/</w:t>
      </w:r>
    </w:p>
    <w:p>
      <w:pPr>
        <w:pStyle w:val="Heading1"/>
      </w:pPr>
      <w:r>
        <w:t>Aufgenommen am 12.09.2026</w:t>
      </w:r>
    </w:p>
    <w:p>
      <w:pPr>
        <w:pStyle w:val="Heading2"/>
      </w:pPr>
      <w:r>
        <w:t>Inflammatorisches Phänotyp bei COPD: erhöhte Neutrophil-Lymphozyten-Ratio zeigt distinkte Immunmuster</w:t>
      </w:r>
    </w:p>
    <w:p>
      <w:r>
        <w:rPr>
          <w:i/>
          <w:color w:val="666666"/>
          <w:sz w:val="18"/>
        </w:rPr>
        <w:t>Colakoglu C et al.  ·  PLoS One  ·  11.09.2026  ·  PMID 42726765</w:t>
      </w:r>
    </w:p>
    <w:p>
      <w:r>
        <w:t>Querschnittstudie mit 127 stabilen COPD-Patienten stratifiziert nach Langzeit-Sauerstofftherapie verglich Entzündungsmarker und Immunzellprofile.</w:t>
      </w:r>
    </w:p>
    <w:p>
      <w:r>
        <w:rPr>
          <w:b/>
        </w:rPr>
        <w:t xml:space="preserve">Ergebnis: </w:t>
      </w:r>
      <w:r>
        <w:t>Patienten mit Langzeit-Sauerstofftherapie zeigten signifikant höhere NLR-Werte (6,32±4,87 vs. 3,68±2,41, p=0,001), aber ähnliche Gesamtleukozyten und CRP. Erhöhte NLR reflektiert bei fortgeschrittener COPD nicht obligat systemische Entzündung, sondern distinkte Immunphänotypen mit vermindertem Lymphozyten- und Eosinophilenzahl.</w:t>
      </w:r>
    </w:p>
    <w:p>
      <w:r>
        <w:rPr>
          <w:b/>
          <w:sz w:val="19"/>
        </w:rPr>
        <w:t xml:space="preserve">Übertragbarkeit: </w:t>
      </w:r>
      <w:r>
        <w:rPr>
          <w:sz w:val="19"/>
        </w:rPr>
        <w:t>Türkei, Querschnittdaten validierbar in europäischen Registern, biologische Logik unabhängig von System</w:t>
      </w:r>
    </w:p>
    <w:p>
      <w:r>
        <w:rPr>
          <w:color w:val="5A7D3A"/>
          <w:sz w:val="18"/>
        </w:rPr>
        <w:t>https://pubmed.ncbi.nlm.nih.gov/42726765/</w:t>
      </w:r>
    </w:p>
    <w:p>
      <w:pPr>
        <w:pStyle w:val="Heading2"/>
      </w:pPr>
      <w:r>
        <w:t>Mangelernährung bei prädialytischer CKD: U-förmige Assoziation mit Körpergewicht und höhere Prävalenz</w:t>
      </w:r>
    </w:p>
    <w:p>
      <w:r>
        <w:rPr>
          <w:i/>
          <w:color w:val="666666"/>
          <w:sz w:val="18"/>
        </w:rPr>
        <w:t>Arayangkoon C et al.  ·  Narra J  ·  07.07.2026  ·  PMID 42724106</w:t>
      </w:r>
    </w:p>
    <w:p>
      <w:r>
        <w:t>Querschnittstudie mit 313 prädialytischen CKD-Patienten (Stadien 3-5) an Nephrologie-Klinik untersuchte Prävalenz und Faktoren der Mangelernährung mittels Nutrition Alert Form.</w:t>
      </w:r>
    </w:p>
    <w:p>
      <w:r>
        <w:rPr>
          <w:b/>
        </w:rPr>
        <w:t xml:space="preserve">Ergebnis: </w:t>
      </w:r>
      <w:r>
        <w:t>Mangelernährungsprävalenz 39,30% (34,50% moderat, 4,79% schwer). Unabhängige Faktoren: Untergewicht (aOR 5,10), schwere Adipositas (aOR 7,33), Schlaganfall-Geschichte (aOR 85,23), Gewichtsverlust in 4 Wochen (aOR 7,55), reduzierte Nahrungsaufnahme (aOR 46,42), beeinträchtigter Lebensmittelverfügung (aOR 10,63), CKD Stufe 5 (aOR 2,22), erhöhtes Kreatinin (aOR 1,86).</w:t>
      </w:r>
    </w:p>
    <w:p>
      <w:r>
        <w:rPr>
          <w:b/>
          <w:sz w:val="19"/>
        </w:rPr>
        <w:t xml:space="preserve">Übertragbarkeit: </w:t>
      </w:r>
      <w:r>
        <w:rPr>
          <w:sz w:val="19"/>
        </w:rPr>
        <w:t>Thailand, vergleichbare CKD-Epidemiologie, Screening-Empfehlungen übertragbar</w:t>
      </w:r>
    </w:p>
    <w:p>
      <w:r>
        <w:rPr>
          <w:color w:val="5A7D3A"/>
          <w:sz w:val="18"/>
        </w:rPr>
        <w:t>https://pubmed.ncbi.nlm.nih.gov/42724106/</w:t>
      </w:r>
    </w:p>
    <w:p>
      <w:pPr>
        <w:pStyle w:val="Heading2"/>
      </w:pPr>
      <w:r>
        <w:t>Hemodiafiltration und erweiterte Hämodialyse senken Urämie-Toxine stärker als Standarddialyse</w:t>
      </w:r>
    </w:p>
    <w:p>
      <w:r>
        <w:rPr>
          <w:i/>
          <w:color w:val="666666"/>
          <w:sz w:val="18"/>
        </w:rPr>
        <w:t>Guimarães MG et al.  ·  Contrib Nephrol  ·  10.09.2026  ·  PMID 42721106</w:t>
      </w:r>
    </w:p>
    <w:p>
      <w:r>
        <w:t>Narrative Übersicht zu Mechanismen der Urämie-Toxin-Akkumulation und Evidenz für fortgeschrittene Blutreinigungs-Verfahren (HDF, HDx, Hemoadsorption) bei Erhaltungsdialyse-Patienten.</w:t>
      </w:r>
    </w:p>
    <w:p>
      <w:r>
        <w:rPr>
          <w:b/>
        </w:rPr>
        <w:t xml:space="preserve">Ergebnis: </w:t>
      </w:r>
      <w:r>
        <w:t>Hochvolumen-HDF zeigt dosisabhängigen Überlebensvorteil. HDx mit Medium-Cut-Off-Membranen erreicht bessere Mittelmolekül-Clearance. Hemoadsorption adressiert proteingebundene und entzündliche Solute. Alle drei Ansätze sind mit Signalen für Überlebensvorteil, Erhaltung der Restfunktion und verbessertem patient-reported outcomes assoziiert. Unterschiede im Clearance-Profil übersetzen sich in klinische Ergebnisse.</w:t>
      </w:r>
    </w:p>
    <w:p>
      <w:r>
        <w:rPr>
          <w:b/>
          <w:sz w:val="19"/>
        </w:rPr>
        <w:t xml:space="preserve">Übertragbarkeit: </w:t>
      </w:r>
      <w:r>
        <w:rPr>
          <w:sz w:val="19"/>
        </w:rPr>
        <w:t>Internationale Perspektive, biologische Evidenz unabhängig von Versicherungssystem, Anwendbar bei ausreichender technischer Infrastruktur</w:t>
      </w:r>
    </w:p>
    <w:p>
      <w:r>
        <w:rPr>
          <w:color w:val="5A7D3A"/>
          <w:sz w:val="18"/>
        </w:rPr>
        <w:t>https://pubmed.ncbi.nlm.nih.gov/42721106/</w:t>
      </w:r>
    </w:p>
    <w:p>
      <w:pPr>
        <w:pStyle w:val="Heading2"/>
      </w:pPr>
      <w:r>
        <w:t>Gemischte Symptomklassen bei Angststörung und funktionalen Störungen: Mehrfacherkrankung erklärt Komorbiditätsmuster</w:t>
      </w:r>
    </w:p>
    <w:p>
      <w:r>
        <w:rPr>
          <w:i/>
          <w:color w:val="666666"/>
          <w:sz w:val="18"/>
        </w:rPr>
        <w:t>Saini U et al.  ·  Gen Hosp Psychiatry  ·  11.08.2026  ·  PMID 42594760</w:t>
      </w:r>
    </w:p>
    <w:p>
      <w:r>
        <w:t>Latente Klassenanalyse mit Mixed-Measurement IRT bei 72.919 Erwachsenen untersuchte datengesteuerte Subtypen von Symptomen bei Major Depression, Angststörung, ME/CFS, Fibromyalgie und Reizdarmsyndrom.</w:t>
      </w:r>
    </w:p>
    <w:p>
      <w:r>
        <w:rPr>
          <w:b/>
        </w:rPr>
        <w:t xml:space="preserve">Ergebnis: </w:t>
      </w:r>
      <w:r>
        <w:t>Sechs Klassen identifiziert: Gesund (57,5%), Schmerz (13,8%), Spannung/Schmerz (9,1%), Angst (9,0%), Kognition/Fatigue (6,4%), Depression (4,3%). Alle Klassen zeigten Mischung aus Angststörungs- und funktionalen Störungssymptomen; ID-FD-Komorbiditäten konzentriert in Kognition/Fatigue- und Depressionsklassen.</w:t>
      </w:r>
    </w:p>
    <w:p>
      <w:r>
        <w:rPr>
          <w:b/>
          <w:sz w:val="19"/>
        </w:rPr>
        <w:t xml:space="preserve">Übertragbarkeit: </w:t>
      </w:r>
      <w:r>
        <w:rPr>
          <w:sz w:val="19"/>
        </w:rPr>
        <w:t>Niederlande, Lifelines-Kohortenstudie, Versorgung sollte symptombasiert strukturiert sein</w:t>
      </w:r>
    </w:p>
    <w:p>
      <w:r>
        <w:rPr>
          <w:color w:val="5A7D3A"/>
          <w:sz w:val="18"/>
        </w:rPr>
        <w:t>https://pubmed.ncbi.nlm.nih.gov/42594760/</w:t>
      </w:r>
    </w:p>
    <w:p>
      <w:pPr>
        <w:pStyle w:val="Heading2"/>
      </w:pPr>
      <w:r>
        <w:t>Erhöhtes zirkulierendes Kallikrein-Peptidase-7 assoziiert mit schlechterer Nierenfunktion und Mortalitätsrisiko</w:t>
      </w:r>
    </w:p>
    <w:p>
      <w:r>
        <w:rPr>
          <w:i/>
          <w:color w:val="666666"/>
          <w:sz w:val="18"/>
        </w:rPr>
        <w:t>Schürfeld R et al.  ·  Front Endocrinol (Lausanne)  ·  07.07.2026  ·  PMID 42483682</w:t>
      </w:r>
    </w:p>
    <w:p>
      <w:r>
        <w:t>Querschnitts- und Längsschnittanalyse mit 542 CKD-Patienten (davon 472 mit Ereignisverfolgung über 7,6 Jahre median) untersuchte Assoziation von KLK7-Serumspiegeln mit Nierenfunktion und Mortalität.</w:t>
      </w:r>
    </w:p>
    <w:p>
      <w:r>
        <w:rPr>
          <w:b/>
        </w:rPr>
        <w:t xml:space="preserve">Ergebnis: </w:t>
      </w:r>
      <w:r>
        <w:t>KLK7 invers mit eGFR assoziiert. Höhere KLK7-Spiegel unabhängig mit niedrigerer Gesamt- (HR 0,65 [95%-KI 0,49-0,86], p=0,003) und nicht-kardiovaskulärer Mortalität (HR 0,56 [95%-KI 0,40-0,78], p=0,001) assoziiert. KLK7-Schwellenwert 1383,6 pg/ml stratifizierte Patienten in Hoch- und Niedrigrisikogruppen.</w:t>
      </w:r>
    </w:p>
    <w:p>
      <w:r>
        <w:rPr>
          <w:b/>
          <w:sz w:val="19"/>
        </w:rPr>
        <w:t xml:space="preserve">Übertragbarkeit: </w:t>
      </w:r>
      <w:r>
        <w:rPr>
          <w:sz w:val="19"/>
        </w:rPr>
        <w:t>Deutschland, Leipzig-CKD-Kohortenstudie, deutsche Klinikpopulation direkt untersucht</w:t>
      </w:r>
    </w:p>
    <w:p>
      <w:r>
        <w:rPr>
          <w:color w:val="5A7D3A"/>
          <w:sz w:val="18"/>
        </w:rPr>
        <w:t>https://pubmed.ncbi.nlm.nih.gov/42483682/</w:t>
      </w:r>
    </w:p>
    <w:p>
      <w:pPr>
        <w:pStyle w:val="Heading2"/>
      </w:pPr>
      <w:r>
        <w:t>Integrierte Versorgung mit Care Coordinator verbessert Lebensqualität bei Mehrfacherkrankung</w:t>
      </w:r>
    </w:p>
    <w:p>
      <w:r>
        <w:rPr>
          <w:i/>
          <w:color w:val="666666"/>
          <w:sz w:val="18"/>
        </w:rPr>
        <w:t>Bales G et al.  ·  BMJ Open  ·  21.07.2026  ·  PMID 42481205</w:t>
      </w:r>
    </w:p>
    <w:p>
      <w:r>
        <w:t>Qualitative Studie mit 16 jungen und mittelalten Erwachsenen mit Mehrfacherkrankung, die Krankenhausaufenthalte und Übergänge in den ambulanten Bereich untersuchte.</w:t>
      </w:r>
    </w:p>
    <w:p>
      <w:r>
        <w:rPr>
          <w:b/>
        </w:rPr>
        <w:t xml:space="preserve">Ergebnis: </w:t>
      </w:r>
      <w:r>
        <w:t>Patienten benötigen integrierte Versorgung mit zentraler Koordination durch interprofessionelle Teams, wobei Advanced Practice Nurses führende Rolle spielen. Physische, emotionale, psychologische und soziale Dimensionen beeinflussen Genesungsergebnis; psychische Gesundheit ist kritischer Einflussfaktor für erfolgreiche Rückkehr zur Normalität trotz massiver Funktionseinschränkungen.</w:t>
      </w:r>
    </w:p>
    <w:p>
      <w:r>
        <w:rPr>
          <w:b/>
          <w:sz w:val="19"/>
        </w:rPr>
        <w:t xml:space="preserve">Übertragbarkeit: </w:t>
      </w:r>
      <w:r>
        <w:rPr>
          <w:sz w:val="19"/>
        </w:rPr>
        <w:t>Schweiz, vergleichbares Versicherungssystem, Bedarf an strukturierter Koordination übertragbar</w:t>
      </w:r>
    </w:p>
    <w:p>
      <w:r>
        <w:rPr>
          <w:color w:val="5A7D3A"/>
          <w:sz w:val="18"/>
        </w:rPr>
        <w:t>https://pubmed.ncbi.nlm.nih.gov/42481205/</w:t>
      </w:r>
    </w:p>
    <w:p>
      <w:pPr>
        <w:pStyle w:val="Heading1"/>
      </w:pPr>
      <w:r>
        <w:t>Aufgenommen am 11.09.2026</w:t>
      </w:r>
    </w:p>
    <w:p>
      <w:pPr>
        <w:pStyle w:val="Heading2"/>
      </w:pPr>
      <w:r>
        <w:t>Familiale Unterstützung puffert Zusammenhang zwischen Mehrfacherkrankung und Depressionen bei älteren Chinesen ab</w:t>
      </w:r>
    </w:p>
    <w:p>
      <w:r>
        <w:rPr>
          <w:i/>
          <w:color w:val="666666"/>
          <w:sz w:val="18"/>
        </w:rPr>
        <w:t>Zong L et al.  ·  PLoS One  ·  10.09.2026  ·  PMID 42721129</w:t>
      </w:r>
    </w:p>
    <w:p>
      <w:r>
        <w:t>Querschnittsstudie mit 2020 China Longitudinal Aging Social Survey (CLASS)-Daten zu 8.755 älteren Erwachsenen zur Untersuchung der Assoziation zwischen Mehrfacherkrankung und psychischer Gesundheit sowie moderierender Rolle von familialer und sozialer Unterstützung.</w:t>
      </w:r>
    </w:p>
    <w:p>
      <w:r>
        <w:rPr>
          <w:b/>
        </w:rPr>
        <w:t xml:space="preserve">Ergebnis: </w:t>
      </w:r>
      <w:r>
        <w:t>Mehrfacherkrankung signifikant assoziiert mit schlechterer psychischer Gesundheit. Familiale Unterstützung moderiert diesen Zusammenhang signifikant (p&lt;0,05), während soziale Unterstützung dies nicht tat. Marginaleffekt-Analyse zeigt: negativer Zusammenhang zwischen Mehrfacherkrankung und psychischer Gesundheit wird stärker mit höherer familialer Unterstützung. Effekt schwächt sich mit Alter ab, bei ≥80 Jahren statistisch insignifikant.</w:t>
      </w:r>
    </w:p>
    <w:p>
      <w:r>
        <w:rPr>
          <w:b/>
          <w:sz w:val="19"/>
        </w:rPr>
        <w:t xml:space="preserve">Übertragbarkeit: </w:t>
      </w:r>
      <w:r>
        <w:rPr>
          <w:sz w:val="19"/>
        </w:rPr>
        <w:t>China, aber psychosoziale Mechanismen der Mehrfacherkrankung international relevant</w:t>
      </w:r>
    </w:p>
    <w:p>
      <w:r>
        <w:rPr>
          <w:color w:val="5A7D3A"/>
          <w:sz w:val="18"/>
        </w:rPr>
        <w:t>https://pubmed.ncbi.nlm.nih.gov/42721129/</w:t>
      </w:r>
    </w:p>
    <w:p>
      <w:pPr>
        <w:pStyle w:val="Heading2"/>
      </w:pPr>
      <w:r>
        <w:t>Übergewicht/Adipositas bei Kindern 5–9 Jahren korreliert mit 14 nicht-übertragbaren Krankheiten weltweit</w:t>
      </w:r>
    </w:p>
    <w:p>
      <w:r>
        <w:rPr>
          <w:i/>
          <w:color w:val="666666"/>
          <w:sz w:val="18"/>
        </w:rPr>
        <w:t>Ye W et al.  ·  Front Public Health  ·  26.08.2026  ·  PMID 42718687</w:t>
      </w:r>
    </w:p>
    <w:p>
      <w:r>
        <w:t>Ökologische Analyse von 174 Ländern mit 2022-Daten zur Untersuchung von Assoziationen zwischen Übergewicht/Adipositas-Prävalenz und Prävalenz nicht-übertragbarer Erkrankungen bei Kindern mittels Spearman-Korrelation und Random-Forest-Analyse.</w:t>
      </w:r>
    </w:p>
    <w:p>
      <w:r>
        <w:rPr>
          <w:b/>
        </w:rPr>
        <w:t xml:space="preserve">Ergebnis: </w:t>
      </w:r>
      <w:r>
        <w:t>Signifikant positive Korrelationen zwischen Übergewicht/Adipositas und multiplen Erkrankungen (p&lt;0,05): stärkste Assoziationen mit Neoplasien, Verdauungs-/Urogenitalerkrankungen, neurologisch-psychiatrischen und kardiovaskulären Erkrankungen. Nach FDR-Korrektur blieben multiple positive Assoziationen in Gesamtanalyse und bei Jungen signifikant; bei Mädchen keine.</w:t>
      </w:r>
    </w:p>
    <w:p>
      <w:r>
        <w:rPr>
          <w:b/>
          <w:sz w:val="19"/>
        </w:rPr>
        <w:t xml:space="preserve">Übertragbarkeit: </w:t>
      </w:r>
      <w:r>
        <w:rPr>
          <w:sz w:val="19"/>
        </w:rPr>
        <w:t>Global, 174 Länder, Prävention bei Kindern übertragbar</w:t>
      </w:r>
    </w:p>
    <w:p>
      <w:r>
        <w:rPr>
          <w:color w:val="5A7D3A"/>
          <w:sz w:val="18"/>
        </w:rPr>
        <w:t>https://pubmed.ncbi.nlm.nih.gov/42718687/</w:t>
      </w:r>
    </w:p>
    <w:p>
      <w:pPr>
        <w:pStyle w:val="Heading2"/>
      </w:pPr>
      <w:r>
        <w:t>Spezialisierte ambulante Versorgung stabilisierte Nierenfunktion bei 211 Patienten mit CKD-Stadium 4–5 zu 90,2 %</w:t>
      </w:r>
    </w:p>
    <w:p>
      <w:r>
        <w:rPr>
          <w:i/>
          <w:color w:val="666666"/>
          <w:sz w:val="18"/>
        </w:rPr>
        <w:t>Nerbass FB et al.  ·  Epidemiol Serv Saude  ·  10.04.2026  ·  PMID 42718411</w:t>
      </w:r>
    </w:p>
    <w:p>
      <w:r>
        <w:t>Retrospektive Multizenterstudie mit 547 Patienten mit CKD-Stadium 4–5 in fünf spezialisierten ambulanten Zentren in Santa Catarina (Brasilien) zwischen November 2021 und Oktober 2024 zur Evaluation von Follow-up-Adhärenz und Nierenfunktionsveränderung über 12 Monate.</w:t>
      </w:r>
    </w:p>
    <w:p>
      <w:r>
        <w:rPr>
          <w:b/>
        </w:rPr>
        <w:t xml:space="preserve">Ergebnis: </w:t>
      </w:r>
      <w:r>
        <w:t>Von 237 Patienten mit Follow-up-Start bis Oktober 2023 schlossen 211 (90,2 %) ein Jahr ab. Mediane geschätzte glomeruläre Filtrationsrate blieb stabil: 22 (18–26) vs. 22 (18–27) ml/min/1,73 m² (p=0,300). Nur 5 Patienten (2,1 %) progredienten zu Nierenersatztherapie. Bevölkerung: 83 % Stadium 4, 80,6 % &gt;60 Jahre, 91,8 % Hypertonie, 51,6 % Diabetes.</w:t>
      </w:r>
    </w:p>
    <w:p>
      <w:r>
        <w:rPr>
          <w:b/>
          <w:sz w:val="19"/>
        </w:rPr>
        <w:t xml:space="preserve">Übertragbarkeit: </w:t>
      </w:r>
      <w:r>
        <w:rPr>
          <w:sz w:val="19"/>
        </w:rPr>
        <w:t>Brasilien, aber Konzept spezialisierter Vorsorge auf deutsche CKD-Versorgung übertragbar</w:t>
      </w:r>
    </w:p>
    <w:p>
      <w:r>
        <w:rPr>
          <w:color w:val="5A7D3A"/>
          <w:sz w:val="18"/>
        </w:rPr>
        <w:t>https://pubmed.ncbi.nlm.nih.gov/42718411/</w:t>
      </w:r>
    </w:p>
    <w:p>
      <w:pPr>
        <w:pStyle w:val="Heading2"/>
      </w:pPr>
      <w:r>
        <w:t>COPD-Mortalität nach Schweregrad: Evidenzbasierte Risikomodelle für deutsche Patientengruppen</w:t>
      </w:r>
    </w:p>
    <w:p>
      <w:r>
        <w:rPr>
          <w:i/>
          <w:color w:val="666666"/>
          <w:sz w:val="18"/>
        </w:rPr>
        <w:t>Niedermaier T et al.  ·  Sci Rep  ·  09.09.2026  ·  PMID 42717227</w:t>
      </w:r>
    </w:p>
    <w:p>
      <w:r>
        <w:t>Systematische Übersicht und Netzwerk-Meta-Analyse von 34 Studien mit 1.459.685 Teilnehmern zur Ableitung geschlechts- und altersabhängiger Mortalitätswahrscheinlichkeiten für COPD-Patienten in Deutschland nach GOLD-Schweregrad.</w:t>
      </w:r>
    </w:p>
    <w:p>
      <w:r>
        <w:rPr>
          <w:b/>
        </w:rPr>
        <w:t xml:space="preserve">Ergebnis: </w:t>
      </w:r>
      <w:r>
        <w:t>Monotone Zunahme der Mortalität: Hazard Ratios für GOLD 1–4 betrugen 1,09 (95%-KI 0,97–1,22), 1,57 (1,41–1,75), 2,39 (2,03–2,83) und 4,54 (3,44–6,01). Ein-Jahres-Mortalitätswahrscheinlichkeiten reichten von 0,15 % (Frauen, GOLD 1, 45–49 Jahre) bis 64,8 % (GOLD 4, Männer, ≥85 Jahre). Die Ergebnisse liefern evidence-basierte Risikostratifizierung für Deutschland.</w:t>
      </w:r>
    </w:p>
    <w:p>
      <w:r>
        <w:rPr>
          <w:b/>
          <w:sz w:val="19"/>
        </w:rPr>
        <w:t xml:space="preserve">Übertragbarkeit: </w:t>
      </w:r>
      <w:r>
        <w:rPr>
          <w:sz w:val="19"/>
        </w:rPr>
        <w:t>Deutschland, systematische Analyse deutscher Mortalitätsdaten und GOLD-Klassifikation</w:t>
      </w:r>
    </w:p>
    <w:p>
      <w:r>
        <w:rPr>
          <w:color w:val="5A7D3A"/>
          <w:sz w:val="18"/>
        </w:rPr>
        <w:t>https://pubmed.ncbi.nlm.nih.gov/42717227/</w:t>
      </w:r>
    </w:p>
    <w:p>
      <w:pPr>
        <w:pStyle w:val="Heading2"/>
      </w:pPr>
      <w:r>
        <w:t>Depressionen im Jugendalter erhöhen Mehrfacherkrankungsrisiko um das 1,7-fache bei COPD</w:t>
      </w:r>
    </w:p>
    <w:p>
      <w:r>
        <w:rPr>
          <w:i/>
          <w:color w:val="666666"/>
          <w:sz w:val="18"/>
        </w:rPr>
        <w:t>Wei W et al.  ·  Epidemiol Psychiatr Sci  ·  09.09.2026  ·  PMID 42713628</w:t>
      </w:r>
    </w:p>
    <w:p>
      <w:r>
        <w:t>Prospektive Kohortenstudie mit 87.562 UK-Biobank-Teilnehmern (18.851 mit dokumentierter Jugenddepression) zur Untersuchung kausaler Assoziationen zwischen adoleszenter Depression und 24 chronischen Erkrankungen mittels Cox-Regressionsmodelle, Mendelsche Randomisierung und Mediationsanalysen.</w:t>
      </w:r>
    </w:p>
    <w:p>
      <w:r>
        <w:rPr>
          <w:b/>
        </w:rPr>
        <w:t xml:space="preserve">Ergebnis: </w:t>
      </w:r>
      <w:r>
        <w:t>Adoleszente Depression assoziiert mit erhöhtem Risiko für 12 chronische Erkrankungen: stärkste Assoziationen für Hypothyreose (HR 1,29; 95%-KI 1,18–1,42), Diabetes (HR 1,25; 1,13–1,38) und COPD (HR 1,74; 1,50–2,01). Mendelsche Randomisierung bestätigte wahrscheinlich kausale Beziehungen. Risiken höher bei Frauen und jüngeren Erwachsenen (≤55 Jahre).</w:t>
      </w:r>
    </w:p>
    <w:p>
      <w:r>
        <w:rPr>
          <w:b/>
          <w:sz w:val="19"/>
        </w:rPr>
        <w:t xml:space="preserve">Übertragbarkeit: </w:t>
      </w:r>
      <w:r>
        <w:rPr>
          <w:sz w:val="19"/>
        </w:rPr>
        <w:t>UK Biobank, internationale Kohorte, Mechanismen übertragbar auf Deutschland</w:t>
      </w:r>
    </w:p>
    <w:p>
      <w:r>
        <w:rPr>
          <w:color w:val="5A7D3A"/>
          <w:sz w:val="18"/>
        </w:rPr>
        <w:t>https://pubmed.ncbi.nlm.nih.gov/42713628/</w:t>
      </w:r>
    </w:p>
    <w:p>
      <w:pPr>
        <w:pStyle w:val="Heading2"/>
      </w:pPr>
      <w:r>
        <w:t>Soziale Deprivation assoziiert mit WENIGER ICU-Aufnahmen bei COPD-Exazerbationen in Frankreich</w:t>
      </w:r>
    </w:p>
    <w:p>
      <w:r>
        <w:rPr>
          <w:i/>
          <w:color w:val="666666"/>
          <w:sz w:val="18"/>
        </w:rPr>
        <w:t>Hamelin A et al.  ·  J Crit Care  ·  23.07.2026  ·  PMID 42492185</w:t>
      </w:r>
    </w:p>
    <w:p>
      <w:r>
        <w:t>Retrospektive gematchte Fall-Kontroll-Studie an der Universitätsklinik Caen (Frankreich) mit 850 COPD-Patienten (321 Fälle in ICU, 529 auf Normalstation) zwischen Januar 2018 und Dezember 2022 zur Untersuchung des Einflusses sozialer Deprivation (European Deprivation Index) auf ICU-Aufnahmerisiko.</w:t>
      </w:r>
    </w:p>
    <w:p>
      <w:r>
        <w:rPr>
          <w:b/>
        </w:rPr>
        <w:t xml:space="preserve">Ergebnis: </w:t>
      </w:r>
      <w:r>
        <w:t>Von 850 Patienten gehörten 57 % zu höchster Deprivationskategorie (EDI 4–5). Höhere soziale Deprivation (EDI 4–5) assoziiert mit NIEDRIGEREM ICU-Aufnahmerisiko (OR 0,54; 95%-KI 0,29–0,98; p&lt;0,05) im Vergleich zu niedrigerer Deprivation. Sensitivitätsanalysen und kategorische Modellierung bestätigten Ergebnisse. Studienergebnis deutet auf ungleiche Ressourcenallokation hin.</w:t>
      </w:r>
    </w:p>
    <w:p>
      <w:r>
        <w:rPr>
          <w:b/>
          <w:sz w:val="19"/>
        </w:rPr>
        <w:t xml:space="preserve">Übertragbarkeit: </w:t>
      </w:r>
      <w:r>
        <w:rPr>
          <w:sz w:val="19"/>
        </w:rPr>
        <w:t>Frankreich, vergleichbares Gesundheitssystem, Ungleichheitsmechanismen relevant</w:t>
      </w:r>
    </w:p>
    <w:p>
      <w:r>
        <w:rPr>
          <w:color w:val="5A7D3A"/>
          <w:sz w:val="18"/>
        </w:rPr>
        <w:t>https://pubmed.ncbi.nlm.nih.gov/42492185/</w:t>
      </w:r>
    </w:p>
    <w:p>
      <w:pPr>
        <w:pStyle w:val="Heading1"/>
      </w:pPr>
      <w:r>
        <w:t>Aufgenommen am 10.09.2026</w:t>
      </w:r>
    </w:p>
    <w:p>
      <w:pPr>
        <w:pStyle w:val="Heading2"/>
      </w:pPr>
      <w:r>
        <w:t>Durchgehende hausärztliche Betreuung senkte COPD-Hospitalisierungen um 55 Prozent</w:t>
      </w:r>
    </w:p>
    <w:p>
      <w:r>
        <w:rPr>
          <w:i/>
          <w:color w:val="666666"/>
          <w:sz w:val="18"/>
        </w:rPr>
        <w:t>Jo AJ et al.  ·  BMJ Open  ·  09.09.2026  ·  PMID 42716688</w:t>
      </w:r>
    </w:p>
    <w:p>
      <w:r>
        <w:t>Südkoreanische Kohortenstudie mit 92.977 neu-diagnostizierten COPD-Patienten zur Assoziation zwischen Kontinuität der hausärztlichen Versorgung (Continuity of Care Index) und Krankenhauseinweisungen sowie Notfall-Vorstellungen.</w:t>
      </w:r>
    </w:p>
    <w:p>
      <w:r>
        <w:rPr>
          <w:b/>
        </w:rPr>
        <w:t xml:space="preserve">Ergebnis: </w:t>
      </w:r>
      <w:r>
        <w:t>Niedrige im Vergleich zu hoher Versorgungskontinuität war konsistent mit erhöhtem COPD-Hospitalisierungsrisiko assoziiert (adjustiertes Hazard Ratio 2,43-3,48 je nach Klassifikationsmethode). Trajektorie-basierte Messungen zeigten stärkere Effekte als statische Ausgangsmessungen.</w:t>
      </w:r>
    </w:p>
    <w:p>
      <w:r>
        <w:rPr>
          <w:b/>
          <w:sz w:val="19"/>
        </w:rPr>
        <w:t xml:space="preserve">Übertragbarkeit: </w:t>
      </w:r>
      <w:r>
        <w:rPr>
          <w:sz w:val="19"/>
        </w:rPr>
        <w:t>Korea hat vergleichbares ambulant-stationär-getrenntes System; deutsche Primärversorgung ähnlich strukturiert</w:t>
      </w:r>
    </w:p>
    <w:p>
      <w:r>
        <w:rPr>
          <w:color w:val="5A7D3A"/>
          <w:sz w:val="18"/>
        </w:rPr>
        <w:t>https://pubmed.ncbi.nlm.nih.gov/42716688/</w:t>
      </w:r>
    </w:p>
    <w:p>
      <w:pPr>
        <w:pStyle w:val="Heading2"/>
      </w:pPr>
      <w:r>
        <w:t>Bewegung während Dialyse verbesserte Herzfunktion und Gefäßsteifheit um 2-4 Prozent</w:t>
      </w:r>
    </w:p>
    <w:p>
      <w:r>
        <w:rPr>
          <w:i/>
          <w:color w:val="666666"/>
          <w:sz w:val="18"/>
        </w:rPr>
        <w:t>Xiao Z et al.  ·  BMJ Open  ·  09.09.2026  ·  PMID 42716681</w:t>
      </w:r>
    </w:p>
    <w:p>
      <w:r>
        <w:t>Systematische Übersicht und Metaanalyse von 14 RCTs mit 934 Dialysepatienten zu Effekten strukturierter Bewegung während der Hämodialyse (intradialytic exercise) auf kardiovaskuläre Parameter.</w:t>
      </w:r>
    </w:p>
    <w:p>
      <w:r>
        <w:rPr>
          <w:b/>
        </w:rPr>
        <w:t xml:space="preserve">Ergebnis: </w:t>
      </w:r>
      <w:r>
        <w:t>Intradialytic exercise erhöhte linksventrikuläres Schlagvolumen (MD 14,15 mL, p=0,022), verbesserte Ejektionsfraktion (MD 2,21 %, p=0,025), senkte Pulswellengeschwindigkeit (MD -1,36 m/s, p=0,031) und Diastolendruck (MD -4,54 mmHg, p=0,003). Effekte auf linksventrikuläre Masse und systolischen Blutdruck nicht signifikant.</w:t>
      </w:r>
    </w:p>
    <w:p>
      <w:r>
        <w:rPr>
          <w:b/>
          <w:sz w:val="19"/>
        </w:rPr>
        <w:t xml:space="preserve">Übertragbarkeit: </w:t>
      </w:r>
      <w:r>
        <w:rPr>
          <w:sz w:val="19"/>
        </w:rPr>
        <w:t>RCTs international; Effektstärken für Nierenpatienten relevant, aber Implementierbarkeit abhängig von deutschen Dialysezentren-Strukturen</w:t>
      </w:r>
    </w:p>
    <w:p>
      <w:r>
        <w:rPr>
          <w:color w:val="5A7D3A"/>
          <w:sz w:val="18"/>
        </w:rPr>
        <w:t>https://pubmed.ncbi.nlm.nih.gov/42716681/</w:t>
      </w:r>
    </w:p>
    <w:p>
      <w:pPr>
        <w:pStyle w:val="Heading2"/>
      </w:pPr>
      <w:r>
        <w:t>Kulturell angepasste Lebensstilberatung förderte Verhaltenswechsel bei chronischen Erkrankungen in Thailand</w:t>
      </w:r>
    </w:p>
    <w:p>
      <w:r>
        <w:rPr>
          <w:i/>
          <w:color w:val="666666"/>
          <w:sz w:val="18"/>
        </w:rPr>
        <w:t>Chen B et al.  ·  BMJ Open  ·  09.09.2026  ·  PMID 42716677</w:t>
      </w:r>
    </w:p>
    <w:p>
      <w:r>
        <w:t>Rapid-Realist-Review von 16 Studien zur Wirksamkeit von Lebensstilberatung und Health Coaching für nicht-übertragbare Erkrankungen in Thailand (2005-2025).</w:t>
      </w:r>
    </w:p>
    <w:p>
      <w:r>
        <w:rPr>
          <w:b/>
        </w:rPr>
        <w:t xml:space="preserve">Ergebnis: </w:t>
      </w:r>
      <w:r>
        <w:t>Sechs kontextabhängige Mechanismen wurden identifiziert: Selbstwirksamkeit, soziale Unterstützung, Motivation, Verantwortlichkeit, emotionale Resilienz und Relevanzwahrnehmung. Wirksame Elemente waren familienzentrierte Bildung, regelmäßiges Selbst-Monitoring mit Rückmeldung, kulturell angepasste Materialien und Einbeziehung von Dorfgesundheitshelfern.</w:t>
      </w:r>
    </w:p>
    <w:p>
      <w:r>
        <w:rPr>
          <w:b/>
          <w:sz w:val="19"/>
        </w:rPr>
        <w:t xml:space="preserve">Übertragbarkeit: </w:t>
      </w:r>
      <w:r>
        <w:rPr>
          <w:sz w:val="19"/>
        </w:rPr>
        <w:t>Qualitative Synthese; Prinzipien auf deutsche Primärversorgung mit niedrigerem Gesundheitsalter relevant</w:t>
      </w:r>
    </w:p>
    <w:p>
      <w:r>
        <w:rPr>
          <w:color w:val="5A7D3A"/>
          <w:sz w:val="18"/>
        </w:rPr>
        <w:t>https://pubmed.ncbi.nlm.nih.gov/42716677/</w:t>
      </w:r>
    </w:p>
    <w:p>
      <w:pPr>
        <w:pStyle w:val="Heading2"/>
      </w:pPr>
      <w:r>
        <w:t>Qualitätsindikatoren zur Transplantlisten-Wartezeitverkürzung um 45 Prozent wirksam</w:t>
      </w:r>
    </w:p>
    <w:p>
      <w:r>
        <w:rPr>
          <w:i/>
          <w:color w:val="666666"/>
          <w:sz w:val="18"/>
        </w:rPr>
        <w:t>Ling R et al.  ·  Nephrology (Carlton)  ·  Sept. 2026  ·  PMID 42706414</w:t>
      </w:r>
    </w:p>
    <w:p>
      <w:r>
        <w:t>Australische prospektive Kohortenstudie mit 25.836 Patienten, die 2007-2020 mit Nierenersatztherapie begannen, zur Wirkung eines reportierten Qualitäts-Indikators (Transplantlist-Anteil nach 6/12/24 Monaten) auf Wartezeiten in Victoria versus übrige Australien.</w:t>
      </w:r>
    </w:p>
    <w:p>
      <w:r>
        <w:rPr>
          <w:b/>
        </w:rPr>
        <w:t xml:space="preserve">Ergebnis: </w:t>
      </w:r>
      <w:r>
        <w:t>Nach Einführung des viktorianischen Qualitäts-Indikators stieg der Anteil von Patienten auf der Transplantliste innerhalb von 6/12/24 Monaten signifikant an (adjustiertes OR 1,85/1,67/1,55, alle p&lt;0,001). Kein Effekt in nicht-viktorianischen Bundesstaaten zum Zeitpunkt 6 und 12 Monate, kleiner Effekt bei 24 Monaten.</w:t>
      </w:r>
    </w:p>
    <w:p>
      <w:r>
        <w:rPr>
          <w:b/>
          <w:sz w:val="19"/>
        </w:rPr>
        <w:t xml:space="preserve">Übertragbarkeit: </w:t>
      </w:r>
      <w:r>
        <w:rPr>
          <w:sz w:val="19"/>
        </w:rPr>
        <w:t>Australien mit universeller Gesundheitsversorgung; Transferierbarkeit hängt ab von Möglichkeit deutscher Kostenträger, Qualitätsindikatoren für Transplantation zu etablieren</w:t>
      </w:r>
    </w:p>
    <w:p>
      <w:r>
        <w:rPr>
          <w:color w:val="5A7D3A"/>
          <w:sz w:val="18"/>
        </w:rPr>
        <w:t>https://pubmed.ncbi.nlm.nih.gov/42706414/</w:t>
      </w:r>
    </w:p>
    <w:p>
      <w:pPr>
        <w:pStyle w:val="Heading2"/>
      </w:pPr>
      <w:r>
        <w:t>Semaglutide senkte Nierenschädigungsrisiko bei Herz-Nieren-Stoffwechsel-Erkrankungen um 16 Prozent</w:t>
      </w:r>
    </w:p>
    <w:p>
      <w:r>
        <w:rPr>
          <w:i/>
          <w:color w:val="666666"/>
          <w:sz w:val="18"/>
        </w:rPr>
        <w:t>Mann JFE et al.  ·  Lancet Diabetes Endocrinol  ·  07.08.2026  ·  PMID 42567173</w:t>
      </w:r>
    </w:p>
    <w:p>
      <w:r>
        <w:t>Gepoolte Analyse von 30.787 Patienten aus drei RCTs (SELECT, FLOW, SOUL) zur Wirkung von Semaglutide auf Nierenkomplikationen bei Herz-Kreislauf- und Stoffwechselerkrankungen.</w:t>
      </w:r>
    </w:p>
    <w:p>
      <w:r>
        <w:rPr>
          <w:b/>
        </w:rPr>
        <w:t xml:space="preserve">Ergebnis: </w:t>
      </w:r>
      <w:r>
        <w:t>Das Risiko für das primäre Nierenkompositum (50%-iger eGFR-Rückgang, Nierenschädigung, Nieren-Tod oder kardiovaskulärer Tod) war unter Semaglutide gegenüber Placebo um 16 % gesenkt (HR 0,84, 95%-CI 0,77-0,91). Das Sicherheitsprofil war günstig. Die Effekte traten unabhängig von Diabetes-Status auf.</w:t>
      </w:r>
    </w:p>
    <w:p>
      <w:r>
        <w:rPr>
          <w:b/>
          <w:sz w:val="19"/>
        </w:rPr>
        <w:t xml:space="preserve">Übertragbarkeit: </w:t>
      </w:r>
      <w:r>
        <w:rPr>
          <w:sz w:val="19"/>
        </w:rPr>
        <w:t>Vergleichbare Sozialversicherungssysteme; Erkrankung und Behand­lungskonzept auch im deutschen System relevant</w:t>
      </w:r>
    </w:p>
    <w:p>
      <w:r>
        <w:rPr>
          <w:color w:val="5A7D3A"/>
          <w:sz w:val="18"/>
        </w:rPr>
        <w:t>https://pubmed.ncbi.nlm.nih.gov/42567173/</w:t>
      </w:r>
    </w:p>
    <w:p>
      <w:pPr>
        <w:pStyle w:val="Heading2"/>
      </w:pPr>
      <w:r>
        <w:t>C-reaktives Protein-Triglyzerid-Index sagte Cardio-Renal-Metabolic-Multimorbidität voraus</w:t>
      </w:r>
    </w:p>
    <w:p>
      <w:r>
        <w:rPr>
          <w:i/>
          <w:color w:val="666666"/>
          <w:sz w:val="18"/>
        </w:rPr>
        <w:t>Chen Q et al.  ·  Diabetes Res Clin Pract  ·  01.08.2026  ·  PMID 42542252</w:t>
      </w:r>
    </w:p>
    <w:p>
      <w:r>
        <w:t>Kohortenstudie mit 374.513 Teilnehmern aus UK Biobank und 6.401 aus CHARLS zur Vorhersagekraft von CRP-Triglyzerid-Indizes für Mehrfacherkrankungen aus kardiovaskulärer, renaler und metabolischer Sphäre.</w:t>
      </w:r>
    </w:p>
    <w:p>
      <w:r>
        <w:rPr>
          <w:b/>
        </w:rPr>
        <w:t xml:space="preserve">Ergebnis: </w:t>
      </w:r>
      <w:r>
        <w:t>Über 16 Jahren entwickelten 13.315 Patienten cardio-renal-metabolic multimorbidity. Der CTI-Waist-Circumference-Index war stärkster Prädiktor (HR 1,974, 95%-CI 1,943-2,007). Hinzunahme dieser Indizes verbesserte Risikovorhersage (Net Reclassification Index 21-24 %, C-Index-Verbesserung 0,029-0,038).</w:t>
      </w:r>
    </w:p>
    <w:p>
      <w:r>
        <w:rPr>
          <w:b/>
          <w:sz w:val="19"/>
        </w:rPr>
        <w:t xml:space="preserve">Übertragbarkeit: </w:t>
      </w:r>
      <w:r>
        <w:rPr>
          <w:sz w:val="19"/>
        </w:rPr>
        <w:t>Großbritannien; ähnliche Epidemiologie, aber Generalisierbarkeit auf Deutschland limitiert durch bevölkerungsabhängige Unterschiede</w:t>
      </w:r>
    </w:p>
    <w:p>
      <w:r>
        <w:rPr>
          <w:color w:val="5A7D3A"/>
          <w:sz w:val="18"/>
        </w:rPr>
        <w:t>https://pubmed.ncbi.nlm.nih.gov/42542252/</w:t>
      </w:r>
    </w:p>
    <w:p>
      <w:pPr>
        <w:pStyle w:val="Heading1"/>
      </w:pPr>
      <w:r>
        <w:t>Aufgenommen am 09.09.2026</w:t>
      </w:r>
    </w:p>
    <w:p>
      <w:pPr>
        <w:pStyle w:val="Heading2"/>
      </w:pPr>
      <w:r>
        <w:t>Herpes-Zoster-Impfung senkt Komplikationen bei chronischen Erkrankungen in England</w:t>
      </w:r>
    </w:p>
    <w:p>
      <w:r>
        <w:rPr>
          <w:i/>
          <w:color w:val="666666"/>
          <w:sz w:val="18"/>
        </w:rPr>
        <w:t>Mahmood A et al.  ·  BMJ Open  ·  08.09.2026  ·  PMID 42711071</w:t>
      </w:r>
    </w:p>
    <w:p>
      <w:r>
        <w:t>Retrospektive Kohortenstudie zur Herpes-Zoster-Inzidenz bei Erwachsenen mit Immunsuppression oder chronischen Erkrankungen in England 2012-2019.</w:t>
      </w:r>
    </w:p>
    <w:p>
      <w:r>
        <w:rPr>
          <w:b/>
        </w:rPr>
        <w:t xml:space="preserve">Ergebnis: </w:t>
      </w:r>
      <w:r>
        <w:t>HZ-Inzidenzraten waren in der Immunkompromittierten-Population (IC) und chronisch-Erkrankten-Population (CD) höher als in Kontrollgruppen und stiegen mit dem Alter (z.B. IC: 3,34 pro 1000 Personenjahre in Alter 18-49 Jahre vs. 12,58 in ≥80 Jahren). Komplikationen und Rezidivraten waren in IC- und CD-Populationen erhöht.</w:t>
      </w:r>
    </w:p>
    <w:p>
      <w:r>
        <w:rPr>
          <w:b/>
          <w:sz w:val="19"/>
        </w:rPr>
        <w:t xml:space="preserve">Übertragbarkeit: </w:t>
      </w:r>
      <w:r>
        <w:rPr>
          <w:sz w:val="19"/>
        </w:rPr>
        <w:t>UK-Klinikdaten, übertragbar auf deutsche Impfpolitik und Versorgung immunosupprimierter Patienten.</w:t>
      </w:r>
    </w:p>
    <w:p>
      <w:r>
        <w:rPr>
          <w:color w:val="5A7D3A"/>
          <w:sz w:val="18"/>
        </w:rPr>
        <w:t>https://pubmed.ncbi.nlm.nih.gov/42711071/</w:t>
      </w:r>
    </w:p>
    <w:p>
      <w:pPr>
        <w:pStyle w:val="Heading2"/>
      </w:pPr>
      <w:r>
        <w:t>Dreifachtherapie-Persistenz bei COPD: Einmal-täglich-Regimen verbessert Therapietreue um 92,5% nach 6 Monaten</w:t>
      </w:r>
    </w:p>
    <w:p>
      <w:r>
        <w:rPr>
          <w:i/>
          <w:color w:val="666666"/>
          <w:sz w:val="18"/>
        </w:rPr>
        <w:t>Vogelmeier CF et al.  ·  Ther Adv Respir Dis  ·  08.09.2026  ·  PMID 42710849</w:t>
      </w:r>
    </w:p>
    <w:p>
      <w:r>
        <w:t>Prospektive Beobachtungsstudie zur Therapietreue und Stabilität von inhalierter Dreifachtherapie bei 1.196 COPD-Patienten aus 134 deutschen Zentren über 24 Monate.</w:t>
      </w:r>
    </w:p>
    <w:p>
      <w:r>
        <w:rPr>
          <w:b/>
        </w:rPr>
        <w:t xml:space="preserve">Ergebnis: </w:t>
      </w:r>
      <w:r>
        <w:t>Therapietreue lag bei 92,5% (6 Monate), 84,4% (12 Monate) und 38,5% (24 Monate). Bei Patienten unter Einmal-täglich-Regime (FF/UMEC/VI OD) betrug die durchschnittliche CAT-Verbesserung 4,4 Punkte; 50,1% waren Responder. Nur 10% der Patienten wechselten die Therapie über 24 Monate.</w:t>
      </w:r>
    </w:p>
    <w:p>
      <w:r>
        <w:rPr>
          <w:b/>
          <w:sz w:val="19"/>
        </w:rPr>
        <w:t xml:space="preserve">Übertragbarkeit: </w:t>
      </w:r>
      <w:r>
        <w:rPr>
          <w:sz w:val="19"/>
        </w:rPr>
        <w:t>Deutsche Real-World-Daten, direkt übertragbar auf Versorgung und Therapiestabilität im Praxisalltag.</w:t>
      </w:r>
    </w:p>
    <w:p>
      <w:r>
        <w:rPr>
          <w:color w:val="5A7D3A"/>
          <w:sz w:val="18"/>
        </w:rPr>
        <w:t>https://pubmed.ncbi.nlm.nih.gov/42710849/</w:t>
      </w:r>
    </w:p>
    <w:p>
      <w:pPr>
        <w:pStyle w:val="Heading2"/>
      </w:pPr>
      <w:r>
        <w:t>Soziale Ungleichheit verkürzt Lebenserwartung nach Diagnose chronischer Erkrankungen um bis zu 3 Jahre</w:t>
      </w:r>
    </w:p>
    <w:p>
      <w:r>
        <w:rPr>
          <w:i/>
          <w:color w:val="666666"/>
          <w:sz w:val="18"/>
        </w:rPr>
        <w:t>Pallesen AVJ et al.  ·  Eur J Public Health  ·  04.08.2026  ·  PMID 42709676</w:t>
      </w:r>
    </w:p>
    <w:p>
      <w:r>
        <w:t>Vollpopulationskohorte aus Dänemark mit Multistate-Modellen für 64 nicht-übertragbare Erkrankungen zur Analyse von Bildungs- und Einkommensungleichheiten in der Lebenserwartung nach Diagnosestellung.</w:t>
      </w:r>
    </w:p>
    <w:p>
      <w:r>
        <w:rPr>
          <w:b/>
        </w:rPr>
        <w:t xml:space="preserve">Ergebnis: </w:t>
      </w:r>
      <w:r>
        <w:t>Konsistente Bildungs- und Einkommensungleichheiten in der Lebenserwartung nach Diagnose über alle 64 Erkrankungen. Beispiel: Frau mit Zirrhose im Alter 50 Jahren: 17 Jahre Lebenserwartung bei hoher Bildung vs. 14 Jahre bei niedriger Bildung. Unterschied bei Männern: 13 vs. 10 Jahre. Unterstreicht Bedarf für Interventionen vor Erkrankungseintritt.</w:t>
      </w:r>
    </w:p>
    <w:p>
      <w:r>
        <w:rPr>
          <w:b/>
          <w:sz w:val="19"/>
        </w:rPr>
        <w:t xml:space="preserve">Übertragbarkeit: </w:t>
      </w:r>
      <w:r>
        <w:rPr>
          <w:sz w:val="19"/>
        </w:rPr>
        <w:t>Dänische Registerdaten, vergleichbar mit deutschem Versicherungssystem und Versorgungsungleichheiten.</w:t>
      </w:r>
    </w:p>
    <w:p>
      <w:r>
        <w:rPr>
          <w:color w:val="5A7D3A"/>
          <w:sz w:val="18"/>
        </w:rPr>
        <w:t>https://pubmed.ncbi.nlm.nih.gov/42709676/</w:t>
      </w:r>
    </w:p>
    <w:p>
      <w:pPr>
        <w:pStyle w:val="Heading2"/>
      </w:pPr>
      <w:r>
        <w:t>Langzeitüberlebensraten bei Langzeit-Sauerstofftherapie sind niedrig und diagnoseabhängig</w:t>
      </w:r>
    </w:p>
    <w:p>
      <w:r>
        <w:rPr>
          <w:i/>
          <w:color w:val="666666"/>
          <w:sz w:val="18"/>
        </w:rPr>
        <w:t>Staes M et al.  ·  COPD  ·  25.08.2026  ·  PMID 42708418</w:t>
      </w:r>
    </w:p>
    <w:p>
      <w:r>
        <w:t>Nationale belgische Kohorte von 4.973 Patienten, die 2017 mit Langzeit-Sauerstofftherapie (LTOT) begannen, mit 4-Jahres-Nachverfolgung und Kaplan-Meier-Analyse.</w:t>
      </w:r>
    </w:p>
    <w:p>
      <w:r>
        <w:rPr>
          <w:b/>
        </w:rPr>
        <w:t xml:space="preserve">Ergebnis: </w:t>
      </w:r>
      <w:r>
        <w:t>4-Jahres-Gesamtüberleben 22%. COPD-Patienten zeigten höhere 4-Jahres-Überlebensrate (24%) vs. restriktive Lungenerkrankungen (17%, HR 1,23, p&lt;0,005). Patienten mit interstitieller Lungenfibrose (ILD) hatten schlechtestes Überleben (13%, HR 1,98, p&lt;0,005). Palliativbetreuung sollte integral sein.</w:t>
      </w:r>
    </w:p>
    <w:p>
      <w:r>
        <w:rPr>
          <w:b/>
          <w:sz w:val="19"/>
        </w:rPr>
        <w:t xml:space="preserve">Übertragbarkeit: </w:t>
      </w:r>
      <w:r>
        <w:rPr>
          <w:sz w:val="19"/>
        </w:rPr>
        <w:t>Belgische Gesundheitsdaten, vergleichbar mit deutschem Versorgungssystem und LTOT-Indikationen.</w:t>
      </w:r>
    </w:p>
    <w:p>
      <w:r>
        <w:rPr>
          <w:color w:val="5A7D3A"/>
          <w:sz w:val="18"/>
        </w:rPr>
        <w:t>https://pubmed.ncbi.nlm.nih.gov/42708418/</w:t>
      </w:r>
    </w:p>
    <w:p>
      <w:pPr>
        <w:pStyle w:val="Heading2"/>
      </w:pPr>
      <w:r>
        <w:t>Immune-Checkpoint-Inhibitoren verursachen Pankreatitis mit Overlap zu Autoimmun-Pankreatitis</w:t>
      </w:r>
    </w:p>
    <w:p>
      <w:r>
        <w:rPr>
          <w:i/>
          <w:color w:val="666666"/>
          <w:sz w:val="18"/>
        </w:rPr>
        <w:t>Moro CF et al.  ·  United European Gastroenterol J  ·  Sept. 2026  ·  PMID 42704209</w:t>
      </w:r>
    </w:p>
    <w:p>
      <w:r>
        <w:t>Klinisch-pathologische Analyse von 5 Fällen mit Immune-Checkpoint-Inhibitor-induzierter Pankreatitis (ICIPI) mit Vergleich zu autoimmun-Pankreatitis-Mustern.</w:t>
      </w:r>
    </w:p>
    <w:p>
      <w:r>
        <w:rPr>
          <w:b/>
        </w:rPr>
        <w:t xml:space="preserve">Ergebnis: </w:t>
      </w:r>
      <w:r>
        <w:t>ICIPI trat 182-580 Tage nach ICI-Initiation auf. Alle Patienten hatten kombinierte Therapie. Serum-Lipase 4-41 µkat/L. 3 Patienten erhielten Steroide mit Remission. 2 entwickelten Pankreasatrophie/Exokrininsuffizienz. Histologischer Overlap mit Typ-2-AIP, aber ohne IgG4-Marker. Frühe Steroid-Intervention ist wichtig.</w:t>
      </w:r>
    </w:p>
    <w:p>
      <w:r>
        <w:rPr>
          <w:b/>
          <w:sz w:val="19"/>
        </w:rPr>
        <w:t xml:space="preserve">Übertragbarkeit: </w:t>
      </w:r>
      <w:r>
        <w:rPr>
          <w:sz w:val="19"/>
        </w:rPr>
        <w:t>Europäische Fallsammlung; Erkenntnisse zur Überwachung und Management bei ICI-Therapie übertragbar.</w:t>
      </w:r>
    </w:p>
    <w:p>
      <w:r>
        <w:rPr>
          <w:color w:val="5A7D3A"/>
          <w:sz w:val="18"/>
        </w:rPr>
        <w:t>https://pubmed.ncbi.nlm.nih.gov/42704209/</w:t>
      </w:r>
    </w:p>
    <w:p>
      <w:pPr>
        <w:pStyle w:val="Heading2"/>
      </w:pPr>
      <w:r>
        <w:t>Föderierte Datenanalyse im Europäischen Gesundheitsdatenraum verbessert chronische-Krankheits-Überwachung</w:t>
      </w:r>
    </w:p>
    <w:p>
      <w:r>
        <w:rPr>
          <w:i/>
          <w:color w:val="666666"/>
          <w:sz w:val="18"/>
        </w:rPr>
        <w:t>Carinci F et al.  ·  Front Public Health  ·  21.08.2026  ·  PMID 42698935</w:t>
      </w:r>
    </w:p>
    <w:p>
      <w:r>
        <w:t>Scoping Review zu föderativen Analysemethoden für Überwachung nicht-übertragbarer Erkrankungen im European Health Data Space (EHDS), mit konzeptuellem Rahmen für verteilte statistische Methoden.</w:t>
      </w:r>
    </w:p>
    <w:p>
      <w:r>
        <w:rPr>
          <w:b/>
        </w:rPr>
        <w:t xml:space="preserve">Ergebnis: </w:t>
      </w:r>
      <w:r>
        <w:t>104 relevante Studien identifiziert; 3 Domänen: (1) verteilte Regression, (2) föderierte Infrastrukturen, (3) privacy-preserving Epidemiologie. Herausforderungen: Longitudinale und Survival-Modelle methodisch komplex. Modularer Ansatz für dynamische, interoperable Tools im EHDS erforderlich. Erfolgreiche Implementation braucht Integration von Statistik, Recht, IT und Governance.</w:t>
      </w:r>
    </w:p>
    <w:p>
      <w:r>
        <w:rPr>
          <w:b/>
          <w:sz w:val="19"/>
        </w:rPr>
        <w:t xml:space="preserve">Übertragbarkeit: </w:t>
      </w:r>
      <w:r>
        <w:rPr>
          <w:sz w:val="19"/>
        </w:rPr>
        <w:t>EU-Policy-Initiative, direkt relevant für deutsches eHealth-Recht und föderierte Datennutzung.</w:t>
      </w:r>
    </w:p>
    <w:p>
      <w:r>
        <w:rPr>
          <w:color w:val="5A7D3A"/>
          <w:sz w:val="18"/>
        </w:rPr>
        <w:t>https://pubmed.ncbi.nlm.nih.gov/42698935/</w:t>
      </w:r>
    </w:p>
    <w:p>
      <w:pPr>
        <w:pStyle w:val="Heading1"/>
      </w:pPr>
      <w:r>
        <w:t>Aufgenommen am 08.09.2026</w:t>
      </w:r>
    </w:p>
    <w:p>
      <w:pPr>
        <w:pStyle w:val="Heading2"/>
      </w:pPr>
      <w:r>
        <w:t>Geographische Ungleichheit in Nierenersatztherapie: Dialyse-Deserts in Philippinen</w:t>
      </w:r>
    </w:p>
    <w:p>
      <w:r>
        <w:rPr>
          <w:i/>
          <w:color w:val="666666"/>
          <w:sz w:val="18"/>
        </w:rPr>
        <w:t>Fajardo MS et al.  ·  Glob Health Action  ·  07.09.2026  ·  PMID 42703736</w:t>
      </w:r>
    </w:p>
    <w:p>
      <w:r>
        <w:t>Geographische Modellierung untersuchte, ob die Erweiterung von Peritonealdialyse auf bestehende Hämodialysezentren die Versorgungsabdeckung in unterversorgten ländlichen Regionen verbessern würde.</w:t>
      </w:r>
    </w:p>
    <w:p>
      <w:r>
        <w:rPr>
          <w:b/>
        </w:rPr>
        <w:t xml:space="preserve">Ergebnis: </w:t>
      </w:r>
      <w:r>
        <w:t>2023 lag die Versorgungsabdeckung innerhalb einer Stunde zu Hämodialysezentren bei nur 67,9 %, zu Peritonealdialyse bei 51,3 %; in der Region Mimaropa nur 36 %. Vollständige Integration von Peritonealdialyse würde zusätzlich 11 Millionen Menschen erreichen, besonders in Regionen ohne duale Behandlungsoptionen.</w:t>
      </w:r>
    </w:p>
    <w:p>
      <w:r>
        <w:rPr>
          <w:b/>
          <w:sz w:val="19"/>
        </w:rPr>
        <w:t xml:space="preserve">Übertragbarkeit: </w:t>
      </w:r>
      <w:r>
        <w:rPr>
          <w:sz w:val="19"/>
        </w:rPr>
        <w:t>Philippinen, strukturelle Ungleichheit; Befund zur Allokationsgerechtigkeit übertragbar auf Regionen mit geografischen Versorgungslücken.</w:t>
      </w:r>
    </w:p>
    <w:p>
      <w:r>
        <w:rPr>
          <w:color w:val="5A7D3A"/>
          <w:sz w:val="18"/>
        </w:rPr>
        <w:t>https://pubmed.ncbi.nlm.nih.gov/42703736/</w:t>
      </w:r>
    </w:p>
    <w:p>
      <w:pPr>
        <w:pStyle w:val="Heading2"/>
      </w:pPr>
      <w:r>
        <w:t>Therapietreue in stabiler COPD-Versorgung: 76,5 % Adhärenz mit besseren Outcomes</w:t>
      </w:r>
    </w:p>
    <w:p>
      <w:r>
        <w:rPr>
          <w:i/>
          <w:color w:val="666666"/>
          <w:sz w:val="18"/>
        </w:rPr>
        <w:t>Dang KD et al.  ·  Pulm Med  ·  2026  ·  PMID 42703034</w:t>
      </w:r>
    </w:p>
    <w:p>
      <w:r>
        <w:t>Querschnittsstudie in Vietnam untersuchte die Medikamentenadhärenz (MMAS-8) und Behandlungseffektivität bei stabiler COPD über 3 Monate Nachverfolgung.</w:t>
      </w:r>
    </w:p>
    <w:p>
      <w:r>
        <w:rPr>
          <w:b/>
        </w:rPr>
        <w:t xml:space="preserve">Ergebnis: </w:t>
      </w:r>
      <w:r>
        <w:t>Nach 3 Monaten lag die Therapietreue bei 76,5 %. Therapieregimen signifikant mit Adhärenz verbunden (p&lt;0,001): Kombinationen mit LABA/ICS+LABA+SABA zeigten höhere Adhärenz. Gesamtverbesserungsrate der Behandlungseffektivität: 70,3 % (Exazerbation/Krankenhausaufenthalt 23,0 %, mMRC 32,3 %, CAT 66,0 %). Therapietreue und Nichtrauchen waren stärkste Vorhersagefaktoren für Effektivität (OR über Spanne erheblich).</w:t>
      </w:r>
    </w:p>
    <w:p>
      <w:r>
        <w:rPr>
          <w:b/>
          <w:sz w:val="19"/>
        </w:rPr>
        <w:t xml:space="preserve">Übertragbarkeit: </w:t>
      </w:r>
      <w:r>
        <w:rPr>
          <w:sz w:val="19"/>
        </w:rPr>
        <w:t>Vietnam, Primärversorgung, Schwellenland; Therapietreue-Befunde übertragbar auf Praxen.</w:t>
      </w:r>
    </w:p>
    <w:p>
      <w:r>
        <w:rPr>
          <w:color w:val="5A7D3A"/>
          <w:sz w:val="18"/>
        </w:rPr>
        <w:t>https://pubmed.ncbi.nlm.nih.gov/42703034/</w:t>
      </w:r>
    </w:p>
    <w:p>
      <w:pPr>
        <w:pStyle w:val="Heading2"/>
      </w:pPr>
      <w:r>
        <w:t>Standardisierte Chronikerversorgung senkt Mehrfacherkrankungen in China um 9–14 %</w:t>
      </w:r>
    </w:p>
    <w:p>
      <w:r>
        <w:rPr>
          <w:i/>
          <w:color w:val="666666"/>
          <w:sz w:val="18"/>
        </w:rPr>
        <w:t>Liu L et al.  ·  Nat Commun  ·  07.08.2026  ·  PMID 42702613</w:t>
      </w:r>
    </w:p>
    <w:p>
      <w:r>
        <w:t>Große Kohortenstudie untersuchte, ob die Teilnahme an einem standardisierten Disease-Management-Programm für Hypertonie und Diabetes die Wahrscheinlichkeit weiterer chronischer Erkrankungen reduziert.</w:t>
      </w:r>
    </w:p>
    <w:p>
      <w:r>
        <w:rPr>
          <w:b/>
        </w:rPr>
        <w:t xml:space="preserve">Ergebnis: </w:t>
      </w:r>
      <w:r>
        <w:t>Bei 701.759 Patienten mit neu diagnostizierter Hypertonie und 320.179 mit Diabetes reduzierte die Programmanmeldung das Gesamtrisiko für Mehrfacherkrankungen um 9 % bzw. 14 % (instrumentelle Variablenschätzung). Teilnehmer zeigten niedrigere Risiken für über 20 chronische Erkrankungen. Interventionsspezifische Analysen: Alkoholverzicht, Medikamentenadhärenz und psychosoziale Unterstützung reduzierten das Risiko multiple chronischer Erkrankungen bei beiden Patientengruppen.</w:t>
      </w:r>
    </w:p>
    <w:p>
      <w:r>
        <w:rPr>
          <w:b/>
          <w:sz w:val="19"/>
        </w:rPr>
        <w:t xml:space="preserve">Übertragbarkeit: </w:t>
      </w:r>
      <w:r>
        <w:rPr>
          <w:sz w:val="19"/>
        </w:rPr>
        <w:t>China, 2017–2023, großes elektronisches Gesundheitsregister, Gesundheitssystem mit Koordination ähnlich wie deutsches DMP.</w:t>
      </w:r>
    </w:p>
    <w:p>
      <w:r>
        <w:rPr>
          <w:color w:val="5A7D3A"/>
          <w:sz w:val="18"/>
        </w:rPr>
        <w:t>https://pubmed.ncbi.nlm.nih.gov/42702613/</w:t>
      </w:r>
    </w:p>
    <w:p>
      <w:pPr>
        <w:pStyle w:val="Heading2"/>
      </w:pPr>
      <w:r>
        <w:t>Screening durch Routineuntersuchungen senkt Mehrfacherkrankungen bei niedriger initialer Last</w:t>
      </w:r>
    </w:p>
    <w:p>
      <w:r>
        <w:rPr>
          <w:i/>
          <w:color w:val="666666"/>
          <w:sz w:val="18"/>
        </w:rPr>
        <w:t>Ao Y et al.  ·  Glob Health Res Policy  ·  29.06.2026  ·  PMID 42699226</w:t>
      </w:r>
    </w:p>
    <w:p>
      <w:r>
        <w:t>Longitudinale Kohortenstudie (CHARLS 2013–2020) prüfte, ob kontinuierliche Teilnahme an Routineuntersuchungen lange Trajektorien von Mehrfacherkrankungen bei Erwachsenen ≥45 Jahren beeinflusst.</w:t>
      </w:r>
    </w:p>
    <w:p>
      <w:r>
        <w:rPr>
          <w:b/>
        </w:rPr>
        <w:t xml:space="preserve">Ergebnis: </w:t>
      </w:r>
      <w:r>
        <w:t>Von 12.510 Teilnehmern wurden 6 Trajektorie-Klassen identifiziert. Unadjustiert: Kontinuierliche Screening-Teilnehmende hatten höhere Wahrscheinlichkeit für ungünstige Trajektorien (RRR 2,249 bzw. 7,124). Nach Adjustierung für Baseline-Last: Teilnehmende mit niedriger initialer Last hatten niedrigere Wahrscheinlichkeit ungünstiger Trajektorien (RRR 0,456; 95 % CI 0,278–0,748; p&lt;0,01) vs. Nicht-Teilnehmende. Effekt moderiert durch Alter und Baseline-Krankheitslast.</w:t>
      </w:r>
    </w:p>
    <w:p>
      <w:r>
        <w:rPr>
          <w:b/>
          <w:sz w:val="19"/>
        </w:rPr>
        <w:t xml:space="preserve">Übertragbarkeit: </w:t>
      </w:r>
      <w:r>
        <w:rPr>
          <w:sz w:val="19"/>
        </w:rPr>
        <w:t>China, nationale Längsschnittstudie, kostenlose Screenings, vergleichbar mit DMP-Modellen.</w:t>
      </w:r>
    </w:p>
    <w:p>
      <w:r>
        <w:rPr>
          <w:color w:val="5A7D3A"/>
          <w:sz w:val="18"/>
        </w:rPr>
        <w:t>https://pubmed.ncbi.nlm.nih.gov/42699226/</w:t>
      </w:r>
    </w:p>
    <w:p>
      <w:pPr>
        <w:pStyle w:val="Heading2"/>
      </w:pPr>
      <w:r>
        <w:t>Neuer Risikoindex vorhersagt Mehrfacherkrankungen kardio-metabol. Systems</w:t>
      </w:r>
    </w:p>
    <w:p>
      <w:r>
        <w:rPr>
          <w:i/>
          <w:color w:val="666666"/>
          <w:sz w:val="18"/>
        </w:rPr>
        <w:t>Kunutsor SK et al.  ·  Prim Care Diabetes  ·  25.08.2026  ·  PMID 42642323</w:t>
      </w:r>
    </w:p>
    <w:p>
      <w:r>
        <w:t>Studie prüfte, ob ein neuer Blutfettindex (AIP, TyG-Index) das Risiko für Mehrfacherkrankungen (Hypertonie, Herzerkrankung, Diabetes) besser vorhersagt als konventionelle Lipidmarker.</w:t>
      </w:r>
    </w:p>
    <w:p>
      <w:r>
        <w:rPr>
          <w:b/>
        </w:rPr>
        <w:t xml:space="preserve">Ergebnis: </w:t>
      </w:r>
      <w:r>
        <w:t>Beide neuen Indizes zeigten positive Assoziationen mit kardiometabolischen Mehrfacherkrankungen (AIP: OR 1,41 pro SD, TyG: OR 1,51). Die Vorhersageverbesserung durch Einschluss dieser Indizes war bescheiden (Diskriminierungsverbesserung 0,029–0,038). Dies deutet auf klinische Relevanz, aber begrenzte zusätzliche Vorhersagekraft hin.</w:t>
      </w:r>
    </w:p>
    <w:p>
      <w:r>
        <w:rPr>
          <w:b/>
          <w:sz w:val="19"/>
        </w:rPr>
        <w:t xml:space="preserve">Übertragbarkeit: </w:t>
      </w:r>
      <w:r>
        <w:rPr>
          <w:sz w:val="19"/>
        </w:rPr>
        <w:t>England, 12–15 Jahre Nachbeobachtung, öffentliches Gesundheitssystem, vergleichbar.</w:t>
      </w:r>
    </w:p>
    <w:p>
      <w:r>
        <w:rPr>
          <w:color w:val="5A7D3A"/>
          <w:sz w:val="18"/>
        </w:rPr>
        <w:t>https://pubmed.ncbi.nlm.nih.gov/42642323/</w:t>
      </w:r>
    </w:p>
    <w:p>
      <w:pPr>
        <w:pStyle w:val="Heading2"/>
      </w:pPr>
      <w:r>
        <w:t>Leberstoffwechsel und frühe Nierenschädigung: Marker für kardio-renale Prävention</w:t>
      </w:r>
    </w:p>
    <w:p>
      <w:r>
        <w:rPr>
          <w:i/>
          <w:color w:val="666666"/>
          <w:sz w:val="18"/>
        </w:rPr>
        <w:t>Mungamba MM et al.  ·  J Glob Health  ·  24.07.2026  ·  PMID 42495747</w:t>
      </w:r>
    </w:p>
    <w:p>
      <w:r>
        <w:t>Prospektive Kohortenstudie prüfte, ob Leberfunktionsmarker (GGT, ALT, AST, Fatty-Liver-Index) mit dem Auftreten chronischer Nierenerkrankung über 6 Jahre korrelieren.</w:t>
      </w:r>
    </w:p>
    <w:p>
      <w:r>
        <w:rPr>
          <w:b/>
        </w:rPr>
        <w:t xml:space="preserve">Ergebnis: </w:t>
      </w:r>
      <w:r>
        <w:t>Von 1.832 Patienten ohne CKD bei Baseline entwickelten 11 % CKD, 9,7 % Albuminurie, 2,3 % eGFR-Abfall. Höhere GGT (aIRR 1,12; 95 % CI 1,01–1,23), ALT (aIRR 1,27; 95 % CI 1,04–1,50) und AST (aIRR 1,20; 95 % CI 1,04–1,34) assoziiert mit Inzidenz-CKD; primär über Albuminurie-Pfad. Erhöhter FLI mit CKD (aIRR 1,92; 95 % CI 1,14–3,18) und Albuminurie (aIRR 2,15; 95 % CI 1,24–3,68) verbunden. Stützt Leber-Nieren-Achse als potenziellen Präventionsziel.</w:t>
      </w:r>
    </w:p>
    <w:p>
      <w:r>
        <w:rPr>
          <w:b/>
          <w:sz w:val="19"/>
        </w:rPr>
        <w:t xml:space="preserve">Übertragbarkeit: </w:t>
      </w:r>
      <w:r>
        <w:rPr>
          <w:sz w:val="19"/>
        </w:rPr>
        <w:t>Ghana/Niederlande, transkontinentale Kohorte mit Mehrfacherkrankungs-Fokus; Befund zur kardiometabolischen Prävention übertragbar.</w:t>
      </w:r>
    </w:p>
    <w:p>
      <w:r>
        <w:rPr>
          <w:color w:val="5A7D3A"/>
          <w:sz w:val="18"/>
        </w:rPr>
        <w:t>https://pubmed.ncbi.nlm.nih.gov/42495747/</w:t>
      </w:r>
    </w:p>
    <w:p>
      <w:pPr>
        <w:pStyle w:val="Heading1"/>
      </w:pPr>
      <w:r>
        <w:t>Aufgenommen am 07.09.2026</w:t>
      </w:r>
    </w:p>
    <w:p>
      <w:pPr>
        <w:pStyle w:val="Heading2"/>
      </w:pPr>
      <w:r>
        <w:t>Mehrfacherkrankung reduziert Ansprechen auf Urticaria-Therapie um 50%</w:t>
      </w:r>
    </w:p>
    <w:p>
      <w:r>
        <w:rPr>
          <w:i/>
          <w:color w:val="666666"/>
          <w:sz w:val="18"/>
        </w:rPr>
        <w:t>Lapi F et al.  ·  Eur J Dermatol  ·  01.08.2026  ·  PMID 42702025</w:t>
      </w:r>
    </w:p>
    <w:p>
      <w:r>
        <w:t>Italienische Hausarztdaten von 7018 Patienten mit chronischer spontaner Urtikaria zeigten, welche Faktoren zum Therapieversagen führen.</w:t>
      </w:r>
    </w:p>
    <w:p>
      <w:r>
        <w:rPr>
          <w:b/>
        </w:rPr>
        <w:t xml:space="preserve">Ergebnis: </w:t>
      </w:r>
      <w:r>
        <w:t>50% der Patienten sprachen nicht auf H1-Antihistamine und/oder Steroide an. Risikofaktoren für Therapieversagen: Alter über 55 Jahre, Autoimmunthyreoiditis, Asthma/COPD, Allergien und Immunsuppressiva (HR 1,52). Patienten mit Therapieversagen wurden 52% häufiger an Fachärzte überwiesen.</w:t>
      </w:r>
    </w:p>
    <w:p>
      <w:r>
        <w:rPr>
          <w:b/>
          <w:sz w:val="19"/>
        </w:rPr>
        <w:t xml:space="preserve">Übertragbarkeit: </w:t>
      </w:r>
      <w:r>
        <w:rPr>
          <w:sz w:val="19"/>
        </w:rPr>
        <w:t>Italien, vergleichbare Primärversorgungsstruktur, großes epidemiologisches Register</w:t>
      </w:r>
    </w:p>
    <w:p>
      <w:r>
        <w:rPr>
          <w:color w:val="5A7D3A"/>
          <w:sz w:val="18"/>
        </w:rPr>
        <w:t>https://pubmed.ncbi.nlm.nih.gov/42702025/</w:t>
      </w:r>
    </w:p>
    <w:p>
      <w:pPr>
        <w:pStyle w:val="Heading2"/>
      </w:pPr>
      <w:r>
        <w:t>Web-gestützte Bewegungsintervention erhöht Aktivität bei COPD um 1410 Schritte pro Tag</w:t>
      </w:r>
    </w:p>
    <w:p>
      <w:r>
        <w:rPr>
          <w:i/>
          <w:color w:val="666666"/>
          <w:sz w:val="18"/>
        </w:rPr>
        <w:t>Bamonti PM et al.  ·  Int J Chron Obstruct Pulmon Dis  ·  01.09.2026  ·  PMID 42701779</w:t>
      </w:r>
    </w:p>
    <w:p>
      <w:r>
        <w:t>Randomisierte US-Studie mit 109 COPD-Patienten testete webgestützte Pedometer-Intervention zur Steigerung von Menge und Intensität physischer Aktivität.</w:t>
      </w:r>
    </w:p>
    <w:p>
      <w:r>
        <w:rPr>
          <w:b/>
        </w:rPr>
        <w:t xml:space="preserve">Ergebnis: </w:t>
      </w:r>
      <w:r>
        <w:t>Interventionsgruppe erhöhte durchschnittliche tägliche Schritte um 1410 mehr als Kontrolle (p=0,005). Übergänge von unteraktiv zu aktiv: 41% in der Interventionsgruppe (p=0,001 within-group). Einhaltung war über 12 Wochen gut, mit positiven Bewertungen für Vertrauen und Vergnügen.</w:t>
      </w:r>
    </w:p>
    <w:p>
      <w:r>
        <w:rPr>
          <w:b/>
          <w:sz w:val="19"/>
        </w:rPr>
        <w:t xml:space="preserve">Übertragbarkeit: </w:t>
      </w:r>
      <w:r>
        <w:rPr>
          <w:sz w:val="19"/>
        </w:rPr>
        <w:t>USA, Sicherheitsaspekte und Effektivität übertragbar, aber Umsetzung in Deutschland anders</w:t>
      </w:r>
    </w:p>
    <w:p>
      <w:r>
        <w:rPr>
          <w:color w:val="5A7D3A"/>
          <w:sz w:val="18"/>
        </w:rPr>
        <w:t>https://pubmed.ncbi.nlm.nih.gov/42701779/</w:t>
      </w:r>
    </w:p>
    <w:p>
      <w:pPr>
        <w:pStyle w:val="Heading2"/>
      </w:pPr>
      <w:r>
        <w:t>Zentrale Adipositas verdoppelt Mortalitätsrisiko bei chronischer Nierenerkrankung</w:t>
      </w:r>
    </w:p>
    <w:p>
      <w:r>
        <w:rPr>
          <w:i/>
          <w:color w:val="666666"/>
          <w:sz w:val="18"/>
        </w:rPr>
        <w:t>Zhou H et al.  ·  Medicine (Baltimore)  ·  04.09.2026  ·  PMID 42700084</w:t>
      </w:r>
    </w:p>
    <w:p>
      <w:r>
        <w:t>US-NHANES-Kohortenstudie mit 5582 CKD-Patienten (1999-2018) untersuchte, ob das weight-adjusted waist index (WWI) mit Gesamt- und kardiovaskulärer Mortalität assoziiert ist.</w:t>
      </w:r>
    </w:p>
    <w:p>
      <w:r>
        <w:rPr>
          <w:b/>
        </w:rPr>
        <w:t xml:space="preserve">Ergebnis: </w:t>
      </w:r>
      <w:r>
        <w:t>Erhöhtes WWI assoziiert mit höherem Gesamtmortalitätsrisiko (aHR 1,17, 95% CI 1,09-1,26, p&lt;0,001) und kardiovaskulärem Mortalitätsrisiko (aHR 1,24, 95% CI 1,09-1,41, p=0,001). Lineare positive Beziehung zu beiden Outcomes. Neutrophilen-Lymphozyten-Verhältnis vermittelte 6,66% des Effekts auf Gesamtmortalität.</w:t>
      </w:r>
    </w:p>
    <w:p>
      <w:r>
        <w:rPr>
          <w:b/>
          <w:sz w:val="19"/>
        </w:rPr>
        <w:t xml:space="preserve">Übertragbarkeit: </w:t>
      </w:r>
      <w:r>
        <w:rPr>
          <w:sz w:val="19"/>
        </w:rPr>
        <w:t>USA-Daten, aber zentrale Adipositas als Risikofaktor in allen Systemen relevant</w:t>
      </w:r>
    </w:p>
    <w:p>
      <w:r>
        <w:rPr>
          <w:color w:val="5A7D3A"/>
          <w:sz w:val="18"/>
        </w:rPr>
        <w:t>https://pubmed.ncbi.nlm.nih.gov/42700084/</w:t>
      </w:r>
    </w:p>
    <w:p>
      <w:pPr>
        <w:pStyle w:val="Heading2"/>
      </w:pPr>
      <w:r>
        <w:t>Minimalausstattungs-Zirkeltraining erreicht 72% trainings-wirksamer Intensität bei Atemwegserkrankungen</w:t>
      </w:r>
    </w:p>
    <w:p>
      <w:r>
        <w:rPr>
          <w:i/>
          <w:color w:val="666666"/>
          <w:sz w:val="18"/>
        </w:rPr>
        <w:t>Mellerick CR et al.  ·  Chron Respir Dis  ·  04.09.2026  ·  PMID 42696318</w:t>
      </w:r>
    </w:p>
    <w:p>
      <w:r>
        <w:t>Australische Studie mit 18 Patienten mit chronischen Atemwegserkrankungen evaluierte, ob Zirkeltraining ohne großes Equipment erforderliche Trainingsintensität (≥60% VO2peak) erreicht.</w:t>
      </w:r>
    </w:p>
    <w:p>
      <w:r>
        <w:rPr>
          <w:b/>
        </w:rPr>
        <w:t xml:space="preserve">Ergebnis: </w:t>
      </w:r>
      <w:r>
        <w:t>Durchschnittlich 72% (21%) der Sitzung erreichte ≥60% VO2peak; 40 [32-47] Minuten über diesem Schwellwert. 83% (15/18) erreichten Zielintensität für ≥30 Minuten. Teilnehmer berichteten hohe Bewertungen für Vertrauen, Komfort und Vergnügen.</w:t>
      </w:r>
    </w:p>
    <w:p>
      <w:r>
        <w:rPr>
          <w:b/>
          <w:sz w:val="19"/>
        </w:rPr>
        <w:t xml:space="preserve">Übertragbarkeit: </w:t>
      </w:r>
      <w:r>
        <w:rPr>
          <w:sz w:val="19"/>
        </w:rPr>
        <w:t>Australien, vergleichbare Rehabilitationsstruktur, aber Übertragbarkeit auf DMP-System zu prüfen</w:t>
      </w:r>
    </w:p>
    <w:p>
      <w:r>
        <w:rPr>
          <w:color w:val="5A7D3A"/>
          <w:sz w:val="18"/>
        </w:rPr>
        <w:t>https://pubmed.ncbi.nlm.nih.gov/42696318/</w:t>
      </w:r>
    </w:p>
    <w:p>
      <w:pPr>
        <w:pStyle w:val="Heading2"/>
      </w:pPr>
      <w:r>
        <w:t>Soziale Isolation erhöht Sedentarität bei schwerem COPD um 1,5 Stunden täglich</w:t>
      </w:r>
    </w:p>
    <w:p>
      <w:r>
        <w:rPr>
          <w:i/>
          <w:color w:val="666666"/>
          <w:sz w:val="18"/>
        </w:rPr>
        <w:t>Harding S et al.  ·  COPD  ·  02.08.2026  ·  PMID 42695939</w:t>
      </w:r>
    </w:p>
    <w:p>
      <w:r>
        <w:t>UK-Biobank-Studie mit 1558 COPD-Patienten untersuchte, wie Deprivation und Isolation mit Bewegungsmangel assoziiert sind.</w:t>
      </w:r>
    </w:p>
    <w:p>
      <w:r>
        <w:rPr>
          <w:b/>
        </w:rPr>
        <w:t xml:space="preserve">Ergebnis: </w:t>
      </w:r>
      <w:r>
        <w:t>Sedentarität stieg mit Schweregrad (GOLD 4 vs. GOLD 1: +19% pro Tag). Soziale Isolation führte zu zusätzlich 1,5 h Sedentarität täglich in schwererem COPD (GOLD 3-4, p=0,004). Deprivation wirkte stärker bei milder Erkrankung.</w:t>
      </w:r>
    </w:p>
    <w:p>
      <w:r>
        <w:rPr>
          <w:b/>
          <w:sz w:val="19"/>
        </w:rPr>
        <w:t xml:space="preserve">Übertragbarkeit: </w:t>
      </w:r>
      <w:r>
        <w:rPr>
          <w:sz w:val="19"/>
        </w:rPr>
        <w:t>Großbritannien, vergleichbares Versicherungssystem und epidemiologische Datenqualität</w:t>
      </w:r>
    </w:p>
    <w:p>
      <w:r>
        <w:rPr>
          <w:color w:val="5A7D3A"/>
          <w:sz w:val="18"/>
        </w:rPr>
        <w:t>https://pubmed.ncbi.nlm.nih.gov/42695939/</w:t>
      </w:r>
    </w:p>
    <w:p>
      <w:pPr>
        <w:pStyle w:val="Heading2"/>
      </w:pPr>
      <w:r>
        <w:t>Chronische Nierenschädigung bei 42% der Kinder nach Ifosfamid-Chemotherapie</w:t>
      </w:r>
    </w:p>
    <w:p>
      <w:r>
        <w:rPr>
          <w:i/>
          <w:color w:val="666666"/>
          <w:sz w:val="18"/>
        </w:rPr>
        <w:t>Pitlo L et al.  ·  Cancer Med  ·  Sept. 2026  ·  PMID 42670233</w:t>
      </w:r>
    </w:p>
    <w:p>
      <w:r>
        <w:t>Niederländische Kohorte von 292 Kindern untersuchte Häufigkeit und Determinanten chronischer Nierenerkrankung in den ersten 5 Jahren nach Ifosfamid-Chemotherapie.</w:t>
      </w:r>
    </w:p>
    <w:p>
      <w:r>
        <w:rPr>
          <w:b/>
        </w:rPr>
        <w:t xml:space="preserve">Ergebnis: </w:t>
      </w:r>
      <w:r>
        <w:t>Prävalenz chronischer Nierenschädigung: 42,1% (123/292 Patienten); 29 Patienten mit Risiko für Nierenversagen (eGFR &lt;60). Risikofaktoren: Ifosfamid-Dosis 30-59,9 g/m² (HR 1,95) oder &gt;60 g/m² (HR 4,09), Alter bei Diagnose (HR 1,12 pro Jahr), ≥2 akute Nierenversagen während Therapie (HR 3,81).</w:t>
      </w:r>
    </w:p>
    <w:p>
      <w:r>
        <w:rPr>
          <w:b/>
          <w:sz w:val="19"/>
        </w:rPr>
        <w:t xml:space="preserve">Übertragbarkeit: </w:t>
      </w:r>
      <w:r>
        <w:rPr>
          <w:sz w:val="19"/>
        </w:rPr>
        <w:t>Niederlande, vergleichbares Gesundheitssystem und Dokumentationsstandards</w:t>
      </w:r>
    </w:p>
    <w:p>
      <w:r>
        <w:rPr>
          <w:color w:val="5A7D3A"/>
          <w:sz w:val="18"/>
        </w:rPr>
        <w:t>https://pubmed.ncbi.nlm.nih.gov/42670233/</w:t>
      </w:r>
    </w:p>
    <w:p>
      <w:pPr>
        <w:pStyle w:val="Heading1"/>
      </w:pPr>
      <w:r>
        <w:t>Aufgenommen am 06.09.2026</w:t>
      </w:r>
    </w:p>
    <w:p>
      <w:pPr>
        <w:pStyle w:val="Heading2"/>
      </w:pPr>
      <w:r>
        <w:t>Probiotikum Lactobacillus plantarum stabilisiert Nierenfunktion bei CKD Stadium 3-4</w:t>
      </w:r>
    </w:p>
    <w:p>
      <w:r>
        <w:rPr>
          <w:i/>
          <w:color w:val="666666"/>
          <w:sz w:val="18"/>
        </w:rPr>
        <w:t>Saleh SE et al.  ·  Sci Rep  ·  04.09.2026  ·  PMID 42697907</w:t>
      </w:r>
    </w:p>
    <w:p>
      <w:r>
        <w:t>Doppelblinde, randomisierte, placebokontrollierte Studie an 72 Patienten mit CKD Stadium 3-4 (keine Hämodialyse) über 6 Monate: Lactobacillus plantarum 10¹⁰ CFU täglich versus Placebo, primärer Endpunkt Änderung der eGFR.</w:t>
      </w:r>
    </w:p>
    <w:p>
      <w:r>
        <w:rPr>
          <w:b/>
        </w:rPr>
        <w:t xml:space="preserve">Ergebnis: </w:t>
      </w:r>
      <w:r>
        <w:t>Probiotika-Gruppe zeigte signifikanten eGFR-Anstieg, Placebo-Gruppe Rückgang; 0 Probiotika-Patienten versus 8,6% Placebo zeigten CKD-Progression. Effekt war unabhängig von Diabetesstatus und CKD-Stadium. Kein signifikanter Unterschied in Indoxyl-Sulfat-Spiegeln zwischen den Gruppen.</w:t>
      </w:r>
    </w:p>
    <w:p>
      <w:r>
        <w:rPr>
          <w:b/>
          <w:sz w:val="19"/>
        </w:rPr>
        <w:t xml:space="preserve">Übertragbarkeit: </w:t>
      </w:r>
      <w:r>
        <w:rPr>
          <w:sz w:val="19"/>
        </w:rPr>
        <w:t>Ägyptisches Zentrum, Mechanismus unabhängig von Region, weitere Validierung nötig</w:t>
      </w:r>
    </w:p>
    <w:p>
      <w:r>
        <w:rPr>
          <w:color w:val="5A7D3A"/>
          <w:sz w:val="18"/>
        </w:rPr>
        <w:t>https://pubmed.ncbi.nlm.nih.gov/42697907/</w:t>
      </w:r>
    </w:p>
    <w:p>
      <w:pPr>
        <w:pStyle w:val="Heading2"/>
      </w:pPr>
      <w:r>
        <w:t>Antikoagulation bei Vorhofflimmern mit CKD Stadium 4-5: Apixaban senkt Schlaganfälle</w:t>
      </w:r>
    </w:p>
    <w:p>
      <w:r>
        <w:rPr>
          <w:i/>
          <w:color w:val="666666"/>
          <w:sz w:val="18"/>
        </w:rPr>
        <w:t>Chen Q et al.  ·  JAMA Netw Open  ·  01.09.2026  ·  PMID 42696280</w:t>
      </w:r>
    </w:p>
    <w:p>
      <w:r>
        <w:t>Retrospektive Kohortenstudie mit Zieltriallemulation an 42.052 Medicare- und Optum-Versicherten mit Vorhofflimmern und CKD Stadium 4-5 ohne Dialyse (Jan 2013–Feb 2025), Vergleich von Apixaban, Warfarin und Keine Antikoagulation.</w:t>
      </w:r>
    </w:p>
    <w:p>
      <w:r>
        <w:rPr>
          <w:b/>
        </w:rPr>
        <w:t xml:space="preserve">Ergebnis: </w:t>
      </w:r>
      <w:r>
        <w:t>Apixaban reduzierte Schlaganfallrate im Vergleich zu Kein-Antikoagulation (HR 0,46; 95%-KI 0,32–0,66), erhöhte aber Blutungsrate (HR 1,32; 95%-KI 1,11–1,58). Warfarin hatte höhere Blutungs- und Kompositrisiken. Apixaban versus Warfarin: HR 0,55 für schwere Blutungen (KI 0,46–0,65), HR 0,50 für Schlaganfall (KI 0,33–0,78).</w:t>
      </w:r>
    </w:p>
    <w:p>
      <w:r>
        <w:rPr>
          <w:b/>
          <w:sz w:val="19"/>
        </w:rPr>
        <w:t xml:space="preserve">Übertragbarkeit: </w:t>
      </w:r>
      <w:r>
        <w:rPr>
          <w:sz w:val="19"/>
        </w:rPr>
        <w:t>USA-Versichertendaten, Wirkmechanismus unabhängig von Gesundheitssystem übertragbar</w:t>
      </w:r>
    </w:p>
    <w:p>
      <w:r>
        <w:rPr>
          <w:color w:val="5A7D3A"/>
          <w:sz w:val="18"/>
        </w:rPr>
        <w:t>https://pubmed.ncbi.nlm.nih.gov/42696280/</w:t>
      </w:r>
    </w:p>
    <w:p>
      <w:pPr>
        <w:pStyle w:val="Heading2"/>
      </w:pPr>
      <w:r>
        <w:t>Nierenfunktion und Urämietoxine korrelieren mit kognitiven Defiziten bei CKD</w:t>
      </w:r>
    </w:p>
    <w:p>
      <w:r>
        <w:rPr>
          <w:i/>
          <w:color w:val="666666"/>
          <w:sz w:val="18"/>
        </w:rPr>
        <w:t>Cheng TW et al.  ·  Int J Med Sci  ·  30.07.2026  ·  PMID 42694884</w:t>
      </w:r>
    </w:p>
    <w:p>
      <w:r>
        <w:t>Pilot-Beobachtungsstudie an 12 Patienten mit CKD Stadium 3-5 und früher kognitiver Einschränkung: Messung von Serumindoxyl-Sulfat, Serum-p-Kresyl-Sulfat, Brain-MRI und kognitiver Funktion per CANTAB.</w:t>
      </w:r>
    </w:p>
    <w:p>
      <w:r>
        <w:rPr>
          <w:b/>
        </w:rPr>
        <w:t xml:space="preserve">Ergebnis: </w:t>
      </w:r>
      <w:r>
        <w:t>Höhere eGFR korrelierte mit besserer räumlicher Arbeitsgedächtnisleistung (r = 0,695, p = 0,012). Indoxyl-Sulfat und p-Kresyl-Sulfat zeigten inverse Korrelation mit eGFR (r = -0,301 bis -0,461), aber keine klare Assoziation mit kognitiven Testergebnissen. MRI-Läsionenlast war gering, strukturelle Abnormitäten aber vorhanden.</w:t>
      </w:r>
    </w:p>
    <w:p>
      <w:r>
        <w:rPr>
          <w:b/>
          <w:sz w:val="19"/>
        </w:rPr>
        <w:t xml:space="preserve">Übertragbarkeit: </w:t>
      </w:r>
      <w:r>
        <w:rPr>
          <w:sz w:val="19"/>
        </w:rPr>
        <w:t>Taiwan, kleine Pilotstichprobe, Konzept der Mehrfacherkrankung mit kognitiven Folgen zentral</w:t>
      </w:r>
    </w:p>
    <w:p>
      <w:r>
        <w:rPr>
          <w:color w:val="5A7D3A"/>
          <w:sz w:val="18"/>
        </w:rPr>
        <w:t>https://pubmed.ncbi.nlm.nih.gov/42694884/</w:t>
      </w:r>
    </w:p>
    <w:p>
      <w:pPr>
        <w:pStyle w:val="Heading2"/>
      </w:pPr>
      <w:r>
        <w:t>Behandlungslast verschlechtert Gesundheit bei Mehrfacherkrankung: Stressanpassung hilft</w:t>
      </w:r>
    </w:p>
    <w:p>
      <w:r>
        <w:rPr>
          <w:i/>
          <w:color w:val="666666"/>
          <w:sz w:val="18"/>
        </w:rPr>
        <w:t>Shi Y et al.  ·  Front Public Health  ·  20.08.2026  ·  PMID 42694161</w:t>
      </w:r>
    </w:p>
    <w:p>
      <w:r>
        <w:t>Querschnittsuntersuchung mit Mediationsanalyse an 507 älteren Patienten mit komplexer Mehrfacherkrankung in Zhejiang, China; Beziehung zwischen Behandlungslast und ganzheitlichem Gesundheitsstatus.</w:t>
      </w:r>
    </w:p>
    <w:p>
      <w:r>
        <w:rPr>
          <w:b/>
        </w:rPr>
        <w:t xml:space="preserve">Ergebnis: </w:t>
      </w:r>
      <w:r>
        <w:t>Behandlungslast hatte direkten negativen Effekt auf Gesundheitsstatus (B = -0,263; 95%-KI -0,357 bis -0,168), Gesamteffekt -0,449 (KI -0,538 bis -0,360). Depressive Symptome und Stressanpassungskapazität mediierten diesen Effekt partiell (jeweils ca. 10% indirekte Effekte).</w:t>
      </w:r>
    </w:p>
    <w:p>
      <w:r>
        <w:rPr>
          <w:b/>
          <w:sz w:val="19"/>
        </w:rPr>
        <w:t xml:space="preserve">Übertragbarkeit: </w:t>
      </w:r>
      <w:r>
        <w:rPr>
          <w:sz w:val="19"/>
        </w:rPr>
        <w:t>China, aber Konzept der Behandlungslast international anerkannt, Intervention skalierbar</w:t>
      </w:r>
    </w:p>
    <w:p>
      <w:r>
        <w:rPr>
          <w:color w:val="5A7D3A"/>
          <w:sz w:val="18"/>
        </w:rPr>
        <w:t>https://pubmed.ncbi.nlm.nih.gov/42694161/</w:t>
      </w:r>
    </w:p>
    <w:p>
      <w:pPr>
        <w:pStyle w:val="Heading2"/>
      </w:pPr>
      <w:r>
        <w:t>Nephrologen unterschätzen Symptombelastung bei CKD – Patientensicht zählt</w:t>
      </w:r>
    </w:p>
    <w:p>
      <w:r>
        <w:rPr>
          <w:i/>
          <w:color w:val="666666"/>
          <w:sz w:val="18"/>
        </w:rPr>
        <w:t>Jessen B et al.  ·  Inn Med (Heidelb)  ·  22.07.2026  ·  PMID 42484874</w:t>
      </w:r>
    </w:p>
    <w:p>
      <w:r>
        <w:t>Deutschlandweite Online-Befragung: 108 Nephrologen bewerteten durchschnittliche Symptombelastung bei CKD (Chronic Kidney Disease Symptom Burden Index, CKD-SBI), Vergleich mit Selbstangaben von 222 CKD-Patienten ohne Dialysepflicht.</w:t>
      </w:r>
    </w:p>
    <w:p>
      <w:r>
        <w:rPr>
          <w:b/>
        </w:rPr>
        <w:t xml:space="preserve">Ergebnis: </w:t>
      </w:r>
      <w:r>
        <w:t>Nephrologen nannten Fatigue (69,4%), Ödeme (38,9%), Hypertonie (35,2%) als häufigste; Patienten nannten Nykturie (74,3%), Fatigue (61,3%), Schlafstörungen (47,3%). Nephrologen überschätzten Gesamtbelastung und fünf Einzelsymptome signifikant, unterschätzten Belastung von 12 Symptomen.</w:t>
      </w:r>
    </w:p>
    <w:p>
      <w:r>
        <w:rPr>
          <w:b/>
          <w:sz w:val="19"/>
        </w:rPr>
        <w:t xml:space="preserve">Übertragbarkeit: </w:t>
      </w:r>
      <w:r>
        <w:rPr>
          <w:sz w:val="19"/>
        </w:rPr>
        <w:t>Deutschland, deutschsprachig, direkte Übertragbarkeit auf Praxis und Kliniken</w:t>
      </w:r>
    </w:p>
    <w:p>
      <w:r>
        <w:rPr>
          <w:color w:val="5A7D3A"/>
          <w:sz w:val="18"/>
        </w:rPr>
        <w:t>https://pubmed.ncbi.nlm.nih.gov/42484874/</w:t>
      </w:r>
    </w:p>
    <w:p>
      <w:pPr>
        <w:pStyle w:val="Heading2"/>
      </w:pPr>
      <w:r>
        <w:t>Wrist-Wearable Sensors erkennen COPD-Risiko früh durch digitale Gangmuster</w:t>
      </w:r>
    </w:p>
    <w:p>
      <w:r>
        <w:rPr>
          <w:i/>
          <w:color w:val="666666"/>
          <w:sz w:val="18"/>
        </w:rPr>
        <w:t>Fernandez N et al.  ·  Int J Chron Obstruct Pulmon Dis  ·  17.07.2026  ·  PMID 42482839</w:t>
      </w:r>
    </w:p>
    <w:p>
      <w:r>
        <w:t>Prospektive Kohortenstudie an 28.251 UK-Biobank-Teilnehmern (60-78 Jahre) mit Beschleunigungsmessern zur Prüfung, ob reale Mobilitätsmuster Hinweis auf künftiges COPD-Auftreten geben.</w:t>
      </w:r>
    </w:p>
    <w:p>
      <w:r>
        <w:rPr>
          <w:b/>
        </w:rPr>
        <w:t xml:space="preserve">Ergebnis: </w:t>
      </w:r>
      <w:r>
        <w:t>Bei 639 Teilnehmern (2,26%) trat COPD während des Beobachtungszeitraums von durchschnittlich 8,5 Jahren auf. Vier digitale Ganzbiomarker (niedrigere Laufdauer, langsamere maximale Gehgeschwindigkeit, kürzere Gehpausen, geringerer Anteil von Gängen länger als 8 Sekunden) waren unabhängig mit künftiger COPD assoziiert; ein Modell mit diesen vier Biomarkern plus Selbstangaben erreichte einen Konkordanzindex von 0,80 und ist damit vergleichbar mit klinischen Tests.</w:t>
      </w:r>
    </w:p>
    <w:p>
      <w:r>
        <w:rPr>
          <w:b/>
          <w:sz w:val="19"/>
        </w:rPr>
        <w:t xml:space="preserve">Übertragbarkeit: </w:t>
      </w:r>
      <w:r>
        <w:rPr>
          <w:sz w:val="19"/>
        </w:rPr>
        <w:t>UK-Biobank-Daten, digitale Biometrie auf Smartwatches übertragbar</w:t>
      </w:r>
    </w:p>
    <w:p>
      <w:r>
        <w:rPr>
          <w:color w:val="5A7D3A"/>
          <w:sz w:val="18"/>
        </w:rPr>
        <w:t>https://pubmed.ncbi.nlm.nih.gov/42482839/</w:t>
      </w:r>
    </w:p>
    <w:p>
      <w:pPr>
        <w:pStyle w:val="Heading1"/>
      </w:pPr>
      <w:r>
        <w:t>Aufgenommen am 05.09.2026</w:t>
      </w:r>
    </w:p>
    <w:p>
      <w:pPr>
        <w:pStyle w:val="Heading2"/>
      </w:pPr>
      <w:r>
        <w:t>Regionale Benachteiligung (nicht Einzelindividuum) prägte Leberfibrose bei HBV-Infektion</w:t>
      </w:r>
    </w:p>
    <w:p>
      <w:r>
        <w:rPr>
          <w:i/>
          <w:color w:val="666666"/>
          <w:sz w:val="18"/>
        </w:rPr>
        <w:t>Çiçek Y et al.  ·  Infect Dis Poverty  ·  03.09.2026  ·  PMID 42693478</w:t>
      </w:r>
    </w:p>
    <w:p>
      <w:r>
        <w:t>Nationale türkische Multicenterstudie (24 Zentren, n=956) zu Assoziation von Sozioökonomie (Individual- und Gebietsebene) mit Leberfibrosegrad bei CHB.</w:t>
      </w:r>
    </w:p>
    <w:p>
      <w:r>
        <w:rPr>
          <w:b/>
        </w:rPr>
        <w:t xml:space="preserve">Ergebnis: </w:t>
      </w:r>
      <w:r>
        <w:t>Leberfibrosegrad assoziiert mit älterem Alter (aOR 1,12 pro 10 Jahre), längerer Anfahrtszeit zu CHB-Fachzentrum (aOR 1,53 pro Kategorie, p&lt;0,001), aber vor allem mit niedriger Wohngebiets-Sozioökonomie (aOR 1,97 pro Stufe, p&lt;0,001); Vergleich höchste vs. niedrigste Stufe: aOR 26,00 (95%-KI 8,21–82,37).</w:t>
      </w:r>
    </w:p>
    <w:p>
      <w:r>
        <w:rPr>
          <w:b/>
          <w:sz w:val="19"/>
        </w:rPr>
        <w:t xml:space="preserve">Übertragbarkeit: </w:t>
      </w:r>
      <w:r>
        <w:rPr>
          <w:sz w:val="19"/>
        </w:rPr>
        <w:t>Türkei (vergleichbares Gesundheitswesen); regionale Ungleichheit oft unterschätzt, Koordinationszugang zentral für Prognose.</w:t>
      </w:r>
    </w:p>
    <w:p>
      <w:r>
        <w:rPr>
          <w:color w:val="5A7D3A"/>
          <w:sz w:val="18"/>
        </w:rPr>
        <w:t>https://pubmed.ncbi.nlm.nih.gov/42693478/</w:t>
      </w:r>
    </w:p>
    <w:p>
      <w:pPr>
        <w:pStyle w:val="Heading2"/>
      </w:pPr>
      <w:r>
        <w:t>Extracorporeal CO₂-Elimination verkürzte Beatmungsdauer bei schwerem COPD-Exazerbation</w:t>
      </w:r>
    </w:p>
    <w:p>
      <w:r>
        <w:rPr>
          <w:i/>
          <w:color w:val="666666"/>
          <w:sz w:val="18"/>
        </w:rPr>
        <w:t>Karagiannidis C et al.  ·  Crit Care  ·  03.09.2026  ·  PMID 42693471</w:t>
      </w:r>
    </w:p>
    <w:p>
      <w:r>
        <w:t>Randomisierte Studie zu ECCO₂R-gestützter Früh-Extubation vs. Standard-Beatmung bei invasiv beatmeten COPD-Patienten mit hypercapnischer Ateminsuffizienz.</w:t>
      </w:r>
    </w:p>
    <w:p>
      <w:r>
        <w:rPr>
          <w:b/>
        </w:rPr>
        <w:t xml:space="preserve">Ergebnis: </w:t>
      </w:r>
      <w:r>
        <w:t>ECCO₂R-Gruppe: Beatmungsdauer 7,1±2,0 Tage vs. Kontrolle 24,3±21,4 Tage (p=0,043); 0/8 vs. 3/9 (33 %) mit Tod/schwerer Behinderung; ventilatorassoziierte Pneumonie 0 vs. 37,5 %. Studie vorzeitig beendet (n=18, geplant 192), aber konsistente Trends für ECCO₂R.</w:t>
      </w:r>
    </w:p>
    <w:p>
      <w:r>
        <w:rPr>
          <w:b/>
          <w:sz w:val="19"/>
        </w:rPr>
        <w:t xml:space="preserve">Übertragbarkeit: </w:t>
      </w:r>
      <w:r>
        <w:rPr>
          <w:sz w:val="19"/>
        </w:rPr>
        <w:t>Deutschland: Spezialisierte Zentren, technische Verfügbarkeit und Kostenübernahme prüfen.</w:t>
      </w:r>
    </w:p>
    <w:p>
      <w:r>
        <w:rPr>
          <w:color w:val="5A7D3A"/>
          <w:sz w:val="18"/>
        </w:rPr>
        <w:t>https://pubmed.ncbi.nlm.nih.gov/42693471/</w:t>
      </w:r>
    </w:p>
    <w:p>
      <w:pPr>
        <w:pStyle w:val="Heading2"/>
      </w:pPr>
      <w:r>
        <w:t>Metabolisches Syndrom-Scoring sagte Mehrfacherkrankung voraus: 1,35-fache Risikoerhöhung</w:t>
      </w:r>
    </w:p>
    <w:p>
      <w:r>
        <w:rPr>
          <w:i/>
          <w:color w:val="666666"/>
          <w:sz w:val="18"/>
        </w:rPr>
        <w:t>Zhang W et al.  ·  Sci Rep  ·  24.07.2026  ·  PMID 42693153</w:t>
      </w:r>
    </w:p>
    <w:p>
      <w:r>
        <w:t>Prospektive Analyse von 17.894 Teilnehmern (China, USA, UK) zur Vorhersage kardiometabolischer Mehrfacherkrankung durch kontinuierliches Metabolisches-Syndrom-Score.</w:t>
      </w:r>
    </w:p>
    <w:p>
      <w:r>
        <w:rPr>
          <w:b/>
        </w:rPr>
        <w:t xml:space="preserve">Ergebnis: </w:t>
      </w:r>
      <w:r>
        <w:t>Über Medianfolgeup 4–7 Jahre: 1.061 Fälle kardiometabolischer Mehrfacherkrankung. Höchstes vs. niedriges Tertil des Score assoziiert mit HR 1,77–4,27 je nach Kohorte. Gepoolte HR pro 1-SD-Anstieg: 1,35 (95%-KI 1,17–1,56). Dosis-Wirkungs-Beziehung dosisabhängig oder linear.</w:t>
      </w:r>
    </w:p>
    <w:p>
      <w:r>
        <w:rPr>
          <w:b/>
          <w:sz w:val="19"/>
        </w:rPr>
        <w:t xml:space="preserve">Übertragbarkeit: </w:t>
      </w:r>
      <w:r>
        <w:rPr>
          <w:sz w:val="19"/>
        </w:rPr>
        <w:t>China, USA, UK; Risikostratifizierungsmodell universal anwendbar, aber externe Validierung ausstehend.</w:t>
      </w:r>
    </w:p>
    <w:p>
      <w:r>
        <w:rPr>
          <w:color w:val="5A7D3A"/>
          <w:sz w:val="18"/>
        </w:rPr>
        <w:t>https://pubmed.ncbi.nlm.nih.gov/42693153/</w:t>
      </w:r>
    </w:p>
    <w:p>
      <w:pPr>
        <w:pStyle w:val="Heading2"/>
      </w:pPr>
      <w:r>
        <w:t>ESA- und Eisenmanagement erforderte 1.093 Monats-Arbeitsstunden in französischen Dialysezentren</w:t>
      </w:r>
    </w:p>
    <w:p>
      <w:r>
        <w:rPr>
          <w:i/>
          <w:color w:val="666666"/>
          <w:sz w:val="18"/>
        </w:rPr>
        <w:t>El-Haik Y et al.  ·  Nephrol Ther  ·  01.08.2026  ·  PMID 42684151</w:t>
      </w:r>
    </w:p>
    <w:p>
      <w:r>
        <w:t>Organisatorische Belastungsanalyse von Erythropoese-Stimulatoren und intravenösem Eisen in 12 französischen Dialyseeinrichtungen.</w:t>
      </w:r>
    </w:p>
    <w:p>
      <w:r>
        <w:rPr>
          <w:b/>
        </w:rPr>
        <w:t xml:space="preserve">Ergebnis: </w:t>
      </w:r>
      <w:r>
        <w:t>ESA-Management 313,9 h/Monat pro Zentrum (davon 285,3 h Vorbereitung/Verabreichung/Monitoring); IV-Eisen-Management 779,3 h/Monat (664 h Verabreichung/Monitoring). 74,2 % der Kühllagerfläche für ESAs.</w:t>
      </w:r>
    </w:p>
    <w:p>
      <w:r>
        <w:rPr>
          <w:b/>
          <w:sz w:val="19"/>
        </w:rPr>
        <w:t xml:space="preserve">Übertragbarkeit: </w:t>
      </w:r>
      <w:r>
        <w:rPr>
          <w:sz w:val="19"/>
        </w:rPr>
        <w:t>Frankreich; direkte Übertragbarkeit auf deutsches Dialysesystem (DMP-ähnliche Strukturen, vergleichbare Dokumentation).</w:t>
      </w:r>
    </w:p>
    <w:p>
      <w:r>
        <w:rPr>
          <w:color w:val="5A7D3A"/>
          <w:sz w:val="18"/>
        </w:rPr>
        <w:t>https://pubmed.ncbi.nlm.nih.gov/42684151/</w:t>
      </w:r>
    </w:p>
    <w:p>
      <w:pPr>
        <w:pStyle w:val="Heading2"/>
      </w:pPr>
      <w:r>
        <w:t>Isoliert reduzierte Diffusionskapazität korrelierte mit Emphysem und Rauchen</w:t>
      </w:r>
    </w:p>
    <w:p>
      <w:r>
        <w:rPr>
          <w:i/>
          <w:color w:val="666666"/>
          <w:sz w:val="18"/>
        </w:rPr>
        <w:t>Hamrefors V et al.  ·  BMC Pulm Med  ·  31.08.2026  ·  PMID 42675482</w:t>
      </w:r>
    </w:p>
    <w:p>
      <w:r>
        <w:t>Große schwedische Querschnittsstudie (SCAPIS) zu Determinanten isoliert verminderter DLCO bei 24.261 Patienten mit normalen Spirometrieparametern.</w:t>
      </w:r>
    </w:p>
    <w:p>
      <w:r>
        <w:rPr>
          <w:b/>
        </w:rPr>
        <w:t xml:space="preserve">Ergebnis: </w:t>
      </w:r>
      <w:r>
        <w:t>DLCO unterhalb LLN (n=1.472; 6,1 %): unabhängig assoziiert mit Emphysem (OR 2,6), Lungenerkrankung außer Asthma/COPD (OR 1,8), Rauchen pro 10-Pack-Jahre (OR 1,6), interstitielle Lungenabnormitäten (OR 1,4), Belastungsbrust­schmerz (OR 1,6).</w:t>
      </w:r>
    </w:p>
    <w:p>
      <w:r>
        <w:rPr>
          <w:b/>
          <w:sz w:val="19"/>
        </w:rPr>
        <w:t xml:space="preserve">Übertragbarkeit: </w:t>
      </w:r>
      <w:r>
        <w:rPr>
          <w:sz w:val="19"/>
        </w:rPr>
        <w:t>Schweden; bevölkerungsbasiert, Screening-konzept übertragbar auf deutsches Präventiossystem.</w:t>
      </w:r>
    </w:p>
    <w:p>
      <w:r>
        <w:rPr>
          <w:color w:val="5A7D3A"/>
          <w:sz w:val="18"/>
        </w:rPr>
        <w:t>https://pubmed.ncbi.nlm.nih.gov/42675482/</w:t>
      </w:r>
    </w:p>
    <w:p>
      <w:pPr>
        <w:pStyle w:val="Heading2"/>
      </w:pPr>
      <w:r>
        <w:t>HBV-Genotyp-E-Infektionen: Resistenzmutationen unter Migration und schlechter Adhärenz</w:t>
      </w:r>
    </w:p>
    <w:p>
      <w:r>
        <w:rPr>
          <w:i/>
          <w:color w:val="666666"/>
          <w:sz w:val="18"/>
        </w:rPr>
        <w:t>Tiecco G et al.  ·  Infect Dis (Lond)  ·  03.08.2026  ·  PMID 42547309</w:t>
      </w:r>
    </w:p>
    <w:p>
      <w:r>
        <w:t>Retrospektive Fallserie (2015–2023) von 8 Patienten mit dokumentiertem HBV-Genotyp E und Resistenztest-Ergebnissen.</w:t>
      </w:r>
    </w:p>
    <w:p>
      <w:r>
        <w:rPr>
          <w:b/>
        </w:rPr>
        <w:t xml:space="preserve">Ergebnis: </w:t>
      </w:r>
      <w:r>
        <w:t>8 Patienten (62,5 % männlich, 87,5 % afrikanischer Herkunft); 75 % mit persistierender Virämie trotz Therapie; Lamivudin-Resistenz 12,5 %, Tenofovir-Resistenzmutationen 25 %, Immun-Escape-Mutationen 37,5 %; virologische Suppression nach Therapie­anpassung nur in 37,5 %.</w:t>
      </w:r>
    </w:p>
    <w:p>
      <w:r>
        <w:rPr>
          <w:b/>
          <w:sz w:val="19"/>
        </w:rPr>
        <w:t xml:space="preserve">Übertragbarkeit: </w:t>
      </w:r>
      <w:r>
        <w:rPr>
          <w:sz w:val="19"/>
        </w:rPr>
        <w:t>Italien (reales Patientenkollektiv); strukturelle Herausforderungen (Adhärenz, Migranten) in Deutschland ähnlich.</w:t>
      </w:r>
    </w:p>
    <w:p>
      <w:r>
        <w:rPr>
          <w:color w:val="5A7D3A"/>
          <w:sz w:val="18"/>
        </w:rPr>
        <w:t>https://pubmed.ncbi.nlm.nih.gov/42547309/</w:t>
      </w:r>
    </w:p>
    <w:p>
      <w:pPr>
        <w:pStyle w:val="Heading2"/>
      </w:pPr>
      <w:r>
        <w:t>HBV-assoziierte Stigmatisierung beeinträchtigte alle Lebensqualitäts-Domänen</w:t>
      </w:r>
    </w:p>
    <w:p>
      <w:r>
        <w:rPr>
          <w:i/>
          <w:color w:val="666666"/>
          <w:sz w:val="18"/>
        </w:rPr>
        <w:t>Smith V et al.  ·  J Viral Hepat  ·  Aug. 2026  ·  PMID 42499137</w:t>
      </w:r>
    </w:p>
    <w:p>
      <w:r>
        <w:t>Qualitative Studie (Concept-Elicitation-Interviews) mit 28 HBV-Patienten aus USA, China und Polen zur Erfahrung von Stigma.</w:t>
      </w:r>
    </w:p>
    <w:p>
      <w:r>
        <w:rPr>
          <w:b/>
        </w:rPr>
        <w:t xml:space="preserve">Ergebnis: </w:t>
      </w:r>
      <w:r>
        <w:t>Internalisiertes Stigma 100 %, soziales Stigma 79 %, institutionelles Stigma 57 %. Sieben Domänen identifiziert: soziale Funktion (100 %), emotionales Wohlbefinden (96 %), HBV-Transmission (96 %), körperliche Symptome, Arbeit, Beziehungen, Zugang zu Versorgung. Stigma stark mit Lebensqualitäts-Einschränkungen verwoben.</w:t>
      </w:r>
    </w:p>
    <w:p>
      <w:r>
        <w:rPr>
          <w:b/>
          <w:sz w:val="19"/>
        </w:rPr>
        <w:t xml:space="preserve">Übertragbarkeit: </w:t>
      </w:r>
      <w:r>
        <w:rPr>
          <w:sz w:val="19"/>
        </w:rPr>
        <w:t>Multinational (aber gering-Einkommens- und Mitteleinkommensländer überrepräsentiert); psychosoziale Versorgung in Deutschland unterbewertet.</w:t>
      </w:r>
    </w:p>
    <w:p>
      <w:r>
        <w:rPr>
          <w:color w:val="5A7D3A"/>
          <w:sz w:val="18"/>
        </w:rPr>
        <w:t>https://pubmed.ncbi.nlm.nih.gov/42499137/</w:t>
      </w:r>
    </w:p>
    <w:p>
      <w:pPr>
        <w:pStyle w:val="Heading1"/>
      </w:pPr>
      <w:r>
        <w:t>Aufgenommen am 04.09.2026</w:t>
      </w:r>
    </w:p>
    <w:p>
      <w:pPr>
        <w:pStyle w:val="Heading2"/>
      </w:pPr>
      <w:r>
        <w:t>Systemischer Immunentzündungs-Index sagte COPD-Wiederaufnahmen zu 90 Tagen voraus</w:t>
      </w:r>
    </w:p>
    <w:p>
      <w:r>
        <w:rPr>
          <w:i/>
          <w:color w:val="666666"/>
          <w:sz w:val="18"/>
        </w:rPr>
        <w:t>Chen Q et al.  ·  Int J Chron Obstruct Pulmon Dis  ·  28.08.2026  ·  PMID 42683431</w:t>
      </w:r>
    </w:p>
    <w:p>
      <w:r>
        <w:t>Chinesische Kohortenstudie mit 207 Patienten mit akuter COPD-Exazerbation zur prädiktiven Wertigkeit des systemischen Immunentzündungs-Index (SII) für ungeplante Wiederaufnahmen innerhalb von 90 Tagen.</w:t>
      </w:r>
    </w:p>
    <w:p>
      <w:r>
        <w:rPr>
          <w:b/>
        </w:rPr>
        <w:t xml:space="preserve">Ergebnis: </w:t>
      </w:r>
      <w:r>
        <w:t>37,7 % (78/207) erlebten Wiederaufnahmen; jede 500er-Steigerung des SII war mit erhöhtem Wiederaufnahmerisiko assoziiert (aOR 1,329, 95%-KI 1,153-1,530; p &lt; 0,001). Integriertes Modell mit SII erreichte AUC 0,809 (95%-KI 0,742-0,869) versus 0,752 für reines klinisches Modell. Nach Bootstrap-Validierung: optimismuskorrigiert 0,785; verbesserte Modellpassung (Likelihood-Ratio p &lt; 0,001).</w:t>
      </w:r>
    </w:p>
    <w:p>
      <w:r>
        <w:rPr>
          <w:b/>
          <w:sz w:val="19"/>
        </w:rPr>
        <w:t xml:space="preserve">Übertragbarkeit: </w:t>
      </w:r>
      <w:r>
        <w:rPr>
          <w:sz w:val="19"/>
        </w:rPr>
        <w:t>Chinesische Klinikdaten, Konzept übertragbar, externe Validierung erforderlich</w:t>
      </w:r>
    </w:p>
    <w:p>
      <w:r>
        <w:rPr>
          <w:color w:val="5A7D3A"/>
          <w:sz w:val="18"/>
        </w:rPr>
        <w:t>https://pubmed.ncbi.nlm.nih.gov/42683431/</w:t>
      </w:r>
    </w:p>
    <w:p>
      <w:pPr>
        <w:pStyle w:val="Heading2"/>
      </w:pPr>
      <w:r>
        <w:t>Schlechter Schlaf erhöhte Komplikationsrisiko bei chronischer Nierenkrankheit um 19-54 %</w:t>
      </w:r>
    </w:p>
    <w:p>
      <w:r>
        <w:rPr>
          <w:i/>
          <w:color w:val="666666"/>
          <w:sz w:val="18"/>
        </w:rPr>
        <w:t>Lei K et al.  ·  Front Public Health  ·  18.08.2026  ·  PMID 42682672</w:t>
      </w:r>
    </w:p>
    <w:p>
      <w:r>
        <w:t>Kohortenstudie mit 15.809 CKD-Patienten aus UK Biobank (2006-2010, Nachverfolgung bis 2022) zur Assoziation von multidimensionalen Schlafmustern mit Anämie, kardiovaskulären Ereignissen, kognitiven Beeinträchtigungen und Nebenschilddrüsenüberfunktion.</w:t>
      </w:r>
    </w:p>
    <w:p>
      <w:r>
        <w:rPr>
          <w:b/>
        </w:rPr>
        <w:t xml:space="preserve">Ergebnis: </w:t>
      </w:r>
      <w:r>
        <w:t>Schwere Insomnie mit kurzer oder langer Schlafdauer und schwer gestörter Schlaf waren mit 19-54 % höheren Risiken für Anämie, kardiovaskuläre Erkrankungen und Nebenschilddrüsenüberfunktion assoziiert (alle p &lt; 0,05). Höhere Schlafqualität war unabhängig mit reduzierten Risiken dieser Komplikationen verbunden. Schlafprofile zeigten Heterogenität in Assoziation mit Ergebnissen je nach Geschlecht und Nierenfunktion.</w:t>
      </w:r>
    </w:p>
    <w:p>
      <w:r>
        <w:rPr>
          <w:b/>
          <w:sz w:val="19"/>
        </w:rPr>
        <w:t xml:space="preserve">Übertragbarkeit: </w:t>
      </w:r>
      <w:r>
        <w:rPr>
          <w:sz w:val="19"/>
        </w:rPr>
        <w:t>UK-Biobank, vergleichbare europäische Systeme und Datenqualität</w:t>
      </w:r>
    </w:p>
    <w:p>
      <w:r>
        <w:rPr>
          <w:color w:val="5A7D3A"/>
          <w:sz w:val="18"/>
        </w:rPr>
        <w:t>https://pubmed.ncbi.nlm.nih.gov/42682672/</w:t>
      </w:r>
    </w:p>
    <w:p>
      <w:pPr>
        <w:pStyle w:val="Heading2"/>
      </w:pPr>
      <w:r>
        <w:t>Quantitative Hepatitis-B-Oberflächenantigen-Tests: nur 37,4 % spanischer Labore implementiert</w:t>
      </w:r>
    </w:p>
    <w:p>
      <w:r>
        <w:rPr>
          <w:i/>
          <w:color w:val="666666"/>
          <w:sz w:val="18"/>
        </w:rPr>
        <w:t>Chaves-Blanco L et al.  ·  Enferm Infecc Microbiol Clin (Engl Ed)  ·  Aug. 2026  ·  PMID 42542350</w:t>
      </w:r>
    </w:p>
    <w:p>
      <w:r>
        <w:t>Nationale spanische Querschnittsstudie von 91 klinisch-mikrobiologischen Laboren zur Implementierung und Praktiken von quantitativem HBsAg-Testing (qHBsAg) für das Chronic-Hepatitis-B-Management.</w:t>
      </w:r>
    </w:p>
    <w:p>
      <w:r>
        <w:rPr>
          <w:b/>
        </w:rPr>
        <w:t xml:space="preserve">Ergebnis: </w:t>
      </w:r>
      <w:r>
        <w:t>37,4 % (34/91) führten qHBsAg durch; 86 % der Nicht-Durchführer verwiesen Proben nicht wegen wahrgenommener geringer klinischer Nachfrage (57,1 %). Implementierung korrelierte mit Krankenhausgröße (p = 0,041): 0 % bei &lt;200 Betten, 23,3 % bei 200-500, 44,9 % bei 500-1000, 62,5 % bei ≥1000. Unter durchführenden Labs: 57,6 % quantifizierten nach positivem qualitativem Test, 27,3 % auf Anforderung, 15,2 % als initiales Screening. Heterogene Meldepraxis.</w:t>
      </w:r>
    </w:p>
    <w:p>
      <w:r>
        <w:rPr>
          <w:b/>
          <w:sz w:val="19"/>
        </w:rPr>
        <w:t xml:space="preserve">Übertragbarkeit: </w:t>
      </w:r>
      <w:r>
        <w:rPr>
          <w:sz w:val="19"/>
        </w:rPr>
        <w:t>Spanien, direkt auf Deutschland übertragbar für Implementierungs-Gaps</w:t>
      </w:r>
    </w:p>
    <w:p>
      <w:r>
        <w:rPr>
          <w:color w:val="5A7D3A"/>
          <w:sz w:val="18"/>
        </w:rPr>
        <w:t>https://pubmed.ncbi.nlm.nih.gov/42542350/</w:t>
      </w:r>
    </w:p>
    <w:p>
      <w:pPr>
        <w:pStyle w:val="Heading2"/>
      </w:pPr>
      <w:r>
        <w:t>Finerenone reduzierte Albuminurie bei Typ-2-Diabetes und CKD um 34,5 % in Routineversorgung</w:t>
      </w:r>
    </w:p>
    <w:p>
      <w:r>
        <w:rPr>
          <w:i/>
          <w:color w:val="666666"/>
          <w:sz w:val="18"/>
        </w:rPr>
        <w:t>Moreno-Pérez O et al.  ·  Diabetes Obes Metab  ·  30.07.2026  ·  PMID 42533276</w:t>
      </w:r>
    </w:p>
    <w:p>
      <w:r>
        <w:t>Spanische Multicenterstudie zur Effektivität und Sicherheit von Finerenon bei Patienten mit Typ-2-Diabetes und chronischer Nierenerkrankung in der Routineversorgung.</w:t>
      </w:r>
    </w:p>
    <w:p>
      <w:r>
        <w:rPr>
          <w:b/>
        </w:rPr>
        <w:t xml:space="preserve">Ergebnis: </w:t>
      </w:r>
      <w:r>
        <w:t>Bei 844 Patienten (Medianalter 72 Jahre, Median eGFR 49 mL/min/1,73 m²) reduzierte Finerenon die Albuminurie-zu-Kreatinin-Ratio (UACR) um Medianalter 34,5 % nach 6 Monaten (p &lt; 0,001), unabhängig von Hintergrundnephroprotektiva. 52,7 % erreichten die primäre Zielmarke von ≥30 % UACR-Reduktion; 89,5 % Persistenz der Therapie; Hyperkaliämie 4,8 %, Herz-Kreislauf-Ereignisse 1,1 %. Finerenon verbesserte albuminurische Marker auch bei intensiver Vormedikation.</w:t>
      </w:r>
    </w:p>
    <w:p>
      <w:r>
        <w:rPr>
          <w:b/>
          <w:sz w:val="19"/>
        </w:rPr>
        <w:t xml:space="preserve">Übertragbarkeit: </w:t>
      </w:r>
      <w:r>
        <w:rPr>
          <w:sz w:val="19"/>
        </w:rPr>
        <w:t>Spanische Routinedaten, vergleichbares Sozialversicherungssystem</w:t>
      </w:r>
    </w:p>
    <w:p>
      <w:r>
        <w:rPr>
          <w:color w:val="5A7D3A"/>
          <w:sz w:val="18"/>
        </w:rPr>
        <w:t>https://pubmed.ncbi.nlm.nih.gov/42533276/</w:t>
      </w:r>
    </w:p>
    <w:p>
      <w:pPr>
        <w:pStyle w:val="Heading2"/>
      </w:pPr>
      <w:r>
        <w:t>Integrierter Versorgungspfad bei Long COVID: alle Interventionen erzielten Fatigue-Reduktion</w:t>
      </w:r>
    </w:p>
    <w:p>
      <w:r>
        <w:rPr>
          <w:i/>
          <w:color w:val="666666"/>
          <w:sz w:val="18"/>
        </w:rPr>
        <w:t>STIMULATE-ICP Consortium  ·  Nat Med  ·  28.07.2026  ·  PMID 42521821</w:t>
      </w:r>
    </w:p>
    <w:p>
      <w:r>
        <w:t>Phase-3-Cluster-RCT mit 1.152 Teilnehmern aus 122 englischen Primary-Care-Netzwerken zum Effekt von Multi-Organ-MRI und/oder digitaler Rehabilitation im Rahmen strukturierter ICP-Interventionen auf Fatigue-Assessment-Scale nach 12 und 24 Wochen.</w:t>
      </w:r>
    </w:p>
    <w:p>
      <w:r>
        <w:rPr>
          <w:b/>
        </w:rPr>
        <w:t xml:space="preserve">Ergebnis: </w:t>
      </w:r>
      <w:r>
        <w:t>Fatigue-Assessment-Scale verbesserte sich in allen Armen um 4,5 Punkte von 35,8 auf 31,3 (nach 12 Wochen); zusätzliche Multi-Organ-MRI zeigte 0,18-Punkte-Vorteil (95%-KI -0,72 bis 1,09; p = 0,69), digitale Rehabilitation -0,53 Punkte (95%-KI -1,42 bis 0,36; p = 0,25). Multidisziplinäre holistische Versorgung allein war mit Verbesserungen verbunden. Keine schwerwiegenden unerwünschten Ereignisse.</w:t>
      </w:r>
    </w:p>
    <w:p>
      <w:r>
        <w:rPr>
          <w:b/>
          <w:sz w:val="19"/>
        </w:rPr>
        <w:t xml:space="preserve">Übertragbarkeit: </w:t>
      </w:r>
      <w:r>
        <w:rPr>
          <w:sz w:val="19"/>
        </w:rPr>
        <w:t>Englische NHS-Daten, vergleichbares Versicherungssystem und Zugangswege</w:t>
      </w:r>
    </w:p>
    <w:p>
      <w:r>
        <w:rPr>
          <w:color w:val="5A7D3A"/>
          <w:sz w:val="18"/>
        </w:rPr>
        <w:t>https://pubmed.ncbi.nlm.nih.gov/42521821/</w:t>
      </w:r>
    </w:p>
    <w:p>
      <w:pPr>
        <w:pStyle w:val="Heading1"/>
      </w:pPr>
      <w:r>
        <w:t>Aufgenommen am 03.09.2026</w:t>
      </w:r>
    </w:p>
    <w:p>
      <w:pPr>
        <w:pStyle w:val="Heading2"/>
      </w:pPr>
      <w:r>
        <w:t>Dysbiose und Obstipation bei Dialysepatienten: Mikrobiotargetierende Interventionen versprechen, aber evidenzlimitiert</w:t>
      </w:r>
    </w:p>
    <w:p>
      <w:r>
        <w:rPr>
          <w:i/>
          <w:color w:val="666666"/>
          <w:sz w:val="18"/>
        </w:rPr>
        <w:t>Shen Z et al.  ·  Front Cell Infect Microbiol  ·  18.08.2026  ·  PMID 42683184</w:t>
      </w:r>
    </w:p>
    <w:p>
      <w:r>
        <w:t>Narrativer Übersichtsartikel, der Veränderungen der Darmflora bei Patienten mit Nierenersatztherapie (ESRD) und Obstipation, ihre pathogenen Mechanismen und Therapieoptionen (Probiotika, Präbiotika, Ernährung) systematisch zusammenfasst.</w:t>
      </w:r>
    </w:p>
    <w:p>
      <w:r>
        <w:rPr>
          <w:b/>
        </w:rPr>
        <w:t xml:space="preserve">Ergebnis: </w:t>
      </w:r>
      <w:r>
        <w:t>Kernbefund: Dysbiose mit reduzierter kurzkettigen-Fettsäure-produzierenden Bakterien und erhöhten urease-positiven Spezies; bidirektionaler Mikrobiotagutkidney-Teufelskreis mit erhöhter intestinaler Permeabilität und Nierenschaden. Evidenz für Interventionen vorhanden, aber Sicherheitsaspekte und klinische Praktikabilität unklar.</w:t>
      </w:r>
    </w:p>
    <w:p>
      <w:r>
        <w:rPr>
          <w:b/>
          <w:sz w:val="19"/>
        </w:rPr>
        <w:t xml:space="preserve">Übertragbarkeit: </w:t>
      </w:r>
      <w:r>
        <w:rPr>
          <w:sz w:val="19"/>
        </w:rPr>
        <w:t>Pathophysiologie-Fokus, Interventionsevidenz zu fragmentarisch für direkte deutsche Implementierung</w:t>
      </w:r>
    </w:p>
    <w:p>
      <w:r>
        <w:rPr>
          <w:color w:val="5A7D3A"/>
          <w:sz w:val="18"/>
        </w:rPr>
        <w:t>https://pubmed.ncbi.nlm.nih.gov/42683184/</w:t>
      </w:r>
    </w:p>
    <w:p>
      <w:pPr>
        <w:pStyle w:val="Heading2"/>
      </w:pPr>
      <w:r>
        <w:t>Dapagliflozin und CKD-Progression: Effekt auf eGFR-Rückgang inkonsistent, aber Reduktion klinischer Nierenendpunkte</w:t>
      </w:r>
    </w:p>
    <w:p>
      <w:r>
        <w:rPr>
          <w:i/>
          <w:color w:val="666666"/>
          <w:sz w:val="18"/>
        </w:rPr>
        <w:t>Shadravan S et al.  ·  Iran J Kidney Dis  ·  31.07.2026  ·  PMID 42679368</w:t>
      </w:r>
    </w:p>
    <w:p>
      <w:r>
        <w:t>Systematische Übersicht von 15 Studien zur Wirkung von Dapagliflozin auf chronische Nierenerkrankung; 11 waren Sekundäranalysen der DAPA-CKD-Studie mit 4.304 Teilnehmern; nur vier unabhängige Studien nach Ausschluss von Doppeltgennung verfügbar.</w:t>
      </w:r>
    </w:p>
    <w:p>
      <w:r>
        <w:rPr>
          <w:b/>
        </w:rPr>
        <w:t xml:space="preserve">Ergebnis: </w:t>
      </w:r>
      <w:r>
        <w:t>eGFR-Effekte hochgradig heterogen (-6,6 bis +0,93 mL/min/1,73m²; I²=93,7 %); DAPA-CKD zeigte Reduktion ungünstiger klinischer renaler Ergebnisse. Heterogenität und begrenzte unabhängige Evidenz verhindern Metaanalyse; dapagliflozin erscheint nierenschützend und sicher für CKD.</w:t>
      </w:r>
    </w:p>
    <w:p>
      <w:r>
        <w:rPr>
          <w:b/>
          <w:sz w:val="19"/>
        </w:rPr>
        <w:t xml:space="preserve">Übertragbarkeit: </w:t>
      </w:r>
      <w:r>
        <w:rPr>
          <w:sz w:val="19"/>
        </w:rPr>
        <w:t>Internationale Evidenz, kardiorenales Konzept übertragbar; Datenstabilität limitiert</w:t>
      </w:r>
    </w:p>
    <w:p>
      <w:r>
        <w:rPr>
          <w:color w:val="5A7D3A"/>
          <w:sz w:val="18"/>
        </w:rPr>
        <w:t>https://pubmed.ncbi.nlm.nih.gov/42679368/</w:t>
      </w:r>
    </w:p>
    <w:p>
      <w:pPr>
        <w:pStyle w:val="Heading2"/>
      </w:pPr>
      <w:r>
        <w:t>COPD-Therapietreue: Nur 30–50 % erreichen optimale Adhärenz; COM-B-Modell identifiziert veränderbare Faktoren</w:t>
      </w:r>
    </w:p>
    <w:p>
      <w:r>
        <w:rPr>
          <w:i/>
          <w:color w:val="666666"/>
          <w:sz w:val="18"/>
        </w:rPr>
        <w:t>Zhang Y et al.  ·  Int J Chron Obstruct Pulmon Dis  ·  27.08.2026  ·  PMID 42677250</w:t>
      </w:r>
    </w:p>
    <w:p>
      <w:r>
        <w:t>Narrative Übersichtsarbeit, die Literatur zu Adhärenz-Messverfahren, Prävalenz (MPR ≥80 % bei nur 30–50 % der Patienten), Einflussfaktoren und Interventionsstrategien anhand des Capability-Opportunity-Motivation-Behaviour-Modells systematisiert.</w:t>
      </w:r>
    </w:p>
    <w:p>
      <w:r>
        <w:rPr>
          <w:b/>
        </w:rPr>
        <w:t xml:space="preserve">Ergebnis: </w:t>
      </w:r>
      <w:r>
        <w:t>Inhalationstechnikfehler 30–50 %, therapieverweigerung bei Depression/Angststörung ca. 20–25 % niedriger; Single-Inhaler-Triple-Therapie versus Multiple-Inhaler zeigte 18-Monats-Persistenz 16,5 % vs. 2,3 %. Höhere Adhärenz assoziiert mit 51 % Reduktion exazerbationsbedingter Hospitalisierung und Attenuation des FEV1-Rückgangs um ca. 21 mL/Jahr.</w:t>
      </w:r>
    </w:p>
    <w:p>
      <w:r>
        <w:rPr>
          <w:b/>
          <w:sz w:val="19"/>
        </w:rPr>
        <w:t xml:space="preserve">Übertragbarkeit: </w:t>
      </w:r>
      <w:r>
        <w:rPr>
          <w:sz w:val="19"/>
        </w:rPr>
        <w:t>Internationale Literatur, Adhärenz-Muster ähnlich wie Deutschland; länderspezifische Zahlen begrenzt</w:t>
      </w:r>
    </w:p>
    <w:p>
      <w:r>
        <w:rPr>
          <w:color w:val="5A7D3A"/>
          <w:sz w:val="18"/>
        </w:rPr>
        <w:t>https://pubmed.ncbi.nlm.nih.gov/42677250/</w:t>
      </w:r>
    </w:p>
    <w:p>
      <w:pPr>
        <w:pStyle w:val="Heading2"/>
      </w:pPr>
      <w:r>
        <w:t>COPD-Verhalten: Vier Phänotypen kombinieren Inhalationstechnik und Adhärenz; Wissenslücken zielbar</w:t>
      </w:r>
    </w:p>
    <w:p>
      <w:r>
        <w:rPr>
          <w:i/>
          <w:color w:val="666666"/>
          <w:sz w:val="18"/>
        </w:rPr>
        <w:t>Xiang J et al.  ·  Int J Chron Obstruct Pulmon Dis  ·  27.08.2026  ·  PMID 42677230</w:t>
      </w:r>
    </w:p>
    <w:p>
      <w:r>
        <w:t>Querschnittsstudie mit 700 COPD-Patienten in Peking 2025, die kombinierte Inhalationstechnik und Therapietreue zur Klassifizierung in vier Verhaltenphänotypen nutzten; Assoziationen mit Patientenmerkmalen berechnet.</w:t>
      </w:r>
    </w:p>
    <w:p>
      <w:r>
        <w:rPr>
          <w:b/>
        </w:rPr>
        <w:t xml:space="preserve">Ergebnis: </w:t>
      </w:r>
      <w:r>
        <w:t>Nur 25,3 % zeigten perfekte Inhalationstechnik, 59,0 % gute Adhärenz. Vier Phänotypen: Standard+Adhärent (20,7 %), Nicht-adhärent+Standard (4,6 %), Adhärent+Nicht-standard (38,3 %), Nicht-standard+Nicht-adhärent (36,4 %). Krankheitswissen stärkster Prädiktor: korrekte vs. fehlerhafte Technik OR 0,30–0,35 (p&lt;0,001). Krankheitsdauer assoziiert mit unterschiedlichen Adhärenzmustern.</w:t>
      </w:r>
    </w:p>
    <w:p>
      <w:r>
        <w:rPr>
          <w:b/>
          <w:sz w:val="19"/>
        </w:rPr>
        <w:t xml:space="preserve">Übertragbarkeit: </w:t>
      </w:r>
      <w:r>
        <w:rPr>
          <w:sz w:val="19"/>
        </w:rPr>
        <w:t>China, hoher Techniktransferpotential, Wissenslückenmodell auch für Deutschland prädiktiv</w:t>
      </w:r>
    </w:p>
    <w:p>
      <w:r>
        <w:rPr>
          <w:color w:val="5A7D3A"/>
          <w:sz w:val="18"/>
        </w:rPr>
        <w:t>https://pubmed.ncbi.nlm.nih.gov/42677230/</w:t>
      </w:r>
    </w:p>
    <w:p>
      <w:pPr>
        <w:pStyle w:val="Heading2"/>
      </w:pPr>
      <w:r>
        <w:t>Pädiatrische Notfallverstärkung bei komplexen Erkrankungen: Zentrale Konzentration in Seoul, Reisedistanz erhöht Mortalität</w:t>
      </w:r>
    </w:p>
    <w:p>
      <w:r>
        <w:rPr>
          <w:i/>
          <w:color w:val="666666"/>
          <w:sz w:val="18"/>
        </w:rPr>
        <w:t>Choi YY et al.  ·  J Korean Med Sci  ·  31.08.2026  ·  PMID 42676071</w:t>
      </w:r>
    </w:p>
    <w:p>
      <w:r>
        <w:t>Nationale Analyse südkoreanischer Notfallbesuche 2016–2022 (7,76 Millionen Fälle), davon 149.306 (1,9 %) mit komplexen chronischen Erkrankungen (CCCs); Reisedistanz und regionale Unterschiede in Versorgungsergebnissen untersucht.</w:t>
      </w:r>
    </w:p>
    <w:p>
      <w:r>
        <w:rPr>
          <w:b/>
        </w:rPr>
        <w:t xml:space="preserve">Ergebnis: </w:t>
      </w:r>
      <w:r>
        <w:t>CCC-Patienten: höhere Akuität (16,5 % vs. 3,1 %), längere Anfahrt (11,2 vs. 6,2 km), ICU-Admission 4,4 % vs. 0,3 %, ED-Todesfälle 0,2 % vs. 0,04 %. 47,9 % aller CCC-Fälle in Seoul; längere Reise unabhängig mit Mortalität assoziiert: OR 1,3 (15–59,9 km), 1,6 (60–99,9 km), 1,3 (≥100 km). Zentrale Konzentration (40,7 % in 5 Krankenhäusern) zeigt Gesamtfehler in Ressourcenallokation.</w:t>
      </w:r>
    </w:p>
    <w:p>
      <w:r>
        <w:rPr>
          <w:b/>
          <w:sz w:val="19"/>
        </w:rPr>
        <w:t xml:space="preserve">Übertragbarkeit: </w:t>
      </w:r>
      <w:r>
        <w:rPr>
          <w:sz w:val="19"/>
        </w:rPr>
        <w:t>Südkorea, Zentrailisierungsproblem relevant für deutsche Flächenländer; Mortalitäts-Distanz-Beziehung übertragbar</w:t>
      </w:r>
    </w:p>
    <w:p>
      <w:r>
        <w:rPr>
          <w:color w:val="5A7D3A"/>
          <w:sz w:val="18"/>
        </w:rPr>
        <w:t>https://pubmed.ncbi.nlm.nih.gov/42676071/</w:t>
      </w:r>
    </w:p>
    <w:p>
      <w:pPr>
        <w:pStyle w:val="Heading2"/>
      </w:pPr>
      <w:r>
        <w:t>Lebensbedrohliche Erkrankungen bei Kindern in Irland: Prävalenz 34,8–50,0 pro 10.000; Datendefizite erfordern sichere ID</w:t>
      </w:r>
    </w:p>
    <w:p>
      <w:r>
        <w:rPr>
          <w:i/>
          <w:color w:val="666666"/>
          <w:sz w:val="18"/>
        </w:rPr>
        <w:t>Smith S et al.  ·  BMC Pediatr  ·  28.07.2026  ·  PMID 42509542</w:t>
      </w:r>
    </w:p>
    <w:p>
      <w:r>
        <w:t>Querschnittsanalyse irischer Spitaldaten 2019 und 2024, um Prävalenz lebensbedrohlicher Zustände bei 0–19-Jährigen unter fehlender eindeutiger Patientenkennung zu schätzen; drei Schätzszenarien mit Sensitivitätsanalysen.</w:t>
      </w:r>
    </w:p>
    <w:p>
      <w:r>
        <w:rPr>
          <w:b/>
        </w:rPr>
        <w:t xml:space="preserve">Ergebnis: </w:t>
      </w:r>
      <w:r>
        <w:t>Baseline-Prävalenz 34,8–50,0 pro 10.000 (2019) und 32,3–44,5 pro 10.000 (2024); mit Adjustierung für Untererfassung: 46,4–66,6 (2019) und 43,0–59,3 pro 10.000 (2024). Höher bei Männern, größte Gruppe &lt;1 Jahr. Schätzungen konsistent mit ähnlich-wohlhabenden Ländern; Methodentransparenz ermöglicht Vergleiche trotz Datenlimitationen.</w:t>
      </w:r>
    </w:p>
    <w:p>
      <w:r>
        <w:rPr>
          <w:b/>
          <w:sz w:val="19"/>
        </w:rPr>
        <w:t xml:space="preserve">Übertragbarkeit: </w:t>
      </w:r>
      <w:r>
        <w:rPr>
          <w:sz w:val="19"/>
        </w:rPr>
        <w:t>Irland, administratives Datensystem ohne eindeutige ID vergleichbar mit Teilen deutscher Krankenhauslandschaft</w:t>
      </w:r>
    </w:p>
    <w:p>
      <w:r>
        <w:rPr>
          <w:color w:val="5A7D3A"/>
          <w:sz w:val="18"/>
        </w:rPr>
        <w:t>https://pubmed.ncbi.nlm.nih.gov/42509542/</w:t>
      </w:r>
    </w:p>
    <w:p>
      <w:pPr>
        <w:pStyle w:val="Heading2"/>
      </w:pPr>
      <w:r>
        <w:t>Sarcoidosis-Trajektorien: Chronische Erkrankung tritt bei 28,5 % auf, mit erhöhtem Infekt- und Depressionsrisiko</w:t>
      </w:r>
    </w:p>
    <w:p>
      <w:r>
        <w:rPr>
          <w:i/>
          <w:color w:val="666666"/>
          <w:sz w:val="18"/>
        </w:rPr>
        <w:t>Rossides M et al.  ·  Respir Res  ·  24.07.2026  ·  PMID 42498935</w:t>
      </w:r>
    </w:p>
    <w:p>
      <w:r>
        <w:t>Prospektive Kohortenstudie mit 9.665 Patienten, die neue Sarcoidose-Diagnosen zwischen 2006 und 2018 im schwedischen Register identifizierte und über fünf Jahre verfolgte; zwei längerfristige Verlaufsmuster wurden mittels statistischer Modellierung der Arztbesuche ermittelt.</w:t>
      </w:r>
    </w:p>
    <w:p>
      <w:r>
        <w:rPr>
          <w:b/>
        </w:rPr>
        <w:t xml:space="preserve">Ergebnis: </w:t>
      </w:r>
      <w:r>
        <w:t>71,5 % zeigten selbstlimitierten Verlauf mit Remission in zwei Jahren, 28,5 % chronischen Verlauf mit persistenten Besuchen; chronisches Sarcoidosis war assoziiert mit: eGFR Krankheit (Hoehn und Yahr ≥ 2 vs. 1), erhöhtem Infektrisiko, Herzinsuffizienz, Diabetes, Depression, Angststörung und früherem Tod. Immunosuppressive Therapie bei Diagnose erhöhte Chronizitätsrisiko um Faktor 2,18 (95%-KI 2,04–2,33).</w:t>
      </w:r>
    </w:p>
    <w:p>
      <w:r>
        <w:rPr>
          <w:b/>
          <w:sz w:val="19"/>
        </w:rPr>
        <w:t xml:space="preserve">Übertragbarkeit: </w:t>
      </w:r>
      <w:r>
        <w:rPr>
          <w:sz w:val="19"/>
        </w:rPr>
        <w:t>Schweden, nationale Patientenregister, vergleichbare Gesundheitssysteme</w:t>
      </w:r>
    </w:p>
    <w:p>
      <w:r>
        <w:rPr>
          <w:color w:val="5A7D3A"/>
          <w:sz w:val="18"/>
        </w:rPr>
        <w:t>https://pubmed.ncbi.nlm.nih.gov/42498935/</w:t>
      </w:r>
    </w:p>
    <w:p>
      <w:pPr>
        <w:pStyle w:val="Heading1"/>
      </w:pPr>
      <w:r>
        <w:t>Aufgenommen am 02.09.2026</w:t>
      </w:r>
    </w:p>
    <w:p>
      <w:pPr>
        <w:pStyle w:val="Heading2"/>
      </w:pPr>
      <w:r>
        <w:t>Albuminoxidation verzögert sich nach Nierentransplantation trotz Funktionsrestitution</w:t>
      </w:r>
    </w:p>
    <w:p>
      <w:r>
        <w:rPr>
          <w:i/>
          <w:color w:val="666666"/>
          <w:sz w:val="18"/>
        </w:rPr>
        <w:t>Berntsen LM et al.  ·  BMC Nephrol  ·  28.08.2026  ·  PMID 42665799</w:t>
      </w:r>
    </w:p>
    <w:p>
      <w:r>
        <w:t>Observationsstudie, die die Albumin-Redoxstatus (ARS) vor und nach Nierentransplantation (KTX) gemessen hat, um zu zeigen, ob die Verbesserung der Nierenfunktion die Oxidation verringert.</w:t>
      </w:r>
    </w:p>
    <w:p>
      <w:r>
        <w:rPr>
          <w:b/>
        </w:rPr>
        <w:t xml:space="preserve">Ergebnis: </w:t>
      </w:r>
      <w:r>
        <w:t>Vor KTX waren HMA-Werte reduziert (Median 63,5%), HNA-1 und HNA-2 erhöht. Eine Woche nach KTX verschlechterte sich HMA weiter (57,9%), HNA-2 stieg auf 9,2%. Trotz rascher Funktionserholung war die ARS-Normalisierung langsam und variabel; 180 Tage post-KTX zeigten 31 % der Patienten noch erhöhte Oxidationssignale, was nahelegt, dass Faktoren jenseits der Nierenfunktion die ARS beeinflussen.</w:t>
      </w:r>
    </w:p>
    <w:p>
      <w:r>
        <w:rPr>
          <w:b/>
          <w:sz w:val="19"/>
        </w:rPr>
        <w:t xml:space="preserve">Übertragbarkeit: </w:t>
      </w:r>
      <w:r>
        <w:rPr>
          <w:sz w:val="19"/>
        </w:rPr>
        <w:t>Deutschland/Österreich, vergleichbare Transplantationsverfahren und -strukturen</w:t>
      </w:r>
    </w:p>
    <w:p>
      <w:r>
        <w:rPr>
          <w:color w:val="5A7D3A"/>
          <w:sz w:val="18"/>
        </w:rPr>
        <w:t>https://pubmed.ncbi.nlm.nih.gov/42665799/</w:t>
      </w:r>
    </w:p>
    <w:p>
      <w:pPr>
        <w:pStyle w:val="Heading2"/>
      </w:pPr>
      <w:r>
        <w:t>Muskelzell-Veränderungen bei Long COVID/ME-CFS unterscheiden sich grundlegend von Bettlägerigkeit</w:t>
      </w:r>
    </w:p>
    <w:p>
      <w:r>
        <w:rPr>
          <w:i/>
          <w:color w:val="666666"/>
          <w:sz w:val="18"/>
        </w:rPr>
        <w:t>Charlton BT et al.  ·  Nat Commun  ·  28.07.2026  ·  PMID 42649155</w:t>
      </w:r>
    </w:p>
    <w:p>
      <w:r>
        <w:t>Vergleichende Myofaser-Analyse nach 60-Tage-Bettruhe bei Gesunden versus Long COVID/ME-CFS-Patienten, um zu zeigen, dass Inaktivität allein nicht die Muskeldefekte erklärt.</w:t>
      </w:r>
    </w:p>
    <w:p>
      <w:r>
        <w:rPr>
          <w:b/>
        </w:rPr>
        <w:t xml:space="preserve">Ergebnis: </w:t>
      </w:r>
      <w:r>
        <w:t>Gesunde zeigen nach Bettruhe Muskelatrophie ohne Fasetyp-Verschiebung; beide Patientengruppen haben mehr glykolytische Fasern und ME/CFS-Patienten zeigen zusätzliche Typ-I-spezifische Atrophie. Nur nach Bettruhe war oxidative Phosphorylierungskapazität mit VO₂max korreliert. Die Muskelmerkmale unterscheiden sich fundamental zwischen Patienten und Bettruhe-Kontrollen, was zeigt, dass Inaktivität nicht die metabolischen Abnormitäten erklärt.</w:t>
      </w:r>
    </w:p>
    <w:p>
      <w:r>
        <w:rPr>
          <w:b/>
          <w:sz w:val="19"/>
        </w:rPr>
        <w:t xml:space="preserve">Übertragbarkeit: </w:t>
      </w:r>
      <w:r>
        <w:rPr>
          <w:sz w:val="19"/>
        </w:rPr>
        <w:t>Niederlande, vergleichbare Versorgungsbedingungen für chronische Erkrankungen</w:t>
      </w:r>
    </w:p>
    <w:p>
      <w:r>
        <w:rPr>
          <w:color w:val="5A7D3A"/>
          <w:sz w:val="18"/>
        </w:rPr>
        <w:t>https://pubmed.ncbi.nlm.nih.gov/42649155/</w:t>
      </w:r>
    </w:p>
    <w:p>
      <w:pPr>
        <w:pStyle w:val="Heading2"/>
      </w:pPr>
      <w:r>
        <w:t>Qualitätsindikatoren für Mehrfacherkrankung in der Hausarztpraxis – Protokoll einer partizipativen Entwicklung</w:t>
      </w:r>
    </w:p>
    <w:p>
      <w:r>
        <w:rPr>
          <w:i/>
          <w:color w:val="666666"/>
          <w:sz w:val="18"/>
        </w:rPr>
        <w:t>Tavares S et al.  ·  JMIR Res Protoc  ·  07.08.2026  ·  PMID 42567680</w:t>
      </w:r>
    </w:p>
    <w:p>
      <w:r>
        <w:t>Protokoll einer modifizierten RAND/UCLA-Studie zur Co-Entwicklung von nicht-diagnose-spezifischen Qualitätsindikatoren für Patienten mit Mehrfacherkrankungen (MLTC) mit Patienten, Angehörigen und Fachpersonen in England.</w:t>
      </w:r>
    </w:p>
    <w:p>
      <w:r>
        <w:rPr>
          <w:b/>
        </w:rPr>
        <w:t xml:space="preserve">Ergebnis: </w:t>
      </w:r>
      <w:r>
        <w:t>10 Patienten/Angehörige und 12 Fachpersonen konsentierten bis Juli 2026; 54 Kandidaten-Indikatoren aus Scoping Review und qualitativen Interviews mit 21 Patienten generiert. RAMStudie mit drei Runden geplant (Completion Anfang 2027). Indikatoren in Struktur-Prozess-Ergebnis-Qualitätsrahmen gemappt. Patient und Public Involvement mit vier Community-Partnern laufend. Ziel: umsetzungsorientiertes, primär-versorgungsgerechtes Indikator-Set für Mehrfacherkrankungen.</w:t>
      </w:r>
    </w:p>
    <w:p>
      <w:r>
        <w:rPr>
          <w:b/>
          <w:sz w:val="19"/>
        </w:rPr>
        <w:t xml:space="preserve">Übertragbarkeit: </w:t>
      </w:r>
      <w:r>
        <w:rPr>
          <w:sz w:val="19"/>
        </w:rPr>
        <w:t>Großbritannien/NHS, vergleichbarer Versorgungsauftrag und Gate-Keeper-Modell</w:t>
      </w:r>
    </w:p>
    <w:p>
      <w:r>
        <w:rPr>
          <w:color w:val="5A7D3A"/>
          <w:sz w:val="18"/>
        </w:rPr>
        <w:t>https://pubmed.ncbi.nlm.nih.gov/42567680/</w:t>
      </w:r>
    </w:p>
    <w:p>
      <w:pPr>
        <w:pStyle w:val="Heading2"/>
      </w:pPr>
      <w:r>
        <w:t>Migranten-Jugendliche zeigen hohe Mehrfacherkrankung; unbegleitete haben 4-fach erhöhtes Trauma-Risiko</w:t>
      </w:r>
    </w:p>
    <w:p>
      <w:r>
        <w:rPr>
          <w:i/>
          <w:color w:val="666666"/>
          <w:sz w:val="18"/>
        </w:rPr>
        <w:t>Ngom L et al.  ·  J Adolesc Health  ·  04.08.2026  ·  PMID 42554533</w:t>
      </w:r>
    </w:p>
    <w:p>
      <w:r>
        <w:t>Observationskohort von 384 Migranten-Jugendlichen (10–17 J., Ankunft &lt;5 Jahre) in Marseille 2019–2024, die multimorbidität (CIRS) und psychisches Trauma-Risiko (Protect) misst.</w:t>
      </w:r>
    </w:p>
    <w:p>
      <w:r>
        <w:rPr>
          <w:b/>
        </w:rPr>
        <w:t xml:space="preserve">Ergebnis: </w:t>
      </w:r>
      <w:r>
        <w:t>Mittleres CIRS 3,98; 35,4 % hatten ≥3 Organ-System-Beeinträchtigungen. Häufigste: HNO/Zähne (48,7%), Muskel-Skelett (46,4%), psychische Störungen (25,3%). Multimorbidität assoziiert mit chronischer Vorgeschichte vor Migration (adj. OR 1,40; p&lt;0,0005) und während Migration (adj. OR 1,94; p=0,005). Trauma-Risiko erhöht bei unbegleiteten Jugendlichen (adj. OR 4,27; p&lt;0,05) und höherer physischer Morbidität (OR 1,18; p&lt;0,05). ED-Besuche sanken während und nach Versorgung im Unit. Vulnerable Population erfordert umfassenden Versorgungspfad.</w:t>
      </w:r>
    </w:p>
    <w:p>
      <w:r>
        <w:rPr>
          <w:b/>
          <w:sz w:val="19"/>
        </w:rPr>
        <w:t xml:space="preserve">Übertragbarkeit: </w:t>
      </w:r>
      <w:r>
        <w:rPr>
          <w:sz w:val="19"/>
        </w:rPr>
        <w:t>Frankreich, vergleichbare EU-Versorgungsstruktur; Übertragbarkeit hängt an kultursensibler Ausgestaltung</w:t>
      </w:r>
    </w:p>
    <w:p>
      <w:r>
        <w:rPr>
          <w:color w:val="5A7D3A"/>
          <w:sz w:val="18"/>
        </w:rPr>
        <w:t>https://pubmed.ncbi.nlm.nih.gov/42554533/</w:t>
      </w:r>
    </w:p>
    <w:p>
      <w:pPr>
        <w:pStyle w:val="Heading2"/>
      </w:pPr>
      <w:r>
        <w:t>Aktualisierte CIDP-Leitlinie (2021) zeigt höhere Spezifität, aber niedrigere Sensitivität</w:t>
      </w:r>
    </w:p>
    <w:p>
      <w:r>
        <w:rPr>
          <w:i/>
          <w:color w:val="666666"/>
          <w:sz w:val="18"/>
        </w:rPr>
        <w:t>van Doorn IN et al.  ·  Eur J Neurol  ·  Aug. 2026  ·  PMID 42549490</w:t>
      </w:r>
    </w:p>
    <w:p>
      <w:r>
        <w:t>Vergleich der diagnostischen Genauigkeit der 2010 EFNS/PNS und der 2021 EAN/PNS Richtlinien für CIDP anhand von 339 Patienten und 339 Kontrollen mit vermuteter chronischer Neuropathie.</w:t>
      </w:r>
    </w:p>
    <w:p>
      <w:r>
        <w:rPr>
          <w:b/>
        </w:rPr>
        <w:t xml:space="preserve">Ergebnis: </w:t>
      </w:r>
      <w:r>
        <w:t>Die 2010-Richtlinie erzielte 92 % Sensitivität und 67 % Spezifität (möglich CIDP) bzw. 91 % und 78 % (wahrscheinlich/definit). Die 2021-Richtlinie zeigte 94 % Sensitivität und 66 % Spezifität (möglich) bzw. 83 % und 86 % (CIDP). Unterschiede entstanden durch geänderte Sensory-Kriterien und Leitfähigkeits-Schwellwerte. Unilaterale NCS hätte 77 mögliche CIDP-Diagnosen übersehen.</w:t>
      </w:r>
    </w:p>
    <w:p>
      <w:r>
        <w:rPr>
          <w:b/>
          <w:sz w:val="19"/>
        </w:rPr>
        <w:t xml:space="preserve">Übertragbarkeit: </w:t>
      </w:r>
      <w:r>
        <w:rPr>
          <w:sz w:val="19"/>
        </w:rPr>
        <w:t>Niederlande, europäische Versorgungsstandards und Leitlinienimplement ierung</w:t>
      </w:r>
    </w:p>
    <w:p>
      <w:r>
        <w:rPr>
          <w:color w:val="5A7D3A"/>
          <w:sz w:val="18"/>
        </w:rPr>
        <w:t>https://pubmed.ncbi.nlm.nih.gov/42549490/</w:t>
      </w:r>
    </w:p>
    <w:p>
      <w:pPr>
        <w:pStyle w:val="Heading2"/>
      </w:pPr>
      <w:r>
        <w:t>HDV-Infektionen schwächen Lebensqualität und Fatigue mit Krankheitsprogress massiv</w:t>
      </w:r>
    </w:p>
    <w:p>
      <w:r>
        <w:rPr>
          <w:i/>
          <w:color w:val="666666"/>
          <w:sz w:val="18"/>
        </w:rPr>
        <w:t>Lampertico P et al.  ·  J Viral Hepat  ·  Sept. 2026  ·  PMID 42538645</w:t>
      </w:r>
    </w:p>
    <w:p>
      <w:r>
        <w:t>Internationale Real-World-Querschnittstudie (Deutschland, Italien, Spanien, USA) zu Lebensqualität (EQ-5D-3L, HepQoL v2) und Fatigue (FSS) in verschiedenen HDV-Erkrankungsstadien bei 211 Patienten.</w:t>
      </w:r>
    </w:p>
    <w:p>
      <w:r>
        <w:rPr>
          <w:b/>
        </w:rPr>
        <w:t xml:space="preserve">Ergebnis: </w:t>
      </w:r>
      <w:r>
        <w:t>EQ-5D-VAS-Scores sanken mit höherer Krankheitsschwere signifikant (p&lt;0,0001): von kompensiert zu dekompensiert zu HCC zeigte kontinuierliche Verschlechterung. Alle HepQoL-Domänen verschlechterten sich mit Progression (p≤0,0001). Mittlere FSS-Scores stiegen mit Krankheitsschwere (p&lt;0,0001). HDV belastet Patienten massiv, besonders in fortgeschrittenen Stadien; Therapien zur Krankheitsverzögerung sind dringend erforderlich.</w:t>
      </w:r>
    </w:p>
    <w:p>
      <w:r>
        <w:rPr>
          <w:b/>
          <w:sz w:val="19"/>
        </w:rPr>
        <w:t xml:space="preserve">Übertragbarkeit: </w:t>
      </w:r>
      <w:r>
        <w:rPr>
          <w:sz w:val="19"/>
        </w:rPr>
        <w:t>Deutschland/Italien/Spanien, vergleichbare Sozialversicherungssysteme und Versorgungsstrukturen</w:t>
      </w:r>
    </w:p>
    <w:p>
      <w:r>
        <w:rPr>
          <w:color w:val="5A7D3A"/>
          <w:sz w:val="18"/>
        </w:rPr>
        <w:t>https://pubmed.ncbi.nlm.nih.gov/42538645/</w:t>
      </w:r>
    </w:p>
    <w:p>
      <w:pPr>
        <w:pStyle w:val="Heading1"/>
      </w:pPr>
      <w:r>
        <w:t>Aufgenommen am 01.09.2026</w:t>
      </w:r>
    </w:p>
    <w:p>
      <w:pPr>
        <w:pStyle w:val="Heading2"/>
      </w:pPr>
      <w:r>
        <w:t>ICS/LAMA/LABA senkte kardiovaskuläre Ereignisse bei COPD um 52 % gegenüber LAMA/LABA</w:t>
      </w:r>
    </w:p>
    <w:p>
      <w:r>
        <w:rPr>
          <w:i/>
          <w:color w:val="666666"/>
          <w:sz w:val="18"/>
        </w:rPr>
        <w:t>Wang YQ et al.  ·  Int J Chron Obstruct Pulmon Dis  ·  26.08.2026  ·  PMID 42670477</w:t>
      </w:r>
    </w:p>
    <w:p>
      <w:r>
        <w:t>Retrospektive Kohortenstudie mit deutschen Krankenkassendaten untersuchte, ob Triple-Therapie (ICS/LAMA/LABA) gegenüber Doppel-Therapie (LAMA/LABA) bei COPD-Patienten major adverse cardiovascular events (MACEs) reduziert.</w:t>
      </w:r>
    </w:p>
    <w:p>
      <w:r>
        <w:rPr>
          <w:b/>
        </w:rPr>
        <w:t xml:space="preserve">Ergebnis: </w:t>
      </w:r>
      <w:r>
        <w:t>Über 20,5 Monate: 102 MACEs insgesamt (19,2 %); LAMA/LABA 22 % vs. ICS/LAMA/LABA 17 % (adjustierte HR 0,481; 95%-KI 0,302–0,766; p=0,002). Bei hohem kardiovaskulärem Risiko war die Risikoreduktion noch stärker (HR 0,435; p&lt;0,001). Das Ergebnis unterstreicht den kardioprotektiven Zusatzeffekt von ICS in der Erhaltungstherapie.</w:t>
      </w:r>
    </w:p>
    <w:p>
      <w:r>
        <w:rPr>
          <w:b/>
          <w:sz w:val="19"/>
        </w:rPr>
        <w:t xml:space="preserve">Übertragbarkeit: </w:t>
      </w:r>
      <w:r>
        <w:rPr>
          <w:sz w:val="19"/>
        </w:rPr>
        <w:t>Deutsche Routinedaten, Versicherungssystem und COPD-Patient:innen vergleichbar mit Gesundheitssystem</w:t>
      </w:r>
    </w:p>
    <w:p>
      <w:r>
        <w:rPr>
          <w:color w:val="5A7D3A"/>
          <w:sz w:val="18"/>
        </w:rPr>
        <w:t>https://pubmed.ncbi.nlm.nih.gov/42670477/</w:t>
      </w:r>
    </w:p>
    <w:p>
      <w:pPr>
        <w:pStyle w:val="Heading2"/>
      </w:pPr>
      <w:r>
        <w:t>GLP-1-Rezeptoragonisten senken kardiovaskuläre Ereignisse bei Dialysepatienten mit Herzinsuffizienz um 28 %</w:t>
      </w:r>
    </w:p>
    <w:p>
      <w:r>
        <w:rPr>
          <w:i/>
          <w:color w:val="666666"/>
          <w:sz w:val="18"/>
        </w:rPr>
        <w:t>Liu PY et al.  ·  Nat Commun  ·  30.07.2026  ·  PMID 42669711</w:t>
      </w:r>
    </w:p>
    <w:p>
      <w:r>
        <w:t>Emulierte Zielstudie mit US-amerikanischem elektronischem Gesundheitsaktenverbund (TriNetX) verglich GLP-1-Rezeptoragonisten (GLP-1RA) versus DPP-4-Inhibitoren (DPP-4i) bei dialysepflichtigen Diabetespatienten mit Herzinsuffizienz hinsichtlich ischämischer kardiovaskulärer Ereignisse und Herzinsuffizienzexazerbationen.</w:t>
      </w:r>
    </w:p>
    <w:p>
      <w:r>
        <w:rPr>
          <w:b/>
        </w:rPr>
        <w:t xml:space="preserve">Ergebnis: </w:t>
      </w:r>
      <w:r>
        <w:t>GLP-1RA vs. DPP-4i: Primärer kombinierter Outcome (ischämische Events + HF-Exazerbationen) 31,7 % vs. 41,4 % (HR 0,72; 95%-KI 0,64–0,82; p&lt;0,0001). Konsistente Reduktionen bei ischämischen Events (HR 0,74), HF-Exazerbationen (HR 0,76), Gesamtmortalität (HR 0,68). Ergebnis in Sensitivitätsanalysen und Subgruppen stabil.</w:t>
      </w:r>
    </w:p>
    <w:p>
      <w:r>
        <w:rPr>
          <w:b/>
          <w:sz w:val="19"/>
        </w:rPr>
        <w:t xml:space="preserve">Übertragbarkeit: </w:t>
      </w:r>
      <w:r>
        <w:rPr>
          <w:sz w:val="19"/>
        </w:rPr>
        <w:t>USA-Daten aus elektronischen Akten; Übertragbarkeit auf Deutschland begrenzt durch andere Versorgungsstrukturen</w:t>
      </w:r>
    </w:p>
    <w:p>
      <w:r>
        <w:rPr>
          <w:color w:val="5A7D3A"/>
          <w:sz w:val="18"/>
        </w:rPr>
        <w:t>https://pubmed.ncbi.nlm.nih.gov/42669711/</w:t>
      </w:r>
    </w:p>
    <w:p>
      <w:pPr>
        <w:pStyle w:val="Heading2"/>
      </w:pPr>
      <w:r>
        <w:t>FGF-23 als Prognosemarker für CKD-Progression und kardiovaskuläre Ereignisse validiert</w:t>
      </w:r>
    </w:p>
    <w:p>
      <w:r>
        <w:rPr>
          <w:i/>
          <w:color w:val="666666"/>
          <w:sz w:val="18"/>
        </w:rPr>
        <w:t>Hsu JW et al.  ·  PeerJ  ·  24.08.2026  ·  PMID 42668972</w:t>
      </w:r>
    </w:p>
    <w:p>
      <w:r>
        <w:t>Systematische Übersichtsarbeit und Metaanalyse von 12 prospektiven Kohortenstudien (21.042 Patienten mit CKD Stadium 1–5) untersuchte die Vorhersagekraft von Fibroblast-Growth-Factor-23 (FGF-23) für Nierenfunktionsverschlechterung, Nierenversagen, kardiovaskuläre Ereignisse und Sterblichkeit.</w:t>
      </w:r>
    </w:p>
    <w:p>
      <w:r>
        <w:rPr>
          <w:b/>
        </w:rPr>
        <w:t xml:space="preserve">Ergebnis: </w:t>
      </w:r>
      <w:r>
        <w:t>Erhöhte FGF-23-Spiegel assoziiert mit eGFR-Rückgang (Mittelwertdifferenz −17,83 mL/min/1,73m²). Bei leichter bis mittelschwerer CKD: Jede 10 RU/mL FGF-23-Steigerung erhöhte Nierenversagensrisiko um 1,7 % (HR 1,01; 95%-KI 1,01–1,02). Bei fortgeschrittener CKD (höchstes vs. niedrigstes Quartil): 2,32-fach erhöhtes Nierenversagensrisiko (95%-KI 1,80–2,98). Kardiovaskuläre Events (HR 1,72), Herzinsuffizienz (HR 2,14), Gesamtmortalität (HR 1,61) signifikant erhöht.</w:t>
      </w:r>
    </w:p>
    <w:p>
      <w:r>
        <w:rPr>
          <w:b/>
          <w:sz w:val="19"/>
        </w:rPr>
        <w:t xml:space="preserve">Übertragbarkeit: </w:t>
      </w:r>
      <w:r>
        <w:rPr>
          <w:sz w:val="19"/>
        </w:rPr>
        <w:t>Metaanalyse mit internationalen Studien; Biomarker-Stratifizierung ist international anwendbar</w:t>
      </w:r>
    </w:p>
    <w:p>
      <w:r>
        <w:rPr>
          <w:color w:val="5A7D3A"/>
          <w:sz w:val="18"/>
        </w:rPr>
        <w:t>https://pubmed.ncbi.nlm.nih.gov/42668972/</w:t>
      </w:r>
    </w:p>
    <w:p>
      <w:pPr>
        <w:pStyle w:val="Heading2"/>
      </w:pPr>
      <w:r>
        <w:t>Bessere Schlafqualität assoziiert mit 36 % weniger Müdigkeit bei Hämodialysepatienten</w:t>
      </w:r>
    </w:p>
    <w:p>
      <w:r>
        <w:rPr>
          <w:i/>
          <w:color w:val="666666"/>
          <w:sz w:val="18"/>
        </w:rPr>
        <w:t>Chen G et al.  ·  Sleep Breath  ·  29.08.2026  ·  PMID 42667469</w:t>
      </w:r>
    </w:p>
    <w:p>
      <w:r>
        <w:t>Querschnittstudie bei 249 Hämodialysepatienten in China untersuchte die Assoziation multidimensionaler Schlafgesundheit (RU_SATED 2.0) mit Müdigkeit (Fatigue Scale-14) unter Adjustierung für Alter, Lebensstil und laborchemische Marker.</w:t>
      </w:r>
    </w:p>
    <w:p>
      <w:r>
        <w:rPr>
          <w:b/>
        </w:rPr>
        <w:t xml:space="preserve">Ergebnis: </w:t>
      </w:r>
      <w:r>
        <w:t>Multidimensionale Schlafgesundheit signifikant assoziiert mit Gesamtmüdigkeit (B = −0,36; 95%-KI −0,50 bis −0,21; p&lt;0,001), körperliche Müdigkeit (B = −0,22; p&lt;0,001), mentale Müdigkeit (B = −0,13; p&lt;0,001). Altersmoderation signifikant (B = 0,02; p=0,017). Bessere Schlafgesundheit war mit niedrigeren Müdigkeitswerten assoziiert; älter Patienten zeigten schwächere Assoziationen.</w:t>
      </w:r>
    </w:p>
    <w:p>
      <w:r>
        <w:rPr>
          <w:b/>
          <w:sz w:val="19"/>
        </w:rPr>
        <w:t xml:space="preserve">Übertragbarkeit: </w:t>
      </w:r>
      <w:r>
        <w:rPr>
          <w:sz w:val="19"/>
        </w:rPr>
        <w:t>China-Daten; Schlaf-Müdigkeit-Assoziation dialysepflicht-spezifisch, international relevant für Patient:innen-zentierte Ergebnisse</w:t>
      </w:r>
    </w:p>
    <w:p>
      <w:r>
        <w:rPr>
          <w:color w:val="5A7D3A"/>
          <w:sz w:val="18"/>
        </w:rPr>
        <w:t>https://pubmed.ncbi.nlm.nih.gov/42667469/</w:t>
      </w:r>
    </w:p>
    <w:p>
      <w:pPr>
        <w:pStyle w:val="Heading2"/>
      </w:pPr>
      <w:r>
        <w:t>Pharmakogenetisches Tacrolimus-Dosierungsmanagement bei Nierenhochrisikopatienten im Spanienverfügbar (TRANSPGx-Studie)</w:t>
      </w:r>
    </w:p>
    <w:p>
      <w:r>
        <w:rPr>
          <w:i/>
          <w:color w:val="666666"/>
          <w:sz w:val="18"/>
        </w:rPr>
        <w:t>Seco-Meseguer E et al.  ·  BMJ Open  ·  03.08.2026  ·  PMID 42547238</w:t>
      </w:r>
    </w:p>
    <w:p>
      <w:r>
        <w:t>Multizentrisches, adaptives Phase-IV-Protokoll in Spanien prüft, ob präemptive Genotypisierung für Tacrolimus-Dosierung versus Standardversorgung bei Patienten mit chronischer Nierenerkrankung vor Nierentransplantation die Erreichung von Tacrolimus-Zielplasmakonzentrationen verbessert.</w:t>
      </w:r>
    </w:p>
    <w:p>
      <w:r>
        <w:rPr>
          <w:b/>
        </w:rPr>
        <w:t xml:space="preserve">Ergebnis: </w:t>
      </w:r>
      <w:r>
        <w:t>Laufendes RCT mit Zielgröße 114 Patienten; Primärer Endpunkt: Erreichen von Tacrolimus-Zielkonzentrationen nach Transplantation. Rekrutierung geplant über 12 Monate mit 6-monatiger Nachverfolgung. Studie ist ethisch genehmigt (La Paz 2024.740) und registriert (EU CT 2024-516596-32-00).</w:t>
      </w:r>
    </w:p>
    <w:p>
      <w:r>
        <w:rPr>
          <w:b/>
          <w:sz w:val="19"/>
        </w:rPr>
        <w:t xml:space="preserve">Übertragbarkeit: </w:t>
      </w:r>
      <w:r>
        <w:rPr>
          <w:sz w:val="19"/>
        </w:rPr>
        <w:t>Spanisches Gesundheitssystem, vergleichbar mit Deutschland in Koordination und sozialer Krankenversicherung</w:t>
      </w:r>
    </w:p>
    <w:p>
      <w:r>
        <w:rPr>
          <w:color w:val="5A7D3A"/>
          <w:sz w:val="18"/>
        </w:rPr>
        <w:t>https://pubmed.ncbi.nlm.nih.gov/42547238/</w:t>
      </w:r>
    </w:p>
    <w:p>
      <w:pPr>
        <w:pStyle w:val="Heading2"/>
      </w:pPr>
      <w:r>
        <w:t>ME/CFS zeigt geschlechtsspezifische Unterschiede in Immun- und Darmsymptomen, Menopause moduliert Immunantwort</w:t>
      </w:r>
    </w:p>
    <w:p>
      <w:r>
        <w:rPr>
          <w:i/>
          <w:color w:val="666666"/>
          <w:sz w:val="18"/>
        </w:rPr>
        <w:t>Habermann-Horstmeier L et al.  ·  J Transl Med  ·  27.07.2026  ·  PMID 42522006</w:t>
      </w:r>
    </w:p>
    <w:p>
      <w:r>
        <w:t>Querschnittsstudie mit 748 Erwachsenen (608 Frauen, 137 Männer) mit medizinischer ME/CFS-Diagnose untersuchte mittels Faktorenanalyse und Strukturgleichungsmodellierung die Latentstruktur von Immun- und Darmsymptomen nach Geschlecht und Menopausenstatus.</w:t>
      </w:r>
    </w:p>
    <w:p>
      <w:r>
        <w:rPr>
          <w:b/>
        </w:rPr>
        <w:t xml:space="preserve">Ergebnis: </w:t>
      </w:r>
      <w:r>
        <w:t>Frauen: Immun- und Darmsymptome bilden zwei distinkte aber korrelierte Cluster (tetrachorische ρ = 0,47–0,60), EFA unterstützt Zwei-Faktor-Lösung. Männer: Alle vier Symptome laden auf einen integrierten Gut/Immun-Faktor (ρ = 0,43–0,68; one-factor-Modell CFI = 0,981, RMSEA = 0,074). Frauen: Prämenopausale berichten häufiger Grippesymptome als postmenopausale (Unterschied signifikant); Darmsymptome und Lebensmittelintoleranzen bleiben stabil. Empfinden von Infektionsanfälligkeit dominantester Prädiktor.</w:t>
      </w:r>
    </w:p>
    <w:p>
      <w:r>
        <w:rPr>
          <w:b/>
          <w:sz w:val="19"/>
        </w:rPr>
        <w:t xml:space="preserve">Übertragbarkeit: </w:t>
      </w:r>
      <w:r>
        <w:rPr>
          <w:sz w:val="19"/>
        </w:rPr>
        <w:t>Deutsche und internationale Patient:innen; Geschlechtsabhängige Phänotypisierung relevant für ME/CFS-Management</w:t>
      </w:r>
    </w:p>
    <w:p>
      <w:r>
        <w:rPr>
          <w:color w:val="5A7D3A"/>
          <w:sz w:val="18"/>
        </w:rPr>
        <w:t>https://pubmed.ncbi.nlm.nih.gov/42522006/</w:t>
      </w:r>
    </w:p>
    <w:p>
      <w:pPr>
        <w:pStyle w:val="Heading1"/>
      </w:pPr>
      <w:r>
        <w:t>Aufgenommen am 31.08.2026</w:t>
      </w:r>
    </w:p>
    <w:p>
      <w:pPr>
        <w:pStyle w:val="Heading2"/>
      </w:pPr>
      <w:r>
        <w:t>Inhalationstechnik bei COPD: 96% der Patienten könnten DPIs nutzen</w:t>
      </w:r>
    </w:p>
    <w:p>
      <w:r>
        <w:rPr>
          <w:i/>
          <w:color w:val="666666"/>
          <w:sz w:val="18"/>
        </w:rPr>
        <w:t>Bravo Quiroga L et al.  ·  Int J Chron Obstruct Pulmon Dis  ·  25.08.2026  ·  PMID 42668822</w:t>
      </w:r>
    </w:p>
    <w:p>
      <w:r>
        <w:t>Querschnittstudie an 273 stabilen COPD-Patienten mit pMDI+Spacer in 70 spanischen Zentren zur Messung der Inspirationskraft und Eignung für Pulvertrockner.</w:t>
      </w:r>
    </w:p>
    <w:p>
      <w:r>
        <w:rPr>
          <w:b/>
        </w:rPr>
        <w:t xml:space="preserve">Ergebnis: </w:t>
      </w:r>
      <w:r>
        <w:t>96% erreichten PIF ≥30 L/min bei mittlerer-hoher Resistance, 61,9% ≥60 L/min. Unvollständige Exhalation hatte nur begrenzte Auswirkungen. Spacer-Verschreibung erfolgte selten auf Basis objektiver PIF-Messung.</w:t>
      </w:r>
    </w:p>
    <w:p>
      <w:r>
        <w:rPr>
          <w:b/>
          <w:sz w:val="19"/>
        </w:rPr>
        <w:t xml:space="preserve">Übertragbarkeit: </w:t>
      </w:r>
      <w:r>
        <w:rPr>
          <w:sz w:val="19"/>
        </w:rPr>
        <w:t>Spanien, vergleichbares Gesundheitssystem, direkt anwendbar für deutsche COPD-Versorgung.</w:t>
      </w:r>
    </w:p>
    <w:p>
      <w:r>
        <w:rPr>
          <w:color w:val="5A7D3A"/>
          <w:sz w:val="18"/>
        </w:rPr>
        <w:t>https://pubmed.ncbi.nlm.nih.gov/42668822/</w:t>
      </w:r>
    </w:p>
    <w:p>
      <w:pPr>
        <w:pStyle w:val="Heading2"/>
      </w:pPr>
      <w:r>
        <w:t>Soziales Kapital und Selbstwirksamkeit verbessern Lebensqualität älterer chronisch Kranker</w:t>
      </w:r>
    </w:p>
    <w:p>
      <w:r>
        <w:rPr>
          <w:i/>
          <w:color w:val="666666"/>
          <w:sz w:val="18"/>
        </w:rPr>
        <w:t>Wang Y et al.  ·  Front Public Health  ·  21.08.2026  ·  PMID 42666637</w:t>
      </w:r>
    </w:p>
    <w:p>
      <w:r>
        <w:t>Latente Profilanalyse an 425 ländlichen älteren Erwachsenen mit chronischen Erkrankungen (Ningxia, China) zu Effekt von Sozialkapital auf Lebensqualität via Selbstwirksamkeit.</w:t>
      </w:r>
    </w:p>
    <w:p>
      <w:r>
        <w:rPr>
          <w:b/>
        </w:rPr>
        <w:t xml:space="preserve">Ergebnis: </w:t>
      </w:r>
      <w:r>
        <w:t>Drei Profile: niedrig (29,9%), moderat (49,4%), hoch (20,7%). Lebensqualität und Selbstwirksamkeit unterschieden sich signifikant (p&lt;0,001). Indirekter Effekt via Selbstwirksamkeit nur im hohen Profil signifikant (21,2% des Gesamteffekts), nicht im moderaten.</w:t>
      </w:r>
    </w:p>
    <w:p>
      <w:r>
        <w:rPr>
          <w:b/>
          <w:sz w:val="19"/>
        </w:rPr>
        <w:t xml:space="preserve">Übertragbarkeit: </w:t>
      </w:r>
      <w:r>
        <w:rPr>
          <w:sz w:val="19"/>
        </w:rPr>
        <w:t>China, aber Mehrfacherkrankung und psycho-soziale Mechanismen generalisierbar auf deutsche vulnerable Populationen.</w:t>
      </w:r>
    </w:p>
    <w:p>
      <w:r>
        <w:rPr>
          <w:color w:val="5A7D3A"/>
          <w:sz w:val="18"/>
        </w:rPr>
        <w:t>https://pubmed.ncbi.nlm.nih.gov/42666637/</w:t>
      </w:r>
    </w:p>
    <w:p>
      <w:pPr>
        <w:pStyle w:val="Heading2"/>
      </w:pPr>
      <w:r>
        <w:t>Kombinierte Inflammations- und Adipositäts-Indizes zeigen erhöhtes Multimorbidität-Risiko</w:t>
      </w:r>
    </w:p>
    <w:p>
      <w:r>
        <w:rPr>
          <w:i/>
          <w:color w:val="666666"/>
          <w:sz w:val="18"/>
        </w:rPr>
        <w:t>Chen J et al.  ·  Cardiovasc Diabetol  ·  26.08.2026  ·  PMID 42665793</w:t>
      </w:r>
    </w:p>
    <w:p>
      <w:r>
        <w:t>Prospektive Kohorte (n=6534, China Health and Retirement Longitudinal Study) zu Assoziation von CTI-Adipositäts-Indizes mit kardiovaskulär-hepatischen-metabolischen Multimorbidität über 4 Jahre.</w:t>
      </w:r>
    </w:p>
    <w:p>
      <w:r>
        <w:rPr>
          <w:b/>
        </w:rPr>
        <w:t xml:space="preserve">Ergebnis: </w:t>
      </w:r>
      <w:r>
        <w:t>CTI-BMI zeigte stärkste Assoziation (OR 3,46 in Quartil 4, p&lt;0,001), aber nur modest Diskriminationsfähigkeit (AUC 0,638). Effekt modifiziert durch Geschlecht und Raucherstatus, keine signifikante Interaktion zwischen CTI und BMI.</w:t>
      </w:r>
    </w:p>
    <w:p>
      <w:r>
        <w:rPr>
          <w:b/>
          <w:sz w:val="19"/>
        </w:rPr>
        <w:t xml:space="preserve">Übertragbarkeit: </w:t>
      </w:r>
      <w:r>
        <w:rPr>
          <w:sz w:val="19"/>
        </w:rPr>
        <w:t>China, aber Multimorbidität-Fokus und Methodologie relevant für deutsches Versorgungssetting mit mehreren Erkrankungen.</w:t>
      </w:r>
    </w:p>
    <w:p>
      <w:r>
        <w:rPr>
          <w:color w:val="5A7D3A"/>
          <w:sz w:val="18"/>
        </w:rPr>
        <w:t>https://pubmed.ncbi.nlm.nih.gov/42665793/</w:t>
      </w:r>
    </w:p>
    <w:p>
      <w:pPr>
        <w:pStyle w:val="Heading2"/>
      </w:pPr>
      <w:r>
        <w:t>CKD-assoziierter Pruritus bei 60,3% der Dialysepatienten, wenig Behandlung</w:t>
      </w:r>
    </w:p>
    <w:p>
      <w:r>
        <w:rPr>
          <w:i/>
          <w:color w:val="666666"/>
          <w:sz w:val="18"/>
        </w:rPr>
        <w:t>Yao X et al.  ·  Ren Fail  ·  27.08.2026  ·  PMID 42661327</w:t>
      </w:r>
    </w:p>
    <w:p>
      <w:r>
        <w:t>Multizentrisches Cross-sectional-Screening an 9.589 chinesischen Dialysepatienten (Mai–Dezember 2022) zur Prävalenz und Risikofaktoren von CKD-Pruritus.</w:t>
      </w:r>
    </w:p>
    <w:p>
      <w:r>
        <w:rPr>
          <w:b/>
        </w:rPr>
        <w:t xml:space="preserve">Ergebnis: </w:t>
      </w:r>
      <w:r>
        <w:t>Pruritus-Prävalenz 60,3% (mild 44,4%, moderat 12,5%, schwer 3,3%), HD vs. PD ähnlich (59,9% vs. 61,8%). Nur 2,9% erhielten potenziell wirksame Therapie (Gabapentinoide 2,8%). Assoziierte Faktoren: Rauchen, diabetische Nephropathie, kardiovaskuläre Erkrankung, Dialysedauer, Eosinophile, Kalzium, Phosphor.</w:t>
      </w:r>
    </w:p>
    <w:p>
      <w:r>
        <w:rPr>
          <w:b/>
          <w:sz w:val="19"/>
        </w:rPr>
        <w:t xml:space="preserve">Übertragbarkeit: </w:t>
      </w:r>
      <w:r>
        <w:rPr>
          <w:sz w:val="19"/>
        </w:rPr>
        <w:t>China, aber großes Problem auch in Deutschland; Versorgungsqualität und Symptommanagement messbar.</w:t>
      </w:r>
    </w:p>
    <w:p>
      <w:r>
        <w:rPr>
          <w:color w:val="5A7D3A"/>
          <w:sz w:val="18"/>
        </w:rPr>
        <w:t>https://pubmed.ncbi.nlm.nih.gov/42661327/</w:t>
      </w:r>
    </w:p>
    <w:p>
      <w:pPr>
        <w:pStyle w:val="Heading2"/>
      </w:pPr>
      <w:r>
        <w:t>Rauchen vor Alter 24 verdoppelt COPD-Risiko und Multimorbidität</w:t>
      </w:r>
    </w:p>
    <w:p>
      <w:r>
        <w:rPr>
          <w:i/>
          <w:color w:val="666666"/>
          <w:sz w:val="18"/>
        </w:rPr>
        <w:t>Liu Z et al.  ·  J Glob Health  ·  28.08.2026  ·  PMID 42659031</w:t>
      </w:r>
    </w:p>
    <w:p>
      <w:r>
        <w:t>Analyse von 15.077 US-Teilnehmern und zwei UK Biobank-Kohorten (n=258.380) zu Effekt des Rauchbeginns während Alveolus-Reifung (≤24 Jahre) auf Cardiopulmonal-Erkrankung.</w:t>
      </w:r>
    </w:p>
    <w:p>
      <w:r>
        <w:rPr>
          <w:b/>
        </w:rPr>
        <w:t xml:space="preserve">Ergebnis: </w:t>
      </w:r>
      <w:r>
        <w:t>Frühe Raucher mit hohem Konsum: COPD HR 3,45 (95% KI 3,29–3,62) vs. spät Raucher 2,33 (1,91–2,83, p&lt;0,001). Multimorbidität-freie Wahrscheinlichkeit 0,55 vs. 0,65. Rauchentwöhnung zeigte stärkere relative Risikoreduktion bei frühen Rauchern.</w:t>
      </w:r>
    </w:p>
    <w:p>
      <w:r>
        <w:rPr>
          <w:b/>
          <w:sz w:val="19"/>
        </w:rPr>
        <w:t xml:space="preserve">Übertragbarkeit: </w:t>
      </w:r>
      <w:r>
        <w:rPr>
          <w:sz w:val="19"/>
        </w:rPr>
        <w:t>USA und UK, Präventions-fokussiert; Altersabhängigkeit relevant für deutsches Screening und Aufklärung.</w:t>
      </w:r>
    </w:p>
    <w:p>
      <w:r>
        <w:rPr>
          <w:color w:val="5A7D3A"/>
          <w:sz w:val="18"/>
        </w:rPr>
        <w:t>https://pubmed.ncbi.nlm.nih.gov/42659031/</w:t>
      </w:r>
    </w:p>
    <w:p>
      <w:pPr>
        <w:pStyle w:val="Heading2"/>
      </w:pPr>
      <w:r>
        <w:t>Neue Risikogene für Emphysem in Rauchern identifiziert</w:t>
      </w:r>
    </w:p>
    <w:p>
      <w:r>
        <w:rPr>
          <w:i/>
          <w:color w:val="666666"/>
          <w:sz w:val="18"/>
        </w:rPr>
        <w:t>Nyberg F et al.  ·  Respir Res  ·  08.08.2026  ·  PMID 42634071</w:t>
      </w:r>
    </w:p>
    <w:p>
      <w:r>
        <w:t>Genomweite Assoziationsstudie an 25.639 schwedischen Erwachsenen zur Identifikation genetischer Faktoren für Emphysem.</w:t>
      </w:r>
    </w:p>
    <w:p>
      <w:r>
        <w:rPr>
          <w:b/>
        </w:rPr>
        <w:t xml:space="preserve">Ergebnis: </w:t>
      </w:r>
      <w:r>
        <w:t>Bei Rauchern wurden drei unabhängige genetische Loci identifiziert (CHRNA5-A3-B4, DYSF, Chromosom 3), bei Nichtrauchern trotz großer Stichprobe keine Signale (niedriges Emphysemprävalenz 2,0% vs. 18,2% bei aktiven Rauchern).</w:t>
      </w:r>
    </w:p>
    <w:p>
      <w:r>
        <w:rPr>
          <w:b/>
          <w:sz w:val="19"/>
        </w:rPr>
        <w:t xml:space="preserve">Übertragbarkeit: </w:t>
      </w:r>
      <w:r>
        <w:rPr>
          <w:sz w:val="19"/>
        </w:rPr>
        <w:t>Schweden, populationsbasierte Studie, vergleichbar mit deutschem Versorgungskontext für Risikoidentifikation.</w:t>
      </w:r>
    </w:p>
    <w:p>
      <w:r>
        <w:rPr>
          <w:color w:val="5A7D3A"/>
          <w:sz w:val="18"/>
        </w:rPr>
        <w:t>https://pubmed.ncbi.nlm.nih.gov/42634071/</w:t>
      </w:r>
    </w:p>
    <w:p>
      <w:pPr>
        <w:pStyle w:val="Heading1"/>
      </w:pPr>
      <w:r>
        <w:t>Aufgenommen am 30.08.2026</w:t>
      </w:r>
    </w:p>
    <w:p>
      <w:pPr>
        <w:pStyle w:val="Heading2"/>
      </w:pPr>
      <w:r>
        <w:t>Eosinophil-gesteuerte COPD-Therapie: Guideline-Adherence fehlt bei 86% der Patienten</w:t>
      </w:r>
    </w:p>
    <w:p>
      <w:r>
        <w:rPr>
          <w:i/>
          <w:color w:val="666666"/>
          <w:sz w:val="18"/>
        </w:rPr>
        <w:t>Hester J et al.  ·  Lung  ·  29.08.2026  ·  PMID 42667442</w:t>
      </w:r>
    </w:p>
    <w:p>
      <w:r>
        <w:t>Retrospektive Kohortenstudie mit 688 COPD-Patienten in Cleveland-Kliniken evaluierte die Einhaltung GOLD-basierter Eosinophil-Kriterien für Inhalative Steroide (ICS) und klinische Ergebnisse.</w:t>
      </w:r>
    </w:p>
    <w:p>
      <w:r>
        <w:rPr>
          <w:b/>
        </w:rPr>
        <w:t xml:space="preserve">Ergebnis: </w:t>
      </w:r>
      <w:r>
        <w:t>589 von 688 Patienten (86%) erhielten ICS außerhalb von GOLD-Empfehlungen. Baseline-Eosinophil-Testing wurde nur in 15% durchgeführt. Pneumonie-Inzidenz war identisch (15% vs. 16%, p=0,686); ICS-Deeskalation erfolgte selten (7%) und gleichmäßig in beiden Gruppen. Exazerbation-Anamnese assoziiert mit guideline-konformer Verordnung.</w:t>
      </w:r>
    </w:p>
    <w:p>
      <w:r>
        <w:rPr>
          <w:b/>
          <w:sz w:val="19"/>
        </w:rPr>
        <w:t xml:space="preserve">Übertragbarkeit: </w:t>
      </w:r>
      <w:r>
        <w:rPr>
          <w:sz w:val="19"/>
        </w:rPr>
        <w:t>USA-basiert; Befund zur Guideline-Adherence ist übertragbar unabhängig vom Finanzierungssystem</w:t>
      </w:r>
    </w:p>
    <w:p>
      <w:r>
        <w:rPr>
          <w:color w:val="5A7D3A"/>
          <w:sz w:val="18"/>
        </w:rPr>
        <w:t>https://pubmed.ncbi.nlm.nih.gov/42667442/</w:t>
      </w:r>
    </w:p>
    <w:p>
      <w:pPr>
        <w:pStyle w:val="Heading2"/>
      </w:pPr>
      <w:r>
        <w:t>Triple-Therapie bei COPD: minimale Lebensqualitäts-Verbesserung, erhöhtes Pneumonie-Risiko</w:t>
      </w:r>
    </w:p>
    <w:p>
      <w:r>
        <w:rPr>
          <w:i/>
          <w:color w:val="666666"/>
          <w:sz w:val="18"/>
        </w:rPr>
        <w:t>Jiang J et al.  ·  Int J Chron Obstruct Pulmon Dis  ·  24.08.2026  ·  PMID 42666989</w:t>
      </w:r>
    </w:p>
    <w:p>
      <w:r>
        <w:t>Bayesian Network Meta-Analyse von 14 randomisierten Studien zu inhalativen Erhaltungstherapien und Auswirkungen auf St. George's Respiratory Questionnaire (SGRQ)-Scores bei stabiler COPD.</w:t>
      </w:r>
    </w:p>
    <w:p>
      <w:r>
        <w:rPr>
          <w:b/>
        </w:rPr>
        <w:t xml:space="preserve">Ergebnis: </w:t>
      </w:r>
      <w:r>
        <w:t>Triple-Therapie zeigte größte SGRQ-Verbesserung vs. Placebo (MD -3,99; 95% CrI -5,86 bis -2,16). Verglichen mit LABA+LAMA war triple Therapie marginal besser (MD -1,42; CrI -2,62 bis -0,16), unter minimaler klinisch bedeutsamer Differenz. Pneumonie-Risiko erhöht (OR 1,50; 95% CI 1,16-1,93). Andere aktive Regime unterschieden sich gering voneinander.</w:t>
      </w:r>
    </w:p>
    <w:p>
      <w:r>
        <w:rPr>
          <w:b/>
          <w:sz w:val="19"/>
        </w:rPr>
        <w:t xml:space="preserve">Übertragbarkeit: </w:t>
      </w:r>
      <w:r>
        <w:rPr>
          <w:sz w:val="19"/>
        </w:rPr>
        <w:t>Internationale RCT-Daten, Ergebnisse gelten für COPD-Management in Deutschland unabhängig vom System</w:t>
      </w:r>
    </w:p>
    <w:p>
      <w:r>
        <w:rPr>
          <w:color w:val="5A7D3A"/>
          <w:sz w:val="18"/>
        </w:rPr>
        <w:t>https://pubmed.ncbi.nlm.nih.gov/42666989/</w:t>
      </w:r>
    </w:p>
    <w:p>
      <w:pPr>
        <w:pStyle w:val="Heading2"/>
      </w:pPr>
      <w:r>
        <w:t>Geschlechts-Disparitäten in der Nierenkranken-Versorgung: Frauen unterdiagnostiziert und unterbehandelt</w:t>
      </w:r>
    </w:p>
    <w:p>
      <w:r>
        <w:rPr>
          <w:i/>
          <w:color w:val="666666"/>
          <w:sz w:val="18"/>
        </w:rPr>
        <w:t>Vidanapathirana M et al.  ·  BMC Nephrol  ·  19.08.2026  ·  PMID 42665802</w:t>
      </w:r>
    </w:p>
    <w:p>
      <w:r>
        <w:t>Systematische Übersichtsarbeit von 35 Studien (2000-Juli 2026) zu geschlechtsspezifischen Ungleichheiten im Versorgungszugang entlang der gesamten CKD-Betreuungskontinuum.</w:t>
      </w:r>
    </w:p>
    <w:p>
      <w:r>
        <w:rPr>
          <w:b/>
        </w:rPr>
        <w:t xml:space="preserve">Ergebnis: </w:t>
      </w:r>
      <w:r>
        <w:t>Frauen hatten niedrigere Chancen für CKD-Diagnose und Nephologie-Überweisung, weniger häufige Nierenfunktions-Kontrollen und niedrigere Verschreibungsraten guideline-empfohlener Medikamente. Unter Dialysepatienten: Frauen 38-41% Anteil mit späterem eGFR-Start (8,1-10,1 vs. 10,6 mL/min/1,73m²). Weniger Hämodialyse mit arteriovenöser Fistel; weniger Transplantationsreferral/-Evaluation/-Wartelisting. Systemische und sozioökonomische Mechanismen identifiziert.</w:t>
      </w:r>
    </w:p>
    <w:p>
      <w:r>
        <w:rPr>
          <w:b/>
          <w:sz w:val="19"/>
        </w:rPr>
        <w:t xml:space="preserve">Übertragbarkeit: </w:t>
      </w:r>
      <w:r>
        <w:rPr>
          <w:sz w:val="19"/>
        </w:rPr>
        <w:t>Globale Evidenz; Muster geschlechtsbasierter Ungleichheit ist kontextübergreifend relevant</w:t>
      </w:r>
    </w:p>
    <w:p>
      <w:r>
        <w:rPr>
          <w:color w:val="5A7D3A"/>
          <w:sz w:val="18"/>
        </w:rPr>
        <w:t>https://pubmed.ncbi.nlm.nih.gov/42665802/</w:t>
      </w:r>
    </w:p>
    <w:p>
      <w:pPr>
        <w:pStyle w:val="Heading2"/>
      </w:pPr>
      <w:r>
        <w:t>Hemodiafiltration versus Hemodialysis: Mortalität und Hospitalisierungsrisiko</w:t>
      </w:r>
    </w:p>
    <w:p>
      <w:r>
        <w:rPr>
          <w:i/>
          <w:color w:val="666666"/>
          <w:sz w:val="18"/>
        </w:rPr>
        <w:t>Roos S et al.  ·  BMC Nephrol  ·  28.08.2026  ·  PMID 42665796</w:t>
      </w:r>
    </w:p>
    <w:p>
      <w:r>
        <w:t>Zielgerichtete Studienprotokolle analysieren Routinedaten von über 1000 Dialysepatienten in Europa, um Unterschiede in Mortalität und Krankenhausaufenthalten zwischen Hemodiafiltration und konventionellem Hemodialysis zu untersuchen.</w:t>
      </w:r>
    </w:p>
    <w:p>
      <w:r>
        <w:rPr>
          <w:b/>
        </w:rPr>
        <w:t xml:space="preserve">Ergebnis: </w:t>
      </w:r>
      <w:r>
        <w:t>Geplante Erhebung mit Fokus auf Gesamtsterblichkeit und ursachenspezifische Hospitalisierungen; Hochvolumen-Hemodiafiltration (≥23 L Konvektionsvolumen) wird analysiert als primärer Vergleich. Randomisierte Studien zeigten bereits Mortalitätsvorteil; diese Realweltdaten sollen Generalisierbarkeit klären.</w:t>
      </w:r>
    </w:p>
    <w:p>
      <w:r>
        <w:rPr>
          <w:b/>
          <w:sz w:val="19"/>
        </w:rPr>
        <w:t xml:space="preserve">Übertragbarkeit: </w:t>
      </w:r>
      <w:r>
        <w:rPr>
          <w:sz w:val="19"/>
        </w:rPr>
        <w:t>Europäische Kohorte, deutsche Zentren beteiligt, vergleichbar mit deutschem Versorgungssystem</w:t>
      </w:r>
    </w:p>
    <w:p>
      <w:r>
        <w:rPr>
          <w:color w:val="5A7D3A"/>
          <w:sz w:val="18"/>
        </w:rPr>
        <w:t>https://pubmed.ncbi.nlm.nih.gov/42665796/</w:t>
      </w:r>
    </w:p>
    <w:p>
      <w:pPr>
        <w:pStyle w:val="Heading2"/>
      </w:pPr>
      <w:r>
        <w:t>Cardiometabolic Profile bei Diabetes und BMI: Adipositas erhöht Herzinsuffizienz und CKD-Risiko</w:t>
      </w:r>
    </w:p>
    <w:p>
      <w:r>
        <w:rPr>
          <w:i/>
          <w:color w:val="666666"/>
          <w:sz w:val="18"/>
        </w:rPr>
        <w:t>Ponzani P et al.  ·  Diabetes Res Clin Pract  ·  29.07.2026  ·  PMID 42526840</w:t>
      </w:r>
    </w:p>
    <w:p>
      <w:r>
        <w:t>Querschnittsanalyse von über 500.000 Patienten mit Typ-2-Diabetes aus 296 italienischen Diabeteszentren untersuchte Cardiometabolische Profile und Komplikationen über BMI-Kategorien.</w:t>
      </w:r>
    </w:p>
    <w:p>
      <w:r>
        <w:rPr>
          <w:b/>
        </w:rPr>
        <w:t xml:space="preserve">Ergebnis: </w:t>
      </w:r>
      <w:r>
        <w:t>Herzinsuffizienz-Prävalenzrate: PR 1,41 (p&lt;0,001) bei Adipositas vs. Normalgewicht; CKD: PR 1,13 (p&lt;0,001). Trotz ähnlicher HbA1c-Werte verschlechterten sich Risikofaktoren progressiv mit BMI. Adipöse Patienten waren jünger, mit kürzerer Diabetesdauer und niedrigeren Atherosklerose-Raten.</w:t>
      </w:r>
    </w:p>
    <w:p>
      <w:r>
        <w:rPr>
          <w:b/>
          <w:sz w:val="19"/>
        </w:rPr>
        <w:t xml:space="preserve">Übertragbarkeit: </w:t>
      </w:r>
      <w:r>
        <w:rPr>
          <w:sz w:val="19"/>
        </w:rPr>
        <w:t>Italienische Routinedaten vergleichbar mit deutschem ambulanten Diabetesmanagement in der Primärversorgung</w:t>
      </w:r>
    </w:p>
    <w:p>
      <w:r>
        <w:rPr>
          <w:color w:val="5A7D3A"/>
          <w:sz w:val="18"/>
        </w:rPr>
        <w:t>https://pubmed.ncbi.nlm.nih.gov/42526840/</w:t>
      </w:r>
    </w:p>
    <w:p>
      <w:pPr>
        <w:pStyle w:val="Heading2"/>
      </w:pPr>
      <w:r>
        <w:t>Inhalative Steroide bei COPD senken Lungenkrebsrisiko um 23-39% trotz Immortal-Time-Bias</w:t>
      </w:r>
    </w:p>
    <w:p>
      <w:r>
        <w:rPr>
          <w:i/>
          <w:color w:val="666666"/>
          <w:sz w:val="18"/>
        </w:rPr>
        <w:t>Santa B et al.  ·  Int J Chron Obstruct Pulmon Dis  ·  14.07.2026  ·  PMID 42518632</w:t>
      </w:r>
    </w:p>
    <w:p>
      <w:r>
        <w:t>Retrospektive Analyse von 96.686 bis 196.560 COPD-Patienten aus der ungarischen Nationalen Krankenversicherungsdatenbank (2009-2019) reproduzierte widersprechende frühere Studien zu ICS und Lungenkrebsinzidenz.</w:t>
      </w:r>
    </w:p>
    <w:p>
      <w:r>
        <w:rPr>
          <w:b/>
        </w:rPr>
        <w:t xml:space="preserve">Ergebnis: </w:t>
      </w:r>
      <w:r>
        <w:t>ICS-Nutzer &gt;1 Jahr: 26,2-60,8% der Population. Lungenkrebsfälle: 4.941-8.969 Fälle. Adjustierte Cox-Modelle zeigten konsistent protective effect: HR 0,77 (0,63-0,94) bzw. 0,61 (0,53-0,70). Trend trotz beider methodologischer Ansätze konsistent. Limitation: Rauchen nicht im Datensatz enthalten; höherer Asthma-Code-Anteil in ICS-Gruppe Cohort 2.</w:t>
      </w:r>
    </w:p>
    <w:p>
      <w:r>
        <w:rPr>
          <w:b/>
          <w:sz w:val="19"/>
        </w:rPr>
        <w:t xml:space="preserve">Übertragbarkeit: </w:t>
      </w:r>
      <w:r>
        <w:rPr>
          <w:sz w:val="19"/>
        </w:rPr>
        <w:t>Ungarische Routinedaten mit vergleichbarem Sozialversicherungssystem wie Deutschland</w:t>
      </w:r>
    </w:p>
    <w:p>
      <w:r>
        <w:rPr>
          <w:color w:val="5A7D3A"/>
          <w:sz w:val="18"/>
        </w:rPr>
        <w:t>https://pubmed.ncbi.nlm.nih.gov/42518632/</w:t>
      </w:r>
    </w:p>
    <w:p>
      <w:pPr>
        <w:pStyle w:val="Heading1"/>
      </w:pPr>
      <w:r>
        <w:t>Aufgenommen am 29.08.2026</w:t>
      </w:r>
    </w:p>
    <w:p>
      <w:pPr>
        <w:pStyle w:val="Heading2"/>
      </w:pPr>
      <w:r>
        <w:t>Rassen-freie Nierenfunktionsformel ändert Risikostratifizierung nicht</w:t>
      </w:r>
    </w:p>
    <w:p>
      <w:r>
        <w:rPr>
          <w:i/>
          <w:color w:val="666666"/>
          <w:sz w:val="18"/>
        </w:rPr>
        <w:t>Huisman BJMV et al.  ·  Glob Heart  ·  21.08.2026  ·  PMID 42631246</w:t>
      </w:r>
    </w:p>
    <w:p>
      <w:r>
        <w:t>HELIUS-Studie mit 21.617 Erwachsenen aus Amsterdam vergleicht alte (2009) und neue rassen-freie (2021) CKD-EPI-Formeln zur Nierenfunktion und kardiovaskulärem Risiko.</w:t>
      </w:r>
    </w:p>
    <w:p>
      <w:r>
        <w:rPr>
          <w:b/>
        </w:rPr>
        <w:t xml:space="preserve">Ergebnis: </w:t>
      </w:r>
      <w:r>
        <w:t>Die neue Formel zeigte bei Afrikanern leicht niedrigere eGFR-Werte, aber CKD-Klassifikation (κ=0,94-0,99) und kardiovaskuläre Risikostratifizierung waren nahezu identisch; Befund bestätigt klinische Austauschbarkeit.</w:t>
      </w:r>
    </w:p>
    <w:p>
      <w:r>
        <w:rPr>
          <w:b/>
          <w:sz w:val="19"/>
        </w:rPr>
        <w:t xml:space="preserve">Übertragbarkeit: </w:t>
      </w:r>
      <w:r>
        <w:rPr>
          <w:sz w:val="19"/>
        </w:rPr>
        <w:t>Niederlande, vergleichbares europäisches Sozialversicherungssystem</w:t>
      </w:r>
    </w:p>
    <w:p>
      <w:r>
        <w:rPr>
          <w:color w:val="5A7D3A"/>
          <w:sz w:val="18"/>
        </w:rPr>
        <w:t>https://pubmed.ncbi.nlm.nih.gov/42631246/</w:t>
      </w:r>
    </w:p>
    <w:p>
      <w:pPr>
        <w:pStyle w:val="Heading2"/>
      </w:pPr>
      <w:r>
        <w:t>Chronisches Pruritus bei Dialysepatienten: Häufigkeit und Belastung deutlich unterschätzt</w:t>
      </w:r>
    </w:p>
    <w:p>
      <w:r>
        <w:rPr>
          <w:i/>
          <w:color w:val="666666"/>
          <w:sz w:val="18"/>
        </w:rPr>
        <w:t>Downey C et al.  ·  J Ren Care  ·  Sept. 2026  ·  PMID 42554232</w:t>
      </w:r>
    </w:p>
    <w:p>
      <w:r>
        <w:t>Nationale Umfrage an 689 irischen Dialysepatienten zur Häufigkeit, Schweregrad und Erlebnis von dialyse-assoziiertem Juckreiz.</w:t>
      </w:r>
    </w:p>
    <w:p>
      <w:r>
        <w:rPr>
          <w:b/>
        </w:rPr>
        <w:t xml:space="preserve">Ergebnis: </w:t>
      </w:r>
      <w:r>
        <w:t>62% erlebten Pruritus, 66% davon moderat-schwer; Kopf/Gesicht am stärksten assoziiert mit Schweregrad (OR 2,08). Psychische Belastung erheblich: Schlafstörungen, Infektionsrisiko. Nur wenig Behandlung.</w:t>
      </w:r>
    </w:p>
    <w:p>
      <w:r>
        <w:rPr>
          <w:b/>
          <w:sz w:val="19"/>
        </w:rPr>
        <w:t xml:space="preserve">Übertragbarkeit: </w:t>
      </w:r>
      <w:r>
        <w:rPr>
          <w:sz w:val="19"/>
        </w:rPr>
        <w:t>Irland, NHS-Dialysezentren, europäische Strukturen</w:t>
      </w:r>
    </w:p>
    <w:p>
      <w:r>
        <w:rPr>
          <w:color w:val="5A7D3A"/>
          <w:sz w:val="18"/>
        </w:rPr>
        <w:t>https://pubmed.ncbi.nlm.nih.gov/42554232/</w:t>
      </w:r>
    </w:p>
    <w:p>
      <w:pPr>
        <w:pStyle w:val="Heading2"/>
      </w:pPr>
      <w:r>
        <w:t>Aminosäure-Dialysatlösungen verbessern Ernährungsstatus bei Peritonealdialyse</w:t>
      </w:r>
    </w:p>
    <w:p>
      <w:r>
        <w:rPr>
          <w:i/>
          <w:color w:val="666666"/>
          <w:sz w:val="18"/>
        </w:rPr>
        <w:t>Lindholm B et al.  ·  BMC Nephrol  ·  30.07.2026  ·  PMID 42538540</w:t>
      </w:r>
    </w:p>
    <w:p>
      <w:r>
        <w:t>Systematischer Review zu klinischen Studien mit 1,1%-Aminosäure-basierten Peritonealdialysatlösungen statt Glucose zur Reduktion der Glukoseexposition.</w:t>
      </w:r>
    </w:p>
    <w:p>
      <w:r>
        <w:rPr>
          <w:b/>
        </w:rPr>
        <w:t xml:space="preserve">Ergebnis: </w:t>
      </w:r>
      <w:r>
        <w:t>Aminosäure-Lösungen verbessern Serumalbumin und Stickstoffbilanz bei tolerabler Verträglichkeit; reduzieren Glukosebelastung. Langzeitdaten zu Technik-Überleben und Mortalität fehlen noch, aber Evidenz unterstützt gezielten Einsatz bei mangelernährten Hochrisikopatienten.</w:t>
      </w:r>
    </w:p>
    <w:p>
      <w:r>
        <w:rPr>
          <w:b/>
          <w:sz w:val="19"/>
        </w:rPr>
        <w:t xml:space="preserve">Übertragbarkeit: </w:t>
      </w:r>
      <w:r>
        <w:rPr>
          <w:sz w:val="19"/>
        </w:rPr>
        <w:t>Schweden, Europa, Peritonealdialyse-Standard</w:t>
      </w:r>
    </w:p>
    <w:p>
      <w:r>
        <w:rPr>
          <w:color w:val="5A7D3A"/>
          <w:sz w:val="18"/>
        </w:rPr>
        <w:t>https://pubmed.ncbi.nlm.nih.gov/42538540/</w:t>
      </w:r>
    </w:p>
    <w:p>
      <w:pPr>
        <w:pStyle w:val="Heading2"/>
      </w:pPr>
      <w:r>
        <w:t>Long COVID erhöht Risiko für neue chronische Erkrankungen deutlich</w:t>
      </w:r>
    </w:p>
    <w:p>
      <w:r>
        <w:rPr>
          <w:i/>
          <w:color w:val="666666"/>
          <w:sz w:val="18"/>
        </w:rPr>
        <w:t>Sõnajalg H et al.  ·  Front Public Health  ·  16.07.2026  ·  PMID 42534966</w:t>
      </w:r>
    </w:p>
    <w:p>
      <w:r>
        <w:t>Bevölkerungsbasierte estnische Kohorte (N=2.639 Long-COVID-Patienten, 199.171 Kontrollen) zur Assoziation zwischen Long COVID und Neuauftreten chronischer Erkrankungen.</w:t>
      </w:r>
    </w:p>
    <w:p>
      <w:r>
        <w:rPr>
          <w:b/>
        </w:rPr>
        <w:t xml:space="preserve">Ergebnis: </w:t>
      </w:r>
      <w:r>
        <w:t>Long COVID assoziiert mit erhöhtem Risiko für Asthma (OR 5,12), COPD (OR 4,08), Schlafapnoe (OR 3,05). Type-2-Diabetes-Inzidenz stieg nach März 2020 über erwartete Trends (p=1,84×10-80).</w:t>
      </w:r>
    </w:p>
    <w:p>
      <w:r>
        <w:rPr>
          <w:b/>
          <w:sz w:val="19"/>
        </w:rPr>
        <w:t xml:space="preserve">Übertragbarkeit: </w:t>
      </w:r>
      <w:r>
        <w:rPr>
          <w:sz w:val="19"/>
        </w:rPr>
        <w:t>Estland, nationale Gesundheitsdaten, europäisches System</w:t>
      </w:r>
    </w:p>
    <w:p>
      <w:r>
        <w:rPr>
          <w:color w:val="5A7D3A"/>
          <w:sz w:val="18"/>
        </w:rPr>
        <w:t>https://pubmed.ncbi.nlm.nih.gov/42534966/</w:t>
      </w:r>
    </w:p>
    <w:p>
      <w:pPr>
        <w:pStyle w:val="Heading2"/>
      </w:pPr>
      <w:r>
        <w:t>Endostatin zeigt Anämierisiko bei älteren Nierenpatienten an</w:t>
      </w:r>
    </w:p>
    <w:p>
      <w:r>
        <w:rPr>
          <w:i/>
          <w:color w:val="666666"/>
          <w:sz w:val="18"/>
        </w:rPr>
        <w:t>Corsonello A et al.  ·  J Transl Med  ·  24.07.2026  ·  PMID 42533353</w:t>
      </w:r>
    </w:p>
    <w:p>
      <w:r>
        <w:t>SCOPE-Studie (2.008 Erwachsene ≥75 Jahre) zur Assoziation zwischen zirkulierendem Endostatin und prävalenter/inzidenter Anämie bei CKD.</w:t>
      </w:r>
    </w:p>
    <w:p>
      <w:r>
        <w:rPr>
          <w:b/>
        </w:rPr>
        <w:t xml:space="preserve">Ergebnis: </w:t>
      </w:r>
      <w:r>
        <w:t>Höhere Endostatin-Level unabhängig assoziiert mit niedrigerem Hämoglobin (β -0,21) und prävalenter Anämie (OR 1,38). Bei Zwei-Jahres-Nachverfolgung: 11,4% Neuauftreten von Anämie, höhere Endostatin-Level erhöhten Risiko (sHR 1,40); Assoziation stärker bei CKD.</w:t>
      </w:r>
    </w:p>
    <w:p>
      <w:r>
        <w:rPr>
          <w:b/>
          <w:sz w:val="19"/>
        </w:rPr>
        <w:t xml:space="preserve">Übertragbarkeit: </w:t>
      </w:r>
      <w:r>
        <w:rPr>
          <w:sz w:val="19"/>
        </w:rPr>
        <w:t>Europäische Multizenterstudie (Schweden, Österreich, Niederlande, Spanien, Polen)</w:t>
      </w:r>
    </w:p>
    <w:p>
      <w:r>
        <w:rPr>
          <w:color w:val="5A7D3A"/>
          <w:sz w:val="18"/>
        </w:rPr>
        <w:t>https://pubmed.ncbi.nlm.nih.gov/42533353/</w:t>
      </w:r>
    </w:p>
    <w:p>
      <w:pPr>
        <w:pStyle w:val="Heading2"/>
      </w:pPr>
      <w:r>
        <w:t>Inhaled corticosteroids senken kardiovaskuläres Risiko bei COPD nicht</w:t>
      </w:r>
    </w:p>
    <w:p>
      <w:r>
        <w:rPr>
          <w:i/>
          <w:color w:val="666666"/>
          <w:sz w:val="18"/>
        </w:rPr>
        <w:t>Nielsen MRI et al.  ·  BMJ Open  ·  29.07.2026  ·  PMID 42526931</w:t>
      </w:r>
    </w:p>
    <w:p>
      <w:r>
        <w:t>Registerbasierte Kohortenstudie mit 82.327 COPD-Patienten in Dänemark zu kardiovaskulären Ereignissen unter ICS-Therapie in verschiedenen Dosen.</w:t>
      </w:r>
    </w:p>
    <w:p>
      <w:r>
        <w:rPr>
          <w:b/>
        </w:rPr>
        <w:t xml:space="preserve">Ergebnis: </w:t>
      </w:r>
      <w:r>
        <w:t>ICS waren bei keiner Dosis mit erhöhtem kardiovaskulärem Risiko assoziiert; moderate Dosen zeigten sogar modeste Risikoreduktion (HR 0,89, p&lt;0,05). Befund widerlegt Safety-Bedenken gegen ICS.</w:t>
      </w:r>
    </w:p>
    <w:p>
      <w:r>
        <w:rPr>
          <w:b/>
          <w:sz w:val="19"/>
        </w:rPr>
        <w:t xml:space="preserve">Übertragbarkeit: </w:t>
      </w:r>
      <w:r>
        <w:rPr>
          <w:sz w:val="19"/>
        </w:rPr>
        <w:t>Dänemark, nationale Registerdaten, vergleichbares Nordeuropa-System</w:t>
      </w:r>
    </w:p>
    <w:p>
      <w:r>
        <w:rPr>
          <w:color w:val="5A7D3A"/>
          <w:sz w:val="18"/>
        </w:rPr>
        <w:t>https://pubmed.ncbi.nlm.nih.gov/42526931/</w:t>
      </w:r>
    </w:p>
    <w:p>
      <w:pPr>
        <w:pStyle w:val="Heading1"/>
      </w:pPr>
      <w:r>
        <w:t>Aufgenommen am 28.08.2026</w:t>
      </w:r>
    </w:p>
    <w:p>
      <w:pPr>
        <w:pStyle w:val="Heading2"/>
      </w:pPr>
      <w:r>
        <w:t>Berufliche Expositionen und COPD-Neuerkrankungen: Exposom-Analyse in zwei europäischen Kohorten</w:t>
      </w:r>
    </w:p>
    <w:p>
      <w:r>
        <w:rPr>
          <w:i/>
          <w:color w:val="666666"/>
          <w:sz w:val="18"/>
        </w:rPr>
        <w:t>Kynde T et al.  ·  Ann Work Expo Health  ·  26.08.2026  ·  PMID 42658646</w:t>
      </w:r>
    </w:p>
    <w:p>
      <w:r>
        <w:t>Die Studie untersuchte in zwei europäischen Bevölkerungskohorten (ECRHS, CONSTANCES), welche beruflichen Expositionen mit Neuauftreten von COPD assoziiert sind – über Job-Expositions-Matrizen und moderne statistische Methoden (ExWAS, LASSO, Boruta Random Forest).</w:t>
      </w:r>
    </w:p>
    <w:p>
      <w:r>
        <w:rPr>
          <w:b/>
        </w:rPr>
        <w:t xml:space="preserve">Ergebnis: </w:t>
      </w:r>
      <w:r>
        <w:t>Wichtigste Risiko-Expositionen variieren zwischen Kohorten: In ECRHS waren Heben, Vorneigebewegungen, Gase/Dämpfe und Mineralstaub prädiktiv; in CONSTANCES Dieselabgase, kristallines Quarzmehl und Lösungsmittel. Beide Kohorten bestätigen bekannte chemische Gefahrstoffe und identifizieren neue Assoziationen zwischen ergonomischen/physischen Belastungen und COPD-Risiko.</w:t>
      </w:r>
    </w:p>
    <w:p>
      <w:r>
        <w:rPr>
          <w:b/>
          <w:sz w:val="19"/>
        </w:rPr>
        <w:t xml:space="preserve">Übertragbarkeit: </w:t>
      </w:r>
      <w:r>
        <w:rPr>
          <w:sz w:val="19"/>
        </w:rPr>
        <w:t>Europäische Kohorten mit strukturierter Expositionserfassung; Ergebnisse direkt auf deutsche Berufsgruppen übertragbar.</w:t>
      </w:r>
    </w:p>
    <w:p>
      <w:r>
        <w:rPr>
          <w:color w:val="5A7D3A"/>
          <w:sz w:val="18"/>
        </w:rPr>
        <w:t>https://pubmed.ncbi.nlm.nih.gov/42658646/</w:t>
      </w:r>
    </w:p>
    <w:p>
      <w:pPr>
        <w:pStyle w:val="Heading2"/>
      </w:pPr>
      <w:r>
        <w:t>Transdisziplinäres Rahmenwerk für chronische Erkrankung und chronischen Schmerz aus qualitativer Synthese</w:t>
      </w:r>
    </w:p>
    <w:p>
      <w:r>
        <w:rPr>
          <w:i/>
          <w:color w:val="666666"/>
          <w:sz w:val="18"/>
        </w:rPr>
        <w:t>Safavi-Abbasi S et al.  ·  Front Public Health  ·  12.08.2026  ·  PMID 42656526</w:t>
      </w:r>
    </w:p>
    <w:p>
      <w:r>
        <w:t>Systematische qualitative Metasynopse von 104 Primärstudien (2009–2025) zu Patientenerfahrungen chronischer Erkrankung und Schmerz; Integration von 52 weiteren Studien zu transdisziplinären Prinzipien zur Entwicklung eines klinisch anwendbaren Rahmenwerks.</w:t>
      </w:r>
    </w:p>
    <w:p>
      <w:r>
        <w:rPr>
          <w:b/>
        </w:rPr>
        <w:t xml:space="preserve">Ergebnis: </w:t>
      </w:r>
      <w:r>
        <w:t>Identifiziert sieben zentrale Erfahrungsdomänen (soziale Isolation, Identitätsverlust, körperliche Debilitation, emotionale Belastung, kognitive Überlastung, Unsicherheit, Kampf um Legitimität im System) und verknüpft sie mit fünf transdisziplinären Prinzipien (Kommunikation, Zusammenarbeit, Partizipation, Reflexivität, Systemdenken). Das Rahmenwerk strukturiert personenzentrierte Versorgung, interdisziplinäre Kooperation und koordiniertes Management.</w:t>
      </w:r>
    </w:p>
    <w:p>
      <w:r>
        <w:rPr>
          <w:b/>
          <w:sz w:val="19"/>
        </w:rPr>
        <w:t xml:space="preserve">Übertragbarkeit: </w:t>
      </w:r>
      <w:r>
        <w:rPr>
          <w:sz w:val="19"/>
        </w:rPr>
        <w:t>Qualitative Synthese aus international vergleichbaren Studien; Versorgungsansätze gelten über Grenzen hinweg.</w:t>
      </w:r>
    </w:p>
    <w:p>
      <w:r>
        <w:rPr>
          <w:color w:val="5A7D3A"/>
          <w:sz w:val="18"/>
        </w:rPr>
        <w:t>https://pubmed.ncbi.nlm.nih.gov/42656526/</w:t>
      </w:r>
    </w:p>
    <w:p>
      <w:pPr>
        <w:pStyle w:val="Heading2"/>
      </w:pPr>
      <w:r>
        <w:t>Ländliche Versorgung chronischer Erkrankungen: Von Gesundheitssystem zu gesellschaftlichen Determinanten</w:t>
      </w:r>
    </w:p>
    <w:p>
      <w:r>
        <w:rPr>
          <w:i/>
          <w:color w:val="666666"/>
          <w:sz w:val="18"/>
        </w:rPr>
        <w:t>Kuwayama T et al.  ·  Int J Environ Res Public Health  ·  27.07.2026  ·  PMID 42652287</w:t>
      </w:r>
    </w:p>
    <w:p>
      <w:r>
        <w:t>Scoping Review (23 Studien: 12 vor, 11 nach COVID-19) zu Themen ländlicher Versorgungsprobleme bei chronischen Krankheiten; thematischer Vergleich prä- und post-pandemisch.</w:t>
      </w:r>
    </w:p>
    <w:p>
      <w:r>
        <w:rPr>
          <w:b/>
        </w:rPr>
        <w:t xml:space="preserve">Ergebnis: </w:t>
      </w:r>
      <w:r>
        <w:t>Vor Pandemie dominierten Themen: niedrige Managementraten (Hypertonie, Diabetes), Arzneimittelversorgung, unzureichendes Fachpersonal (Thema: Gesundheitssystem). Nach Pandemie zusätzlich: psychische Gesundheit, Ernährung, Mehrfacherkrankung, sozioökonomische Disparitäten (Thema: Gesellschaft). Verschiebung zeigt: Pandemie hat Debatte von technischen auf ganzheitliche Determinanten ausgeweitet.</w:t>
      </w:r>
    </w:p>
    <w:p>
      <w:r>
        <w:rPr>
          <w:b/>
          <w:sz w:val="19"/>
        </w:rPr>
        <w:t xml:space="preserve">Übertragbarkeit: </w:t>
      </w:r>
      <w:r>
        <w:rPr>
          <w:sz w:val="19"/>
        </w:rPr>
        <w:t>Japan/Ländervergleich; Systematik der ländlichen Versorgungshürden auch für deutsche Flächenländer relevant.</w:t>
      </w:r>
    </w:p>
    <w:p>
      <w:r>
        <w:rPr>
          <w:color w:val="5A7D3A"/>
          <w:sz w:val="18"/>
        </w:rPr>
        <w:t>https://pubmed.ncbi.nlm.nih.gov/42652287/</w:t>
      </w:r>
    </w:p>
    <w:p>
      <w:pPr>
        <w:pStyle w:val="Heading2"/>
      </w:pPr>
      <w:r>
        <w:t>Funktionale Lungen-MRT zeigt Verbesserung der Hyperinflation nach Doppel-Bronchodilator bei COPD</w:t>
      </w:r>
    </w:p>
    <w:p>
      <w:r>
        <w:rPr>
          <w:i/>
          <w:color w:val="666666"/>
          <w:sz w:val="18"/>
        </w:rPr>
        <w:t>Müller RA et al.  ·  COPD  ·  12.08.2026  ·  PMID 42584170</w:t>
      </w:r>
    </w:p>
    <w:p>
      <w:r>
        <w:t>Randomisierte Crossover-Studie (n=29 COPD-Patienten) zur Wirkung einer Einzeldosis Doppel-Bronchodilator auf ventilationsdynamische Parameter mittels funktioneller Lungen-MRT während kontrollierter schneller Atmung (Metronom-gesteuert).</w:t>
      </w:r>
    </w:p>
    <w:p>
      <w:r>
        <w:rPr>
          <w:b/>
        </w:rPr>
        <w:t xml:space="preserve">Ergebnis: </w:t>
      </w:r>
      <w:r>
        <w:t>In Ruhe keine signifikanten FEV1-Verbesserungen; unter beschleunigter Atmung jedoch signifikante Reduktion der Funktionalen Residualkapazität (FRC: Kontrollgruppe −0,1 L vs. Interventionsgruppe −0,4 L, p&lt;0,05), verbesserte Ventilationshomogenität und Durchfluss-Volumen-Korrelation. Nach Mehrfach-Dosierung zeigten 5 von 6 Parametern Besserungen (alle p&lt;0,03).</w:t>
      </w:r>
    </w:p>
    <w:p>
      <w:r>
        <w:rPr>
          <w:b/>
          <w:sz w:val="19"/>
        </w:rPr>
        <w:t xml:space="preserve">Übertragbarkeit: </w:t>
      </w:r>
      <w:r>
        <w:rPr>
          <w:sz w:val="19"/>
        </w:rPr>
        <w:t>Deutsche Klinikdaten verfügbar; Methode für Monitoring strukturierter COPD-Programme geeignet.</w:t>
      </w:r>
    </w:p>
    <w:p>
      <w:r>
        <w:rPr>
          <w:color w:val="5A7D3A"/>
          <w:sz w:val="18"/>
        </w:rPr>
        <w:t>https://pubmed.ncbi.nlm.nih.gov/42584170/</w:t>
      </w:r>
    </w:p>
    <w:p>
      <w:pPr>
        <w:pStyle w:val="Heading2"/>
      </w:pPr>
      <w:r>
        <w:t>Nicht-Teilnahme an Hepatitis-B-Versorgung: Barrieren und Interventionen in UK-Sekundärversorgung</w:t>
      </w:r>
    </w:p>
    <w:p>
      <w:r>
        <w:rPr>
          <w:i/>
          <w:color w:val="666666"/>
          <w:sz w:val="18"/>
        </w:rPr>
        <w:t>Shiel EV et al.  ·  J Viral Hepat  ·  Sept. 2026  ·  PMID 42583956</w:t>
      </w:r>
    </w:p>
    <w:p>
      <w:r>
        <w:t>Scoping Review von 11 Studien zu Faktoren, die Nicht-Teilnahme an Sekundärversorgung-Terminen bei chronischer Hepatitis B in Großbritannien erklären, und identifizierten Strategien zur Verbesserung der Adhärenz.</w:t>
      </w:r>
    </w:p>
    <w:p>
      <w:r>
        <w:rPr>
          <w:b/>
        </w:rPr>
        <w:t xml:space="preserve">Ergebnis: </w:t>
      </w:r>
      <w:r>
        <w:t>Barrieren: patientenseitig (Gesundheitskompetenz, Stigma, konkurrierende Prioritäten), systemisch (Terminvergabe, Erreichbarkeit), psychologisch (Angst vor Diagnose, Nebenwirkungen); kulturelle und Sprachbarrieren. Wirksame Interventionen: Patienten-Edukation, kulturell angepasste Ansätze, Erinnerungssysteme (SMS, Telefon), integrierte Care-Modelle mit Community Outreach.</w:t>
      </w:r>
    </w:p>
    <w:p>
      <w:r>
        <w:rPr>
          <w:b/>
          <w:sz w:val="19"/>
        </w:rPr>
        <w:t xml:space="preserve">Übertragbarkeit: </w:t>
      </w:r>
      <w:r>
        <w:rPr>
          <w:sz w:val="19"/>
        </w:rPr>
        <w:t>Britisches Versorgungssystem mit vergleichbarem NHS-Zugang; Interventionsdesign auf deutsche Sprechstunden-Logistik adaptierbar.</w:t>
      </w:r>
    </w:p>
    <w:p>
      <w:r>
        <w:rPr>
          <w:color w:val="5A7D3A"/>
          <w:sz w:val="18"/>
        </w:rPr>
        <w:t>https://pubmed.ncbi.nlm.nih.gov/42583956/</w:t>
      </w:r>
    </w:p>
    <w:p>
      <w:pPr>
        <w:pStyle w:val="Heading2"/>
      </w:pPr>
      <w:r>
        <w:t>Vegetarische Ernährung reduziert CKD-Risiko: Prospektive UK-Biobank-Kohorte</w:t>
      </w:r>
    </w:p>
    <w:p>
      <w:r>
        <w:rPr>
          <w:i/>
          <w:color w:val="666666"/>
          <w:sz w:val="18"/>
        </w:rPr>
        <w:t>Candussi CJ et al.  ·  Sci Rep  ·  03.08.2026  ·  PMID 42547796</w:t>
      </w:r>
    </w:p>
    <w:p>
      <w:r>
        <w:t>Prospektive Kohortenstudie (n=416.584, Alter 40–69 Jahre) zur Assoziation fünf verschiedener Ernährungsmuster (hochfleischreich bis vegetarisch) mit chronischer Nierenerkrankung (CKD) über 12,9 Jahre Follow-up.</w:t>
      </w:r>
    </w:p>
    <w:p>
      <w:r>
        <w:rPr>
          <w:b/>
        </w:rPr>
        <w:t xml:space="preserve">Ergebnis: </w:t>
      </w:r>
      <w:r>
        <w:t>Bei 23.084 CKD-Neuerkrankungen zeigte sich: Vegetarier hatten das niedrigste Risiko im Vergleich zu hochfleischessern (HR=0,81, 95%-KI 0,71–0,93). Risikoreduktion war statistisch signifikant und konsistent über verschiedene Analysen; die Effektstärke ist klinisch bedeutsam für Prävention.</w:t>
      </w:r>
    </w:p>
    <w:p>
      <w:r>
        <w:rPr>
          <w:b/>
          <w:sz w:val="19"/>
        </w:rPr>
        <w:t xml:space="preserve">Übertragbarkeit: </w:t>
      </w:r>
      <w:r>
        <w:rPr>
          <w:sz w:val="19"/>
        </w:rPr>
        <w:t>UK-Biobank mit vergleichbarer Dokumentation; Präventionsempfehlung auf Deutschland übertragbar.</w:t>
      </w:r>
    </w:p>
    <w:p>
      <w:r>
        <w:rPr>
          <w:color w:val="5A7D3A"/>
          <w:sz w:val="18"/>
        </w:rPr>
        <w:t>https://pubmed.ncbi.nlm.nih.gov/42547796/</w:t>
      </w:r>
    </w:p>
    <w:p>
      <w:pPr>
        <w:pStyle w:val="Heading1"/>
      </w:pPr>
      <w:r>
        <w:t>Aufgenommen am 27.08.2026</w:t>
      </w:r>
    </w:p>
    <w:p>
      <w:pPr>
        <w:pStyle w:val="Heading2"/>
      </w:pPr>
      <w:r>
        <w:t>Mehrfacherkrankung und Krankenhausaufenthalt bei Herzinsuffizienz in Indonesien</w:t>
      </w:r>
    </w:p>
    <w:p>
      <w:r>
        <w:rPr>
          <w:i/>
          <w:color w:val="666666"/>
          <w:sz w:val="18"/>
        </w:rPr>
        <w:t>Yolanda G et al.  ·  Open Heart  ·  26.08.2026  ·  PMID 42648742</w:t>
      </w:r>
    </w:p>
    <w:p>
      <w:r>
        <w:t>Bevölkerungsbasierte retrospektive Kohorte von 9.018 Patienten (12.461 Aufenthalte) mit Herzinsuffizienz aus indonesischer Krankenversicherung zu Einfluss von Mehrfacherkrankung auf Liegedauer und Wiederaufnahme.</w:t>
      </w:r>
    </w:p>
    <w:p>
      <w:r>
        <w:rPr>
          <w:b/>
        </w:rPr>
        <w:t xml:space="preserve">Ergebnis: </w:t>
      </w:r>
      <w:r>
        <w:t>Mehrfacherkrankung in 72,4%, jede zusätzliche Komorbidität assoziiert mit: längerer Liegedauer (+0,13 Tage), höherer 30-Tage-Wiederaufnahmequote (OR 1,22) und höherer 90-Tage-Wiederaufnahme (OR 1,27). Spezifische Muster: Anämie stärkste Assoziation mit Liegedauer, ischämische Herzerkrankung, CKD, COPD und Klappenvitium mit Wiederaufnahme.</w:t>
      </w:r>
    </w:p>
    <w:p>
      <w:r>
        <w:rPr>
          <w:b/>
          <w:sz w:val="19"/>
        </w:rPr>
        <w:t xml:space="preserve">Übertragbarkeit: </w:t>
      </w:r>
      <w:r>
        <w:rPr>
          <w:sz w:val="19"/>
        </w:rPr>
        <w:t>Indonesien mit universeller Krankenversicherung, begrenzte Ressourcen, Mehrfacherkrankungslast auch in deutschem System relevant.</w:t>
      </w:r>
    </w:p>
    <w:p>
      <w:r>
        <w:rPr>
          <w:color w:val="5A7D3A"/>
          <w:sz w:val="18"/>
        </w:rPr>
        <w:t>https://pubmed.ncbi.nlm.nih.gov/42648742/</w:t>
      </w:r>
    </w:p>
    <w:p>
      <w:pPr>
        <w:pStyle w:val="Heading2"/>
      </w:pPr>
      <w:r>
        <w:t>Ungleiche Versorgung nach Transplantatversagen: Ethnizität und Deprivation beeinflussen Retransplantation</w:t>
      </w:r>
    </w:p>
    <w:p>
      <w:r>
        <w:rPr>
          <w:i/>
          <w:color w:val="666666"/>
          <w:sz w:val="18"/>
        </w:rPr>
        <w:t>Westaway S et al.  ·  PLoS One  ·  26.08.2026  ·  PMID 42647538</w:t>
      </w:r>
    </w:p>
    <w:p>
      <w:r>
        <w:t>Analyse von 5.447 Patienten mit Transplantatversagen in Großbritannien zum Zusammenhang von Patientenmerkmalen mit Versorgungsergebnissen (Retransplantation, Dialyseverfahren, Mortalität).</w:t>
      </w:r>
    </w:p>
    <w:p>
      <w:r>
        <w:rPr>
          <w:b/>
        </w:rPr>
        <w:t xml:space="preserve">Ergebnis: </w:t>
      </w:r>
      <w:r>
        <w:t>Schwarze und asiatische Patienten erhielten deutlich seltener Retransplantationen (RRR 0,41 bzw. 0,57), ebenso Personen in deprivierteren Gegenden (RRR 0,78 pro Deprivationsquintil). Männer wurden häufiger retransplantiert und an Hämodialyse angeschlossen. Diese Ungleichheiten sind versorgungsrelevant und beeinflussen das Überleben.</w:t>
      </w:r>
    </w:p>
    <w:p>
      <w:r>
        <w:rPr>
          <w:b/>
          <w:sz w:val="19"/>
        </w:rPr>
        <w:t xml:space="preserve">Übertragbarkeit: </w:t>
      </w:r>
      <w:r>
        <w:rPr>
          <w:sz w:val="19"/>
        </w:rPr>
        <w:t>Britisches Gesundheitssystem mit elektronischen Registerdaten, teilweise vergleichbar mit deutschem Organtransplantationssystem.</w:t>
      </w:r>
    </w:p>
    <w:p>
      <w:r>
        <w:rPr>
          <w:color w:val="5A7D3A"/>
          <w:sz w:val="18"/>
        </w:rPr>
        <w:t>https://pubmed.ncbi.nlm.nih.gov/42647538/</w:t>
      </w:r>
    </w:p>
    <w:p>
      <w:pPr>
        <w:pStyle w:val="Heading2"/>
      </w:pPr>
      <w:r>
        <w:t>Kompetenzen für personenzentrierte Versorgung bei Mehrfacherkrankung: Fokusgruppen mit Patienten und Fachkräften</w:t>
      </w:r>
    </w:p>
    <w:p>
      <w:r>
        <w:rPr>
          <w:i/>
          <w:color w:val="666666"/>
          <w:sz w:val="18"/>
        </w:rPr>
        <w:t>Michielsen LJ et al.  ·  Eur J Gen Pract  ·  26.08.2026  ·  PMID 42647104</w:t>
      </w:r>
    </w:p>
    <w:p>
      <w:r>
        <w:t>Qualitative Fokusgruppenstudie mit 14 Hausarztfachkräften und 10 Patienten mit chronischen Erkrankungen zu essentiellen Kompetenzen für personenzentrierte integrierte Versorgung.</w:t>
      </w:r>
    </w:p>
    <w:p>
      <w:r>
        <w:rPr>
          <w:b/>
        </w:rPr>
        <w:t xml:space="preserve">Ergebnis: </w:t>
      </w:r>
      <w:r>
        <w:t>Fachkräfte benannten: personenzentrierte Einstellung, Kommunikationsfähigkeiten, Interprofessionelles Zusammenarbeiten. Patienten werteten zusätzlich Kontinuität und designierten Ansprechpartner. Fachkräfte nannten Schulung, Reflektionszirkel und Fallbesprechungen als nötig. Kernaussage: Erfolgreiche Versorgung erfordert neben individuellen Kompetenzen Organisationsbedingungen für koordinierte, kontinuierliche Pflege.</w:t>
      </w:r>
    </w:p>
    <w:p>
      <w:r>
        <w:rPr>
          <w:b/>
          <w:sz w:val="19"/>
        </w:rPr>
        <w:t xml:space="preserve">Übertragbarkeit: </w:t>
      </w:r>
      <w:r>
        <w:rPr>
          <w:sz w:val="19"/>
        </w:rPr>
        <w:t>Niederlande, vergleichbare Primärversorgungsstrukturen und DMPs wie Deutschland.</w:t>
      </w:r>
    </w:p>
    <w:p>
      <w:r>
        <w:rPr>
          <w:color w:val="5A7D3A"/>
          <w:sz w:val="18"/>
        </w:rPr>
        <w:t>https://pubmed.ncbi.nlm.nih.gov/42647104/</w:t>
      </w:r>
    </w:p>
    <w:p>
      <w:pPr>
        <w:pStyle w:val="Heading2"/>
      </w:pPr>
      <w:r>
        <w:t>Soziale Risikofaktoren verbessern Vorhersage von kardiometabolischer Mehrfacherkrankung</w:t>
      </w:r>
    </w:p>
    <w:p>
      <w:r>
        <w:rPr>
          <w:i/>
          <w:color w:val="666666"/>
          <w:sz w:val="18"/>
        </w:rPr>
        <w:t>Anindya K et al.  ·  Sci Rep  ·  25.08.2026  ·  PMID 42642546</w:t>
      </w:r>
    </w:p>
    <w:p>
      <w:r>
        <w:t>Entwicklung eines Bayesianischen Vorhersagemodells für kardiometabolische Mehrfacherkrankung unter Einbeziehung sozialer Determinanten in 11.964 schwedischen Erwachsenen ohne Vorerkrankungen.</w:t>
      </w:r>
    </w:p>
    <w:p>
      <w:r>
        <w:rPr>
          <w:b/>
        </w:rPr>
        <w:t xml:space="preserve">Ergebnis: </w:t>
      </w:r>
      <w:r>
        <w:t>Während die Vorhersage für mindestens eine kardiometabolische Erkrankung fair war (AUC 0,76), zeigte sich für Mehrfacherkrankung (≥2 Erkrankungen) gute Diskriminanz (AUC 0,89). Höchste Risiken bei älteren Migranten mit Hypertonie und niedriger HDL (34,7% für beliebige Erkrankung, 4,4% für Mehrfacherkrankung).</w:t>
      </w:r>
    </w:p>
    <w:p>
      <w:r>
        <w:rPr>
          <w:b/>
          <w:sz w:val="19"/>
        </w:rPr>
        <w:t xml:space="preserve">Übertragbarkeit: </w:t>
      </w:r>
      <w:r>
        <w:rPr>
          <w:sz w:val="19"/>
        </w:rPr>
        <w:t>Schweden, vergleichbare Sozialversicherung und Präventionsstrukturen wie Deutschland.</w:t>
      </w:r>
    </w:p>
    <w:p>
      <w:r>
        <w:rPr>
          <w:color w:val="5A7D3A"/>
          <w:sz w:val="18"/>
        </w:rPr>
        <w:t>https://pubmed.ncbi.nlm.nih.gov/42642546/</w:t>
      </w:r>
    </w:p>
    <w:p>
      <w:pPr>
        <w:pStyle w:val="Heading2"/>
      </w:pPr>
      <w:r>
        <w:t>Schluckstörungen bei COPD – zwei Jahre Stabilität und Symptombelastung</w:t>
      </w:r>
    </w:p>
    <w:p>
      <w:r>
        <w:rPr>
          <w:i/>
          <w:color w:val="666666"/>
          <w:sz w:val="18"/>
        </w:rPr>
        <w:t>Gonzalez Lindh M et al.  ·  COPD  ·  28.07.2026  ·  PMID 42557931</w:t>
      </w:r>
    </w:p>
    <w:p>
      <w:r>
        <w:t>Prospektive Kohortenstudie mit 438 COPD-Patienten zu Stabilitätsmuster selbstberichteter Schluckstörungen über zwei Jahre und Assoziationen mit klinischen Ergebnissen.</w:t>
      </w:r>
    </w:p>
    <w:p>
      <w:r>
        <w:rPr>
          <w:b/>
        </w:rPr>
        <w:t xml:space="preserve">Ergebnis: </w:t>
      </w:r>
      <w:r>
        <w:t>Schluckstörungsprävalenz blieb stabil (32% auf 33%), vier Verlaufsmuster identifiziert: keine (59%), neu aufgetreten (8%), remittiert (8%), persistent (25%). Persistente Schluckstörung assoziiert mit höherer Dyspnoe, schlechterer körperlicher Leistung und häufigeren Exazerbationen. CAT-Wert ≥10 unabhängig mit Schluckstörung verbunden.</w:t>
      </w:r>
    </w:p>
    <w:p>
      <w:r>
        <w:rPr>
          <w:b/>
          <w:sz w:val="19"/>
        </w:rPr>
        <w:t xml:space="preserve">Übertragbarkeit: </w:t>
      </w:r>
      <w:r>
        <w:rPr>
          <w:sz w:val="19"/>
        </w:rPr>
        <w:t>Schweden, vergleichbare Primärversorgungsstrukturen, Screening in COPD-Routinefolge übertragbar.</w:t>
      </w:r>
    </w:p>
    <w:p>
      <w:r>
        <w:rPr>
          <w:color w:val="5A7D3A"/>
          <w:sz w:val="18"/>
        </w:rPr>
        <w:t>https://pubmed.ncbi.nlm.nih.gov/42557931/</w:t>
      </w:r>
    </w:p>
    <w:p>
      <w:pPr>
        <w:pStyle w:val="Heading2"/>
      </w:pPr>
      <w:r>
        <w:t>Hyperkaliämie-Management: Ärzte bevorzugen RAASi-Erhalt trotz Barrieren</w:t>
      </w:r>
    </w:p>
    <w:p>
      <w:r>
        <w:rPr>
          <w:i/>
          <w:color w:val="666666"/>
          <w:sz w:val="18"/>
        </w:rPr>
        <w:t>Gimenez-Stamminger N et al.  ·  PLoS One  ·  30.07.2026  ·  PMID 42531230</w:t>
      </w:r>
    </w:p>
    <w:p>
      <w:r>
        <w:t>Qualitative Studie mit 12 spanischen Nephrologen zu Strategien der Hyperkaliämie-Behandlung unter Beibehaltung von Renin-Angiotensin-Aldosteron-Inhibitor-Therapie bei CKD-Stadien 3-5.</w:t>
      </w:r>
    </w:p>
    <w:p>
      <w:r>
        <w:rPr>
          <w:b/>
        </w:rPr>
        <w:t xml:space="preserve">Ergebnis: </w:t>
      </w:r>
      <w:r>
        <w:t>Fünf Themen identifiziert: (1) strukturierter Behandlungsalgorithmus für RAASi-Erhalt, (2) neue Kaliumbinder (Patiromer, Natriumzirkonium-Zykliosilikat) als effektiv und besser verträglich, (3) Systembarrieren (Visado-Anforderungen, regionale Formularvarianz) limitieren Zugang, (4) Patientenengagement durch Kommunikation und Pflege-Edukation fördert Adhärenz, (5) Lebensqualität wird selten formal erfasst. Kernempfehlung: Vereinfachte Zugangsswege und verbesserte Multidisziplinarität nötig.</w:t>
      </w:r>
    </w:p>
    <w:p>
      <w:r>
        <w:rPr>
          <w:b/>
          <w:sz w:val="19"/>
        </w:rPr>
        <w:t xml:space="preserve">Übertragbarkeit: </w:t>
      </w:r>
      <w:r>
        <w:rPr>
          <w:sz w:val="19"/>
        </w:rPr>
        <w:t>Spanien, vergleichbares öffentliches Gesundheitssystem, direkt übertragbar für deutsches CKD-Management.</w:t>
      </w:r>
    </w:p>
    <w:p>
      <w:r>
        <w:rPr>
          <w:color w:val="5A7D3A"/>
          <w:sz w:val="18"/>
        </w:rPr>
        <w:t>https://pubmed.ncbi.nlm.nih.gov/42531230/</w:t>
      </w:r>
    </w:p>
    <w:p>
      <w:pPr>
        <w:pStyle w:val="Heading1"/>
      </w:pPr>
      <w:r>
        <w:t>Aufgenommen am 26.08.2026</w:t>
      </w:r>
    </w:p>
    <w:p>
      <w:pPr>
        <w:pStyle w:val="Heading2"/>
      </w:pPr>
      <w:r>
        <w:t>Geschlechtsspezifische Trajectories bei Typ-2-Diabetes: Psychische Erkrankungen bei Frauen häufiger</w:t>
      </w:r>
    </w:p>
    <w:p>
      <w:r>
        <w:rPr>
          <w:i/>
          <w:color w:val="666666"/>
          <w:sz w:val="18"/>
        </w:rPr>
        <w:t>Eto F et al.  ·  PLoS Med  ·  25.08.2026  ·  PMID 42640878</w:t>
      </w:r>
    </w:p>
    <w:p>
      <w:r>
        <w:t>Kohortenstudie mit 28.720 Personen in Großbritannien untersucht unterschiedliche Krankheitsverlaufsmuster nach Typ-2-Diabetes-Diagnose, unterschieden nach Geschlecht.</w:t>
      </w:r>
    </w:p>
    <w:p>
      <w:r>
        <w:rPr>
          <w:b/>
        </w:rPr>
        <w:t xml:space="preserve">Ergebnis: </w:t>
      </w:r>
      <w:r>
        <w:t>Bei Frauen traten psychische Erkrankungen post-Diabetes signifikant häufiger auf als bei Männern (8,1% vs. 5,3%), während Männer höhere Raten für Herz-Kreislauf- und Nierenerkrankungen zeigten (8,4% vs. 5,3%). Beide Geschlechter mit kombiniertem Diabetes und psychischer Erkrankung erlebten vorzeitige Sterblichkeit.</w:t>
      </w:r>
    </w:p>
    <w:p>
      <w:r>
        <w:rPr>
          <w:b/>
          <w:sz w:val="19"/>
        </w:rPr>
        <w:t xml:space="preserve">Übertragbarkeit: </w:t>
      </w:r>
      <w:r>
        <w:rPr>
          <w:sz w:val="19"/>
        </w:rPr>
        <w:t>UK-Register-Daten, vergleichbar mit deutschen Disease-Management-Strukturen zur geschlechtsspezifischen Therapieplanung.</w:t>
      </w:r>
    </w:p>
    <w:p>
      <w:r>
        <w:rPr>
          <w:color w:val="5A7D3A"/>
          <w:sz w:val="18"/>
        </w:rPr>
        <w:t>https://pubmed.ncbi.nlm.nih.gov/42640878/</w:t>
      </w:r>
    </w:p>
    <w:p>
      <w:pPr>
        <w:pStyle w:val="Heading2"/>
      </w:pPr>
      <w:r>
        <w:t>Post-COVID-Endotheldysfunktion verschärft sich bei Patienten mit ME/CFS-Kriterien: Retinale Gefäßanalyse zeigt Arteriolenkatheteropathie</w:t>
      </w:r>
    </w:p>
    <w:p>
      <w:r>
        <w:rPr>
          <w:i/>
          <w:color w:val="666666"/>
          <w:sz w:val="18"/>
        </w:rPr>
        <w:t>Wallraven T et al.  ·  BMC Med  ·  19.08.2026  ·  PMID 42625188</w:t>
      </w:r>
    </w:p>
    <w:p>
      <w:r>
        <w:t>Prospektive Beobachtungsstudie mit 300 Teilnehmern (96 nie infiziert, 102 genesen, 102 mit Post-COVID-Syndrom, davon 62 mit ME/CFS-Kriterien) untersucht Mikrozirkulation mittels retinaler Gefäßanalyse.</w:t>
      </w:r>
    </w:p>
    <w:p>
      <w:r>
        <w:rPr>
          <w:b/>
        </w:rPr>
        <w:t xml:space="preserve">Ergebnis: </w:t>
      </w:r>
      <w:r>
        <w:t>Patienten mit Post-COVID zeigten reduzierte Venendilation (3,7% ± 2,2 vs. 4,8% ± 3,0, p=0,006), engere retinale Arteriolen (CRAE: 178,3 ± 15,5 vs. 186,1 ± 15,7 μm, p=0,001) und niedrigere Arteriol-Venol-Verhältnisse als Genesene (0,83 ± 0,06 vs. 0,86 ± 0,07, p&lt;0,001). Patienten mit ME/CFS-Kriterien zeigten stärkste Veränderungen (AUC 0,79).</w:t>
      </w:r>
    </w:p>
    <w:p>
      <w:r>
        <w:rPr>
          <w:b/>
          <w:sz w:val="19"/>
        </w:rPr>
        <w:t xml:space="preserve">Übertragbarkeit: </w:t>
      </w:r>
      <w:r>
        <w:rPr>
          <w:sz w:val="19"/>
        </w:rPr>
        <w:t>Multinationale Studie (Deutschland, Schweiz); relevanter für Versorgungsfragen zu Post-COVID-Rehabilitationsbedarfen.</w:t>
      </w:r>
    </w:p>
    <w:p>
      <w:r>
        <w:rPr>
          <w:color w:val="5A7D3A"/>
          <w:sz w:val="18"/>
        </w:rPr>
        <w:t>https://pubmed.ncbi.nlm.nih.gov/42625188/</w:t>
      </w:r>
    </w:p>
    <w:p>
      <w:pPr>
        <w:pStyle w:val="Heading1"/>
      </w:pPr>
      <w:r>
        <w:t>Aufgenommen am 24.08.2026</w:t>
      </w:r>
    </w:p>
    <w:p>
      <w:pPr>
        <w:pStyle w:val="Heading2"/>
      </w:pPr>
      <w:r>
        <w:t>Kontinuität der Versorgung senkt Krankenhauseinweisungen und Sterblichkeit bei COPD um 25–63 %</w:t>
      </w:r>
    </w:p>
    <w:p>
      <w:r>
        <w:rPr>
          <w:i/>
          <w:color w:val="666666"/>
          <w:sz w:val="18"/>
        </w:rPr>
        <w:t>Ko J et al.  ·  Int J Chron Obstruct Pulmon Dis  ·  18.08.2026  ·  PMID 42633418</w:t>
      </w:r>
    </w:p>
    <w:p>
      <w:r>
        <w:t>Retrospektive südkoreanische Kohortenstudie mit 29.316 neu diagnostizierten COPD-Patienten aus nationalen Versicherungsdaten 2002–2019 zur Wirkung der Versorgungskontinuität (CoC) auf Krankenhauseinweisungen und Sterblichkeit.</w:t>
      </w:r>
    </w:p>
    <w:p>
      <w:r>
        <w:rPr>
          <w:b/>
        </w:rPr>
        <w:t xml:space="preserve">Ergebnis: </w:t>
      </w:r>
      <w:r>
        <w:t>Niedrige CoC-Werte (&lt;0,7) assoziiert mit erhöhtem Risiko für 3-Jahres-Exazerbations-Krankenhauseinweisung (HR 1,63, 95% CI 1,45–1,83) und allgemeine Mortalität (HR 1,25, 95% CI 1,11–1,40) vs. hohe CoC. Progressiv: Intermediate CoC (0,4–0,7) HR 1,61 für Einweisungen und 1,24 für Mortalität; sehr niedrig (&lt;0,4) HR 1,65 und 1,26. Notaufnahmen HR 1,48, allgemeine Hospitalisierungen HR 1,70 bei niedriger CoC. Befunde konsistent über alternative Kontinuitäts-Indizes. Fragmentierte ambulante Versorgung erhöht vermeidbare Krankenhaus-Kontakte und Todesfälle erheblich.</w:t>
      </w:r>
    </w:p>
    <w:p>
      <w:r>
        <w:rPr>
          <w:b/>
          <w:sz w:val="19"/>
        </w:rPr>
        <w:t xml:space="preserve">Übertragbarkeit: </w:t>
      </w:r>
      <w:r>
        <w:rPr>
          <w:sz w:val="19"/>
        </w:rPr>
        <w:t>Südkorea, nationale Versicherungsdaten, zeigt Bedeutung von Kontinuität unabhängig vom Finanzsystem</w:t>
      </w:r>
    </w:p>
    <w:p>
      <w:r>
        <w:rPr>
          <w:color w:val="5A7D3A"/>
          <w:sz w:val="18"/>
        </w:rPr>
        <w:t>https://pubmed.ncbi.nlm.nih.gov/42633418/</w:t>
      </w:r>
    </w:p>
    <w:p>
      <w:pPr>
        <w:pStyle w:val="Heading1"/>
      </w:pPr>
      <w:r>
        <w:t>Aufgenommen am 23.08.2026</w:t>
      </w:r>
    </w:p>
    <w:p>
      <w:pPr>
        <w:pStyle w:val="Heading2"/>
      </w:pPr>
      <w:r>
        <w:t>Mehrfacherkrankung bei Vorhofflimmern nimmt zu: Gepräge und Verlauf stark heterogen</w:t>
      </w:r>
    </w:p>
    <w:p>
      <w:r>
        <w:rPr>
          <w:i/>
          <w:color w:val="666666"/>
          <w:sz w:val="18"/>
        </w:rPr>
        <w:t>Reinilä S et al.  ·  Eur J Clin Invest  ·  Aug. 2026  ·  PMID 42629441</w:t>
      </w:r>
    </w:p>
    <w:p>
      <w:r>
        <w:t>Finnische Kohorte aller Patienten mit neu diagnostiziertem Vorhofflimmern 2009–2018 (n=196.536); Erfassung von Begleiterkrankungen über nationale Register mit 5-Jahres-Lookback.</w:t>
      </w:r>
    </w:p>
    <w:p>
      <w:r>
        <w:rPr>
          <w:b/>
        </w:rPr>
        <w:t xml:space="preserve">Ergebnis: </w:t>
      </w:r>
      <w:r>
        <w:t>85% hatten ≥2 Begleiterkrankungsgruppen, 28% ≥6 Gruppen. Mittlere Anzahl von Diagnosegruppen stieg von 3,9 auf 4,2 Gruppen (2009–2018); nach Adjustment für Alter signifikant. Mehrfacherkrankung war bei Frauen häufiger (4,2 vs. 3,9 Gruppen) und nahm mit dem Alter zu. Häufigste Begleiterkrankungen: Hypertonie, Stoffwechselerkrankungen, Diabetes, andere kardiovaskuläre Erkrankungen. Eine bedeutende Versorgungsherausforderung mit wachsendem Bedarf für ganzheitliche Behandlung.</w:t>
      </w:r>
    </w:p>
    <w:p>
      <w:r>
        <w:rPr>
          <w:b/>
          <w:sz w:val="19"/>
        </w:rPr>
        <w:t xml:space="preserve">Übertragbarkeit: </w:t>
      </w:r>
      <w:r>
        <w:rPr>
          <w:sz w:val="19"/>
        </w:rPr>
        <w:t>Finnland, vergleichbares nordisches Gesundheitssystem, nationale Registerdaten</w:t>
      </w:r>
    </w:p>
    <w:p>
      <w:r>
        <w:rPr>
          <w:color w:val="5A7D3A"/>
          <w:sz w:val="18"/>
        </w:rPr>
        <w:t>https://pubmed.ncbi.nlm.nih.gov/42629441/</w:t>
      </w:r>
    </w:p>
    <w:p>
      <w:pPr>
        <w:pStyle w:val="Heading1"/>
      </w:pPr>
      <w:r>
        <w:t>Aufgenommen am 22.08.2026</w:t>
      </w:r>
    </w:p>
    <w:p>
      <w:pPr>
        <w:pStyle w:val="Heading2"/>
      </w:pPr>
      <w:r>
        <w:t>HAQ-DI-basierte Screening identifiziert Hochrisiko-Phänotyp mit funktioneller Behinderung in COPD</w:t>
      </w:r>
    </w:p>
    <w:p>
      <w:r>
        <w:rPr>
          <w:i/>
          <w:color w:val="666666"/>
          <w:sz w:val="18"/>
        </w:rPr>
        <w:t>Rogier J et al.  ·  Int J Chron Obstruct Pulmon Dis  ·  15.08.2026  ·  PMID 42621973</w:t>
      </w:r>
    </w:p>
    <w:p>
      <w:r>
        <w:t>Französische Kohortenstudie (n=117) der funktionalen Behinderung bei COPD-Patienten mittels Health Assessment Questionnaire – Disability Index (HAQ-DI) in Relation zu Krankheitsschwere und Krankheitslast.</w:t>
      </w:r>
    </w:p>
    <w:p>
      <w:r>
        <w:rPr>
          <w:b/>
        </w:rPr>
        <w:t xml:space="preserve">Ergebnis: </w:t>
      </w:r>
      <w:r>
        <w:t>Patienten mit COPD GOLD 3–4 zeigten höhere HAQ-DI-Werte als GOLD 1–2 (0,50 vs. 0,25, p=0,015); 20 Patienten (17,1%) erfüllten Kriterien für "Hochfunktionelle Behinderung" (HAQ-DI ≥1) mit ungünstigeren Prognose-Markern; HAQ-DI korrelierte mit Exazerbationen, Dyspnoe und Krankheitslast (alle p&lt;0,001). HAQ-DI ist ein praktisches Screening-Instrument zur Identifizierung von Patienten mit hohem funktionellem Risiko, die von Rehabilitations- und psychologischem Support profitieren könnten.</w:t>
      </w:r>
    </w:p>
    <w:p>
      <w:r>
        <w:rPr>
          <w:b/>
          <w:sz w:val="19"/>
        </w:rPr>
        <w:t xml:space="preserve">Übertragbarkeit: </w:t>
      </w:r>
      <w:r>
        <w:rPr>
          <w:sz w:val="19"/>
        </w:rPr>
        <w:t>Frankreich, vergleichbare Dokumentation von Komorbiditäten und Funktionalität</w:t>
      </w:r>
    </w:p>
    <w:p>
      <w:r>
        <w:rPr>
          <w:color w:val="5A7D3A"/>
          <w:sz w:val="18"/>
        </w:rPr>
        <w:t>https://pubmed.ncbi.nlm.nih.gov/42621973/</w:t>
      </w:r>
    </w:p>
    <w:p>
      <w:pPr>
        <w:pStyle w:val="Heading2"/>
      </w:pPr>
      <w:r>
        <w:t>SMART-Youth: Longitudinale Kohortenstudie zu kardiovaskulären Risikofaktoren für subklinische Atherosklerose bei Kindern mit chronischen Erkrankungen</w:t>
      </w:r>
    </w:p>
    <w:p>
      <w:r>
        <w:rPr>
          <w:i/>
          <w:color w:val="666666"/>
          <w:sz w:val="18"/>
        </w:rPr>
        <w:t>van der Linden IA et al.  ·  BMJ Open  ·  13.08.2026  ·  PMID 42595358</w:t>
      </w:r>
    </w:p>
    <w:p>
      <w:r>
        <w:t>Prospektive longitudinale Kohortenstudie in niederländischem Universitätskrankenhaus (geplant n&gt;2000, 8–18 Jahre) zu krankheits- und lebensstilassoziierten kardiovaskulären Risikofaktoren für subklinische Atherosklerose bei Kindern mit diversen chronischen Erkrankungen (CF, JIA, CKD, IBD, angeborene Herzerkrankung etc.); Rekrutierung seit August 2024.</w:t>
      </w:r>
    </w:p>
    <w:p>
      <w:r>
        <w:rPr>
          <w:b/>
        </w:rPr>
        <w:t xml:space="preserve">Ergebnis: </w:t>
      </w:r>
      <w:r>
        <w:t>Baseline-Charakterisierung: Erfassung von Blutdruck, BMI, Lipiden, HbA1c, CRP; Messung von Karotis-Intima-Media-Dicke, Karotis-Distension und Karotis-Femoral-Pulswellen-Geschwindigkeit bei Baseline, 2-Jahr-Follow-up und Alter 17–18 Jahren. Primärer Fokus: langfristige Assoziationen zwischen kardiovaskulären Risikofaktoren und früher subklinischer Atherosklerose bei chronisch erkrankten Kindern zur Risikostratifizierung und Früherkennung.</w:t>
      </w:r>
    </w:p>
    <w:p>
      <w:r>
        <w:rPr>
          <w:b/>
          <w:sz w:val="19"/>
        </w:rPr>
        <w:t xml:space="preserve">Übertragbarkeit: </w:t>
      </w:r>
      <w:r>
        <w:rPr>
          <w:sz w:val="19"/>
        </w:rPr>
        <w:t>Niederlande, Universitätskrankenhaus in vergleichbarem System; Mehrfacherkrankungen-Fokus bei Kindern</w:t>
      </w:r>
    </w:p>
    <w:p>
      <w:r>
        <w:rPr>
          <w:color w:val="5A7D3A"/>
          <w:sz w:val="18"/>
        </w:rPr>
        <w:t>https://pubmed.ncbi.nlm.nih.gov/42595358/</w:t>
      </w:r>
    </w:p>
    <w:p>
      <w:pPr>
        <w:pStyle w:val="Heading1"/>
      </w:pPr>
      <w:r>
        <w:t>Aufgenommen am 21.08.2026</w:t>
      </w:r>
    </w:p>
    <w:p>
      <w:pPr>
        <w:pStyle w:val="Heading2"/>
      </w:pPr>
      <w:r>
        <w:t>Self-Management-Interventionen zeigen Verbesserung in Verhalten, aber nicht in Lebensqualität bei Mehrfacherkrankung</w:t>
      </w:r>
    </w:p>
    <w:p>
      <w:r>
        <w:rPr>
          <w:i/>
          <w:color w:val="666666"/>
          <w:sz w:val="18"/>
        </w:rPr>
        <w:t>Hopwood E et al.  ·  J Eval Clin Pract  ·  Aug. 2026  ·  PMID 42623506</w:t>
      </w:r>
    </w:p>
    <w:p>
      <w:r>
        <w:t>Systematische Übersicht von 28 Studien zu Wirksamkeit und Erfahrungen mit Self-Management-Interventionen für Erwachsene mit Mehrfacherkrankung (quantitativ und qualitativ).</w:t>
      </w:r>
    </w:p>
    <w:p>
      <w:r>
        <w:rPr>
          <w:b/>
        </w:rPr>
        <w:t xml:space="preserve">Ergebnis: </w:t>
      </w:r>
      <w:r>
        <w:t>Quantitative Evidenz zeigte bescheidene Verbesserungen in spezifischen Self-Management-Verhaltensweisen (gesundheitsorientierte Aktivitäten, Selbstmonitoring), aber wenig bis kein Effekt auf Lebensqualität oder psychologische Outcomes. Qualitative Befunde deuteten auf subjektive Verbesserungen in Lebensqualität und psychischer Gesundheit hin – Diskrepanz unterstreicht Bedarf nach validierten Mehrfacherkrankungs-spezifischen Outcome-Maßen.</w:t>
      </w:r>
    </w:p>
    <w:p>
      <w:r>
        <w:rPr>
          <w:b/>
          <w:sz w:val="19"/>
        </w:rPr>
        <w:t xml:space="preserve">Übertragbarkeit: </w:t>
      </w:r>
      <w:r>
        <w:rPr>
          <w:sz w:val="19"/>
        </w:rPr>
        <w:t>Internationale Evidenz, vorwiegend europäisch, direkt auf Primärversorgung übertragbar</w:t>
      </w:r>
    </w:p>
    <w:p>
      <w:r>
        <w:rPr>
          <w:color w:val="5A7D3A"/>
          <w:sz w:val="18"/>
        </w:rPr>
        <w:t>https://pubmed.ncbi.nlm.nih.gov/42623506/</w:t>
      </w:r>
    </w:p>
    <w:p>
      <w:pPr>
        <w:pStyle w:val="Heading2"/>
      </w:pPr>
      <w:r>
        <w:t>Digitales Multikomponent-Programm reduziert Angst und Depression bei Mehrfacherkrankung um 2,6–2,9 Punkte auf HADS</w:t>
      </w:r>
    </w:p>
    <w:p>
      <w:r>
        <w:rPr>
          <w:i/>
          <w:color w:val="666666"/>
          <w:sz w:val="18"/>
        </w:rPr>
        <w:t>Johnson E et al.  ·  PLoS Med  ·  20.08.2026  ·  PMID 42623335</w:t>
      </w:r>
    </w:p>
    <w:p>
      <w:r>
        <w:t>Dreiarmige randomisierte Studie (825 Patienten über 13 Länder, online durchgeführt 2023–2024) zu Effekt eines digitalen Programms mit oder ohne menschliche Unterstützung versus Warteliste bei Angst und Depression bei chronischen Erkrankungen.</w:t>
      </w:r>
    </w:p>
    <w:p>
      <w:r>
        <w:rPr>
          <w:b/>
        </w:rPr>
        <w:t xml:space="preserve">Ergebnis: </w:t>
      </w:r>
      <w:r>
        <w:t>Primärer Vergleich (eMPower + Human Support vs. Kontrolle): HADS-Gesamtscore verbesserte sich um 2,9 Punkte (95%-KI 2,0–3,8; p&lt;0,001). Self-directed eMPower zeigte ähnliche Verbesserung (2,6 Punkte; 95%-KI 1,8–3,5; p&lt;0,001); kein signifikanter Unterschied zwischen Interventionen. Verbesserungen auch bei Müdigkeit (MFIS) und Lebensqualität (SF-12, EQ-5D-5L). Keine unerwünschten Ereignisse berichtet.</w:t>
      </w:r>
    </w:p>
    <w:p>
      <w:r>
        <w:rPr>
          <w:b/>
          <w:sz w:val="19"/>
        </w:rPr>
        <w:t xml:space="preserve">Übertragbarkeit: </w:t>
      </w:r>
      <w:r>
        <w:rPr>
          <w:sz w:val="19"/>
        </w:rPr>
        <w:t>Internetbasiert, international, aber auf Mehrfacherkrankung generell bezogen, gute Übertragbarkeit</w:t>
      </w:r>
    </w:p>
    <w:p>
      <w:r>
        <w:rPr>
          <w:color w:val="5A7D3A"/>
          <w:sz w:val="18"/>
        </w:rPr>
        <w:t>https://pubmed.ncbi.nlm.nih.gov/42623335/</w:t>
      </w:r>
    </w:p>
    <w:p>
      <w:pPr>
        <w:pStyle w:val="Heading2"/>
      </w:pPr>
      <w:r>
        <w:t>Psychische Erkrankungen mit 1,85- bis 3,16-fach erhöhtem Risiko für systemische Mehrfacherkrankung bei jungen Frauen</w:t>
      </w:r>
    </w:p>
    <w:p>
      <w:r>
        <w:rPr>
          <w:i/>
          <w:color w:val="666666"/>
          <w:sz w:val="18"/>
        </w:rPr>
        <w:t>Halstead S et al.  ·  Lancet Psychiatry  ·  Sept. 2026  ·  PMID 42586082</w:t>
      </w:r>
    </w:p>
    <w:p>
      <w:r>
        <w:t>Kohortenstudie mit 30.189 Patienten mit Schizophrenie-Spektrum/bipolaren Störungen und 148.476 Kontrollen (Queensland, Australien, 2000–2023) zu Inzidenz und absoluten Unterschieden in systemischer Mehrfacherkrankung (Multiple Systeme betroffen).</w:t>
      </w:r>
    </w:p>
    <w:p>
      <w:r>
        <w:rPr>
          <w:b/>
        </w:rPr>
        <w:t xml:space="preserve">Ergebnis: </w:t>
      </w:r>
      <w:r>
        <w:t>Relative Inzidenz der Mehrfacherkrankung signifikant erhöht: mindestens ein System HR=1,85 (95%-KI 1,81–1,88), fünf Systeme HR=3,16 (95%-KI 3,01–3,30). Bei 20 Jahren absolute Cumulative-Incidence-Unterschiede: 9,79 zusätzliche Fälle pro 100 Personen (≥1 System), höchste Effekte bei Frauen &lt;25 Jahren (HR=9,24 für ≥5 Systeme; 95%-KI 7,30–11,71).</w:t>
      </w:r>
    </w:p>
    <w:p>
      <w:r>
        <w:rPr>
          <w:b/>
          <w:sz w:val="19"/>
        </w:rPr>
        <w:t xml:space="preserve">Übertragbarkeit: </w:t>
      </w:r>
      <w:r>
        <w:rPr>
          <w:sz w:val="19"/>
        </w:rPr>
        <w:t>Australien (vergleichbar mit Mittelsystemländern), großes Register, aber klinisches Risikoprofil generell übertragbar</w:t>
      </w:r>
    </w:p>
    <w:p>
      <w:r>
        <w:rPr>
          <w:color w:val="5A7D3A"/>
          <w:sz w:val="18"/>
        </w:rPr>
        <w:t>https://pubmed.ncbi.nlm.nih.gov/42586082/</w:t>
      </w:r>
    </w:p>
    <w:p>
      <w:pPr>
        <w:pStyle w:val="Heading1"/>
      </w:pPr>
      <w:r>
        <w:t>Aufgenommen am 20.08.2026</w:t>
      </w:r>
    </w:p>
    <w:p>
      <w:pPr>
        <w:pStyle w:val="Heading2"/>
      </w:pPr>
      <w:r>
        <w:t>COPD mit Typ-2-Entzündung und Exazerbationen trotz Dreifachtherapie – 3-fach höhere Kosten und Hospitalisierungsrate</w:t>
      </w:r>
    </w:p>
    <w:p>
      <w:r>
        <w:rPr>
          <w:i/>
          <w:color w:val="666666"/>
          <w:sz w:val="18"/>
        </w:rPr>
        <w:t>Narendra DK et al.  ·  Int J Chron Obstruct Pulmon Dis  ·  13.08.2026  ·  PMID 42609821</w:t>
      </w:r>
    </w:p>
    <w:p>
      <w:r>
        <w:t>Retrospektive Analyse der Optum-Datenbank (über 28 Millionen Versicherte, USA) zu Exazerbationen und Versorgungslast bei COPD-Patienten mit Typ-2-Entzündung (erhöhte Eosinophile) und Exazerbationshistorie trotz Dreifachtherapie.</w:t>
      </w:r>
    </w:p>
    <w:p>
      <w:r>
        <w:rPr>
          <w:b/>
        </w:rPr>
        <w:t xml:space="preserve">Ergebnis: </w:t>
      </w:r>
      <w:r>
        <w:t>Bei 13.840 Patienten (6.389 mit Exazerbationen und Eosinophile ≥150 Zellen/μL): durchschnittlich 1,58 COPD-Exazerbationen/Jahr vs. 0,52 in der Kontrollgruppe; um ~6.700 USD höhere jährliche Kosten; höhere Notaufnahme- und Hospitalisierungsraten trotz optimierter medikamentöser Therapie. Ungedeckter Versorgungsbedarf.</w:t>
      </w:r>
    </w:p>
    <w:p>
      <w:r>
        <w:rPr>
          <w:b/>
          <w:sz w:val="19"/>
        </w:rPr>
        <w:t xml:space="preserve">Übertragbarkeit: </w:t>
      </w:r>
      <w:r>
        <w:rPr>
          <w:sz w:val="19"/>
        </w:rPr>
        <w:t>USA-Daten; Effektivitätsbefund (Exazerbationslast trotz optimaler medikamentöser Versorgung) übertragbar auf Deutschland.</w:t>
      </w:r>
    </w:p>
    <w:p>
      <w:r>
        <w:rPr>
          <w:color w:val="5A7D3A"/>
          <w:sz w:val="18"/>
        </w:rPr>
        <w:t>https://pubmed.ncbi.nlm.nih.gov/42609821/</w:t>
      </w:r>
    </w:p>
    <w:p>
      <w:pPr>
        <w:pStyle w:val="Heading2"/>
      </w:pPr>
      <w:r>
        <w:t>Cluster-Analyse identifiziert sechs Subtypen hochgradig multimorbider Patienten für gezielte Interventionen im englischen Gesundheitssystem</w:t>
      </w:r>
    </w:p>
    <w:p>
      <w:r>
        <w:rPr>
          <w:i/>
          <w:color w:val="666666"/>
          <w:sz w:val="18"/>
        </w:rPr>
        <w:t>Wood RM et al.  ·  Health Care Manag Sci  ·  07.08.2026  ·  PMID 42566017</w:t>
      </w:r>
    </w:p>
    <w:p>
      <w:r>
        <w:t>Clusteranalyse von 19.520 Hochmorbidität-Patienten (top 3% von 1 Million Versicherten, &gt;1/5 der Kosten) in Bristol, um heterogene Subgruppen und entsprechende Versorgungsziele zu definieren.</w:t>
      </w:r>
    </w:p>
    <w:p>
      <w:r>
        <w:rPr>
          <w:b/>
        </w:rPr>
        <w:t xml:space="preserve">Ergebnis: </w:t>
      </w:r>
      <w:r>
        <w:t>Sechs Cluster identifiziert: Ältere ohne Demenz (n=1.243); Krebs (n=1.055); Jünger/komplex (n=2.199); Atemwege (n=4.743); Kardiovaskulär (n=6.140); Demenz (n=4.579). Jeder Cluster erhielt wertbasierte Versorgungsziele und spezifische klinische Managemententscheidungen. Heterogenität innerhalb der Hochmorbidität erfordert maßgeschneiderte Interventionen.</w:t>
      </w:r>
    </w:p>
    <w:p>
      <w:r>
        <w:rPr>
          <w:b/>
          <w:sz w:val="19"/>
        </w:rPr>
        <w:t xml:space="preserve">Übertragbarkeit: </w:t>
      </w:r>
      <w:r>
        <w:rPr>
          <w:sz w:val="19"/>
        </w:rPr>
        <w:t>Vereinigtes Königreich, NHS-Struktur, ähnliche Versorgungsmotivation.</w:t>
      </w:r>
    </w:p>
    <w:p>
      <w:r>
        <w:rPr>
          <w:color w:val="5A7D3A"/>
          <w:sz w:val="18"/>
        </w:rPr>
        <w:t>https://pubmed.ncbi.nlm.nih.gov/42566017/</w:t>
      </w:r>
    </w:p>
    <w:p>
      <w:pPr>
        <w:pStyle w:val="Heading2"/>
      </w:pPr>
      <w:r>
        <w:t>Capability Cards unterstützen personzentrierte Gespräche bei Mehrfacherkrankungen in spanischer Primärversorgung – validiert</w:t>
      </w:r>
    </w:p>
    <w:p>
      <w:r>
        <w:rPr>
          <w:i/>
          <w:color w:val="666666"/>
          <w:sz w:val="18"/>
        </w:rPr>
        <w:t>Llubes-Arrià L et al.  ·  Prim Health Care Res Dev  ·  06.08.2026  ·  PMID 42559972</w:t>
      </w:r>
    </w:p>
    <w:p>
      <w:r>
        <w:t>Methodische Validierungsstudie der spanischen Übersetzung und kulturellen Anpassung der Capability Cards als Werkzeug für Patienten mit Mehrfacherkrankung in spanischen Gemeinschaftspraxen.</w:t>
      </w:r>
    </w:p>
    <w:p>
      <w:r>
        <w:rPr>
          <w:b/>
        </w:rPr>
        <w:t xml:space="preserve">Ergebnis: </w:t>
      </w:r>
      <w:r>
        <w:t>Hohe inhaltsliche Validität in allen Gruppen (Content Validity Index: Experten 0,88; Fachkräfte 0,96; Zielpopulation 0,98); ausgezeichnete Usability (System Usability Scale). Capability Cards zeigten starke kulturelle Angemessenheit und Eignung für strukturierte, personzentrierte Gespräche zur Förderung von Empowerment und partizipatorischer Versorgung bei Mehrfacherkrankung.</w:t>
      </w:r>
    </w:p>
    <w:p>
      <w:r>
        <w:rPr>
          <w:b/>
          <w:sz w:val="19"/>
        </w:rPr>
        <w:t xml:space="preserve">Übertragbarkeit: </w:t>
      </w:r>
      <w:r>
        <w:rPr>
          <w:sz w:val="19"/>
        </w:rPr>
        <w:t>Spanien, ambulante Primärversorgung ähnlich Deutschland.</w:t>
      </w:r>
    </w:p>
    <w:p>
      <w:r>
        <w:rPr>
          <w:color w:val="5A7D3A"/>
          <w:sz w:val="18"/>
        </w:rPr>
        <w:t>https://pubmed.ncbi.nlm.nih.gov/42559972/</w:t>
      </w:r>
    </w:p>
    <w:p>
      <w:pPr>
        <w:pStyle w:val="Heading1"/>
      </w:pPr>
      <w:r>
        <w:t>Aufgenommen am 19.08.2026</w:t>
      </w:r>
    </w:p>
    <w:p>
      <w:pPr>
        <w:pStyle w:val="Heading2"/>
      </w:pPr>
      <w:r>
        <w:t>Hybrid-Versorgung für COPD-Patienten mit hohem Risiko: Pflegeleitung, Personalisierung und digitale Unterstützung zeigen Machbarkeit</w:t>
      </w:r>
    </w:p>
    <w:p>
      <w:r>
        <w:rPr>
          <w:i/>
          <w:color w:val="666666"/>
          <w:sz w:val="18"/>
        </w:rPr>
        <w:t>Gómez-López A et al.  ·  J Med Internet Res  ·  18.08.2026  ·  PMID 42612086</w:t>
      </w:r>
    </w:p>
    <w:p>
      <w:r>
        <w:t>Co-Design-Studie in Barcelona mit vier PDSA-Zyklen zur Operationalisierung einer Hybrid-Care-Intervention (Pflege vor Ort, Personalisierung, digitale Unterstützung) für Patienten mit COPD, Asthma und Bronchiektasen bei exazerbierter und stabiler Erkrankung.</w:t>
      </w:r>
    </w:p>
    <w:p>
      <w:r>
        <w:rPr>
          <w:b/>
        </w:rPr>
        <w:t xml:space="preserve">Ergebnis: </w:t>
      </w:r>
      <w:r>
        <w:t>Am Ende PDSA-3 (August 2025) wurde Operationalisierung dreier Kernkomponenten erreicht: (1) Nurse-Led-Versorgung vor Ort, (2) Personalisierung der Intervention, (3) fortgeschrittene digitale Unterstützung. Konsens unter allen Stakeholdern zu Anwendbarkeit im klinisch stabilen und exazerbiertem Zustand sowie zu kurzfristiger Implementierungs- und nachhaltiger Übernahmestrategie.</w:t>
      </w:r>
    </w:p>
    <w:p>
      <w:r>
        <w:rPr>
          <w:b/>
          <w:sz w:val="19"/>
        </w:rPr>
        <w:t xml:space="preserve">Übertragbarkeit: </w:t>
      </w:r>
      <w:r>
        <w:rPr>
          <w:sz w:val="19"/>
        </w:rPr>
        <w:t>Spanien, katalanisches Gesundheitssystem – Erkenntnisse zur Integration digitaler Tools in koordinierte Versorgung relevant</w:t>
      </w:r>
    </w:p>
    <w:p>
      <w:r>
        <w:rPr>
          <w:color w:val="5A7D3A"/>
          <w:sz w:val="18"/>
        </w:rPr>
        <w:t>https://pubmed.ncbi.nlm.nih.gov/42612086/</w:t>
      </w:r>
    </w:p>
    <w:p>
      <w:pPr>
        <w:pStyle w:val="Heading2"/>
      </w:pPr>
      <w:r>
        <w:t>Patienten mit eosinophiler COPD und Exazerbationen haben hohes Hospitalisierungs- und Kostenrisiko trotz Dreifachtherapie</w:t>
      </w:r>
    </w:p>
    <w:p>
      <w:r>
        <w:rPr>
          <w:i/>
          <w:color w:val="666666"/>
          <w:sz w:val="18"/>
        </w:rPr>
        <w:t>Di Giorgi N et al.  ·  Int J Chron Obstruct Pulmon Dis  ·  13.08.2026  ·  PMID 42609817</w:t>
      </w:r>
    </w:p>
    <w:p>
      <w:r>
        <w:t>Reale-Welt-Datenanalyse von 3.279 COPD-Patienten in einem italienischen Tertiärkrankenhaus zur Identifikation von Patienten mit erhöhten Eosinophilen, die für zielgerichtete biologische Therapien (Dupilumab) infrage kommen.</w:t>
      </w:r>
    </w:p>
    <w:p>
      <w:r>
        <w:rPr>
          <w:b/>
        </w:rPr>
        <w:t xml:space="preserve">Ergebnis: </w:t>
      </w:r>
      <w:r>
        <w:t>Unter 224 Patienten mit Exazerbationen unter Dreifachtherapie hatten 87 (38,8 %) mindestens eine Eosinophilenzahl ≥300 Zellen/µL (Median-Messwerte 210 [IQR 130–335] Zellen/µL). Patienten mit EOS ≥300 gegenüber &lt;300: höhere Krankenhausaufnahmen (23,0 % vs. 12,2 %; p=0,005), größere Komorbiditätslast (71,3 % kardiovaskulär, 59,8 % metabolisch), numerisch höhere Gesamtsterblichkeit (19,5 % vs. 13,0 %, nicht signifikant), mehr jährliche Kontakte (4,5 vs. 3,0; p&lt;0,001).</w:t>
      </w:r>
    </w:p>
    <w:p>
      <w:r>
        <w:rPr>
          <w:b/>
          <w:sz w:val="19"/>
        </w:rPr>
        <w:t xml:space="preserve">Übertragbarkeit: </w:t>
      </w:r>
      <w:r>
        <w:rPr>
          <w:sz w:val="19"/>
        </w:rPr>
        <w:t>Italien, vergleichbares europäisches Krankenversicherungssystem; Eosinophil-Monitoring zur Therapiesteuerung</w:t>
      </w:r>
    </w:p>
    <w:p>
      <w:r>
        <w:rPr>
          <w:color w:val="5A7D3A"/>
          <w:sz w:val="18"/>
        </w:rPr>
        <w:t>https://pubmed.ncbi.nlm.nih.gov/42609817/</w:t>
      </w:r>
    </w:p>
    <w:p>
      <w:pPr>
        <w:pStyle w:val="Heading2"/>
      </w:pPr>
      <w:r>
        <w:t>Strukturierte Transitionsversorgung erhöht Übergangsbereitschaft junger Erwachsener mit chronischen Erkrankungen (COCCOS-Protokoll)</w:t>
      </w:r>
    </w:p>
    <w:p>
      <w:r>
        <w:rPr>
          <w:i/>
          <w:color w:val="666666"/>
          <w:sz w:val="18"/>
        </w:rPr>
        <w:t>Van Wilder L et al.  ·  PLoS One  ·  17.08.2026  ·  PMID 42607051</w:t>
      </w:r>
    </w:p>
    <w:p>
      <w:r>
        <w:t>Protokoll einer quasi-experimentellen Studie zur Evaluation eines co-gestalteten Übergangsprogramms von Kindermedizin zu Erwachsenenmedizin bei Patienten mit Typ-1-Diabetes, Asthma oder Adipositas in Belgien.</w:t>
      </w:r>
    </w:p>
    <w:p>
      <w:r>
        <w:rPr>
          <w:b/>
        </w:rPr>
        <w:t xml:space="preserve">Ergebnis: </w:t>
      </w:r>
      <w:r>
        <w:t>Ziel ist Test von vier strukturierten Konsultationen über 13–16 Monate. Primäres Outcome: Transition Readiness Assessment Questionnaire. Sekundäroutcomes: Patient Empowerment, Therapietreue, gesundheitsbezogene Lebensqualität, psychische Gesundheit. Kosteneffektivität aus Payer-Perspektive mit Quality-Adjusted Life Years gemessen. Mixed-Methods-Prozessevaluationen geplant. Im Stadium PDSA-3 (August 2025); Ergebnisse erwartet 2027.</w:t>
      </w:r>
    </w:p>
    <w:p>
      <w:r>
        <w:rPr>
          <w:b/>
          <w:sz w:val="19"/>
        </w:rPr>
        <w:t xml:space="preserve">Übertragbarkeit: </w:t>
      </w:r>
      <w:r>
        <w:rPr>
          <w:sz w:val="19"/>
        </w:rPr>
        <w:t>Belgien, ähnliche Versicherungssysteme und Versorgungspfade wie deutschsprachiger Raum</w:t>
      </w:r>
    </w:p>
    <w:p>
      <w:r>
        <w:rPr>
          <w:color w:val="5A7D3A"/>
          <w:sz w:val="18"/>
        </w:rPr>
        <w:t>https://pubmed.ncbi.nlm.nih.gov/42607051/</w:t>
      </w:r>
    </w:p>
    <w:p>
      <w:pPr>
        <w:pStyle w:val="Heading2"/>
      </w:pPr>
      <w:r>
        <w:t>Mehrfacherkrankung im Alter erhöht Gesamt-Versorgungsausgaben um 11,6 %; sozioökonomische Ungleichheiten verstärken den Effekt</w:t>
      </w:r>
    </w:p>
    <w:p>
      <w:r>
        <w:rPr>
          <w:i/>
          <w:color w:val="666666"/>
          <w:sz w:val="18"/>
        </w:rPr>
        <w:t>Doheny M et al.  ·  BMJ Open  ·  14.08.2026  ·  PMID 42601104</w:t>
      </w:r>
    </w:p>
    <w:p>
      <w:r>
        <w:t>Querschnittsuntersuchung von 371.583 Personen ≥65 Jahre in Region Stockholm zur Prävalenz und Kostenfolgen von Mehrfacherkrankung.</w:t>
      </w:r>
    </w:p>
    <w:p>
      <w:r>
        <w:rPr>
          <w:b/>
        </w:rPr>
        <w:t xml:space="preserve">Ergebnis: </w:t>
      </w:r>
      <w:r>
        <w:t>Mehrfacherkrankung bei 62,6 % der älteren Erwachsenen. Mit ≥4 Erkrankungen stiegen die Durchschnittsausgaben auf 143.063 SEK (gegenüber 34.346 SEK ohne Erkrankung). Multimorbidität assoziiert mit 11,6 % höheren Gesamtausgaben (Cost Ratio 1,116, KI 1,114–1,118). Tiefste Einkommensgruppe zeigte 3,8 % höhere Ausgaben als höchste Gruppe. Soziale Pflegeausgaben überstiegen ab Alter 80 Jahren die Gesundheitsausgaben.</w:t>
      </w:r>
    </w:p>
    <w:p>
      <w:r>
        <w:rPr>
          <w:b/>
          <w:sz w:val="19"/>
        </w:rPr>
        <w:t xml:space="preserve">Übertragbarkeit: </w:t>
      </w:r>
      <w:r>
        <w:rPr>
          <w:sz w:val="19"/>
        </w:rPr>
        <w:t>Schweden, vergleichbares öffentliches Versicherungssystem und Dokumentation wie Deutschland</w:t>
      </w:r>
    </w:p>
    <w:p>
      <w:r>
        <w:rPr>
          <w:color w:val="5A7D3A"/>
          <w:sz w:val="18"/>
        </w:rPr>
        <w:t>https://pubmed.ncbi.nlm.nih.gov/42601104/</w:t>
      </w:r>
    </w:p>
    <w:p>
      <w:pPr>
        <w:pStyle w:val="Heading2"/>
      </w:pPr>
      <w:r>
        <w:t>Pertussis-Hospitalisierungen bei chronischen Erkrankungen: Hochrisiko-Gruppen und Präventionsbedarf in Frankreich</w:t>
      </w:r>
    </w:p>
    <w:p>
      <w:r>
        <w:rPr>
          <w:i/>
          <w:color w:val="666666"/>
          <w:sz w:val="18"/>
        </w:rPr>
        <w:t>Vargas-Zambrano JC et al.  ·  Euro Surveill  ·  Aug. 2026  ·  PMID 42596896</w:t>
      </w:r>
    </w:p>
    <w:p>
      <w:r>
        <w:t>Retrospektive Analyse von 10.893 Patienten mit Keuchhusten-Hospitalisierungen 2008–2020 in Frankreich nach Präsenz chronischer Grunderkrankungen (Asthma, COPD, Diabetes, Immunsuppression).</w:t>
      </w:r>
    </w:p>
    <w:p>
      <w:r>
        <w:rPr>
          <w:b/>
        </w:rPr>
        <w:t xml:space="preserve">Ergebnis: </w:t>
      </w:r>
      <w:r>
        <w:t>Bei Kindern/Jugendlichen (n=7.212): 17,5 % mit Asthma, 0,9 % mit Immunsuppression. Höchste kumulierte Inzidenzrate bei Immunsuppression (adjustiert CIR 3,6; KI 2,8–4,6). Bei Erwachsenen (n=3.681): 62,4 % mit Asthma/COPD, 16,1 % immunsupprimiert, 12,3 % mit Diabetes. Höchste CIR bei Asthma/COPD (18,6; KI 17,4–19,9). Medianhosp.-kosten für Immunsupprimierte 4.401 EUR. Keine signifikanten Änderungen der Ressourcennutzung vor/nach Hospitalisierung bei Erwachsenen.</w:t>
      </w:r>
    </w:p>
    <w:p>
      <w:r>
        <w:rPr>
          <w:b/>
          <w:sz w:val="19"/>
        </w:rPr>
        <w:t xml:space="preserve">Übertragbarkeit: </w:t>
      </w:r>
      <w:r>
        <w:rPr>
          <w:sz w:val="19"/>
        </w:rPr>
        <w:t>Frankreich, französisches Gesundheitssystem und Krankenversicherungsdaten wie Deutschland</w:t>
      </w:r>
    </w:p>
    <w:p>
      <w:r>
        <w:rPr>
          <w:color w:val="5A7D3A"/>
          <w:sz w:val="18"/>
        </w:rPr>
        <w:t>https://pubmed.ncbi.nlm.nih.gov/42596896/</w:t>
      </w:r>
    </w:p>
    <w:p>
      <w:pPr>
        <w:pStyle w:val="Heading2"/>
      </w:pPr>
      <w:r>
        <w:t>Verzögerte Palliativversorgung in Primärversorgung treibt vermeidbare Notfallabteilungsbesuche bei älteren Menschen mit Mehrfacherkrankung</w:t>
      </w:r>
    </w:p>
    <w:p>
      <w:r>
        <w:rPr>
          <w:i/>
          <w:color w:val="666666"/>
          <w:sz w:val="18"/>
        </w:rPr>
        <w:t>Bring H et al.  ·  Scand J Prim Health Care  ·  12.08.2026  ·  PMID 42583708</w:t>
      </w:r>
    </w:p>
    <w:p>
      <w:r>
        <w:t>Qualitative Befragung von 100 Fachleuten (Ärzte, Pflegekräfte) über Gründe für Notfallabteilungsbesuche bei älteren Patienten mit Mehrfacherkrankung und Palliativbedarf in Stockholm.</w:t>
      </w:r>
    </w:p>
    <w:p>
      <w:r>
        <w:rPr>
          <w:b/>
        </w:rPr>
        <w:t xml:space="preserve">Ergebnis: </w:t>
      </w:r>
      <w:r>
        <w:t>Übergeordnetes Thema: ‚Verzögerte, fragmentierte Palliativversorgung trägt zu ED-Besuchen bei'. Zwei Kategorien identifiziert: (1) Palliativbeschlüsse in Primärversorgung (Erkennen von Bedarf, Initiierung, Einbeziehung von Patienten/Familien); (2) Versorgung zu Hause (Planung, Symptommanagement, Informationstransfer). Fachleute berichteten, dass fehlende Vorlaufplanung zu krisenhaften ED-Besuchen führt, die Patientenwünschen widersprechen.</w:t>
      </w:r>
    </w:p>
    <w:p>
      <w:r>
        <w:rPr>
          <w:b/>
          <w:sz w:val="19"/>
        </w:rPr>
        <w:t xml:space="preserve">Übertragbarkeit: </w:t>
      </w:r>
      <w:r>
        <w:rPr>
          <w:sz w:val="19"/>
        </w:rPr>
        <w:t>Schweden, vergleichbare Primärversorgungsstruktur und Palliativstandards mit Deutschland/DACH</w:t>
      </w:r>
    </w:p>
    <w:p>
      <w:r>
        <w:rPr>
          <w:color w:val="5A7D3A"/>
          <w:sz w:val="18"/>
        </w:rPr>
        <w:t>https://pubmed.ncbi.nlm.nih.gov/42583708/</w:t>
      </w:r>
    </w:p>
    <w:p>
      <w:pPr>
        <w:pStyle w:val="Heading2"/>
      </w:pPr>
      <w:r>
        <w:t>Polypharmazie konzentriert sich auf ältere, multimorbide und sozioökonomisch benachteiligte Personen – Versorgungsmuster in Spanien</w:t>
      </w:r>
    </w:p>
    <w:p>
      <w:r>
        <w:rPr>
          <w:i/>
          <w:color w:val="666666"/>
          <w:sz w:val="18"/>
        </w:rPr>
        <w:t>Aparicio-Rodriguez G et al.  ·  Front Public Health  ·  16.07.2026  ·  PMID 42535037</w:t>
      </w:r>
    </w:p>
    <w:p>
      <w:r>
        <w:t>Querschnittsstudie von 33.534 Personen mit Polypharmazie (≥5 verschiedene ATC4-Medikamentengruppen) in La Rioja, Spanien, zu Verteilung nach Alter, Geschlecht und sozioökonomischem Status.</w:t>
      </w:r>
    </w:p>
    <w:p>
      <w:r>
        <w:rPr>
          <w:b/>
        </w:rPr>
        <w:t xml:space="preserve">Ergebnis: </w:t>
      </w:r>
      <w:r>
        <w:t>Mittlere Medikamentenbelastung 7,07 Gruppen (SD 2,17); 58,4 % erhielten 6–9 Gruppen. 71,8 % gehörten zur unteren Einkommensgruppe, die höchsten Belastungen (≥10 Gruppen) zeigten 14,9 % der Armen gegen 8,0–9,2 % der mittleren und höheren Gruppen. Chronische Grunderkrankungen (Herzinsuffizienz, Nierenkrankheit, Gefäßerkrankung) stark assoziiert mit höherer Medikamentenbelastung.</w:t>
      </w:r>
    </w:p>
    <w:p>
      <w:r>
        <w:rPr>
          <w:b/>
          <w:sz w:val="19"/>
        </w:rPr>
        <w:t xml:space="preserve">Übertragbarkeit: </w:t>
      </w:r>
      <w:r>
        <w:rPr>
          <w:sz w:val="19"/>
        </w:rPr>
        <w:t>Spanien, deutschsprachiger Raum – Datenquellen aus öffentlich finanzierter Versorgung</w:t>
      </w:r>
    </w:p>
    <w:p>
      <w:r>
        <w:rPr>
          <w:color w:val="5A7D3A"/>
          <w:sz w:val="18"/>
        </w:rPr>
        <w:t>https://pubmed.ncbi.nlm.nih.gov/42535037/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NCD und chronische Krankheiten</dc:title>
  <dc:subject/>
  <dc:creator>Monitor Versorgungsforschung</dc:creator>
  <cp:keywords/>
  <dc:description>generated by python-docx</dc:description>
  <cp:lastModifiedBy/>
  <cp:revision>1</cp:revision>
  <dcterms:created xsi:type="dcterms:W3CDTF">2026-10-17T06:00:00Z</dcterms:created>
  <dcterms:modified xsi:type="dcterms:W3CDTF">2026-10-17T06:00:00Z</dcterms:modified>
  <cp:category/>
</cp:coreProperties>
</file>