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22.08.2026  |  2 Studien  |  ncd.m-vf.de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HAQ-DI-basierte Screening identifiziert Hochrisiko-Phänotyp mit funktioneller Behinderung in COPD</w:t>
      </w:r>
    </w:p>
    <w:p>
      <w:r>
        <w:rPr>
          <w:i/>
          <w:color w:val="666666"/>
          <w:sz w:val="18"/>
        </w:rPr>
        <w:t>Rogier J et al.  ·  Int J Chron Obstruct Pulmon Dis  ·  15.08.2026  ·  PMID 42621973</w:t>
      </w:r>
    </w:p>
    <w:p>
      <w:r>
        <w:t>Französische Kohortenstudie (n=117) der funktionalen Behinderung bei COPD-Patienten mittels Health Assessment Questionnaire – Disability Index (HAQ-DI) in Relation zu Krankheitsschwere und Krankheitslast.</w:t>
      </w:r>
    </w:p>
    <w:p>
      <w:r>
        <w:rPr>
          <w:b/>
        </w:rPr>
        <w:t xml:space="preserve">Ergebnis: </w:t>
      </w:r>
      <w:r>
        <w:t>Patienten mit COPD GOLD 3–4 zeigten höhere HAQ-DI-Werte als GOLD 1–2 (0,50 vs. 0,25, p=0,015); 20 Patienten (17,1%) erfüllten Kriterien für "Hochfunktionelle Behinderung" (HAQ-DI ≥1) mit ungünstigeren Prognose-Markern; HAQ-DI korrelierte mit Exazerbationen, Dyspnoe und Krankheitslast (alle p&lt;0,001). HAQ-DI ist ein praktisches Screening-Instrument zur Identifizierung von Patienten mit hohem funktionellem Risiko, die von Rehabilitations- und psychologischem Support profitieren könnten.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Dokumentation von Komorbiditäten und Funktionalität</w:t>
      </w:r>
    </w:p>
    <w:p>
      <w:r>
        <w:rPr>
          <w:color w:val="5A7D3A"/>
          <w:sz w:val="18"/>
        </w:rPr>
        <w:t>https://pubmed.ncbi.nlm.nih.gov/42621973/</w:t>
      </w:r>
    </w:p>
    <w:p>
      <w:pPr>
        <w:pStyle w:val="Heading2"/>
      </w:pPr>
      <w:r>
        <w:t>SMART-Youth: Longitudinale Kohortenstudie zu kardiovaskulären Risikofaktoren für subklinische Atherosklerose bei Kindern mit chronischen Erkrankungen</w:t>
      </w:r>
    </w:p>
    <w:p>
      <w:r>
        <w:rPr>
          <w:i/>
          <w:color w:val="666666"/>
          <w:sz w:val="18"/>
        </w:rPr>
        <w:t>van der Linden IA et al.  ·  BMJ Open  ·  13.08.2026  ·  PMID 42595358</w:t>
      </w:r>
    </w:p>
    <w:p>
      <w:r>
        <w:t>Prospektive longitudinale Kohortenstudie in niederländischem Universitätskrankenhaus (geplant n&gt;2000, 8–18 Jahre) zu krankheits- und lebensstilassoziierten kardiovaskulären Risikofaktoren für subklinische Atherosklerose bei Kindern mit diversen chronischen Erkrankungen (CF, JIA, CKD, IBD, angeborene Herzerkrankung etc.); Rekrutierung seit August 2024.</w:t>
      </w:r>
    </w:p>
    <w:p>
      <w:r>
        <w:rPr>
          <w:b/>
        </w:rPr>
        <w:t xml:space="preserve">Ergebnis: </w:t>
      </w:r>
      <w:r>
        <w:t>Baseline-Charakterisierung: Erfassung von Blutdruck, BMI, Lipiden, HbA1c, CRP; Messung von Karotis-Intima-Media-Dicke, Karotis-Distension und Karotis-Femoral-Pulswellen-Geschwindigkeit bei Baseline, 2-Jahr-Follow-up und Alter 17–18 Jahren. Primärer Fokus: langfristige Assoziationen zwischen kardiovaskulären Risikofaktoren und früher subklinischer Atherosklerose bei chronisch erkrankten Kindern zur Risikostratifizierung und Früherkennung.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Universitätskrankenhaus in vergleichbarem System; Mehrfacherkrankungen-Fokus bei Kindern</w:t>
      </w:r>
    </w:p>
    <w:p>
      <w:r>
        <w:rPr>
          <w:color w:val="5A7D3A"/>
          <w:sz w:val="18"/>
        </w:rPr>
        <w:t>https://pubmed.ncbi.nlm.nih.gov/42595358/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2026-08-22T06:00:00Z</dcterms:created>
  <dcterms:modified xsi:type="dcterms:W3CDTF">2026-08-22T06:00:00Z</dcterms:modified>
  <cp:category/>
</cp:coreProperties>
</file>