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NCD und chronische Krankheiten</w:t>
      </w:r>
    </w:p>
    <w:p>
      <w:r>
        <w:rPr>
          <w:i/>
          <w:color w:val="666666"/>
          <w:sz w:val="18"/>
        </w:rPr>
        <w:t>Stand: 30.10.2026  |  5 Studien  |  ncd.m-vf.de</w:t>
      </w:r>
    </w:p>
    <w:p>
      <w:pPr>
        <w:pStyle w:val="Heading1"/>
      </w:pPr>
      <w:r>
        <w:t>Aufgenommen am 30.10.2026</w:t>
      </w:r>
    </w:p>
    <w:p>
      <w:pPr>
        <w:pStyle w:val="Heading2"/>
      </w:pPr>
      <w:r>
        <w:t>SGLT2-Inhibitoren: Formularbehinderungen für Herzinsuffizienz und Niere sind gering, Zugang aber nicht flächendeckend</w:t>
      </w:r>
    </w:p>
    <w:p>
      <w:r>
        <w:rPr>
          <w:i/>
          <w:color w:val="666666"/>
          <w:sz w:val="18"/>
        </w:rPr>
        <w:t>Jain V et al.  ·  Endocrine  ·  29.10.2026  ·  PMID 42955528</w:t>
      </w:r>
    </w:p>
    <w:p>
      <w:r>
        <w:t>US-Analyse von Medicare-Part-D-Formularen 2019–2026 untersucht, ob Versicherungsrestriktionen die Unternutzung von SGLT2-Inhibitoren bei Herzinsuffizienz und Nierenerkrankung erklären.</w:t>
      </w:r>
    </w:p>
    <w:p>
      <w:r>
        <w:rPr>
          <w:b/>
        </w:rPr>
        <w:t xml:space="preserve">Ergebnis: </w:t>
      </w:r>
      <w:r>
        <w:t>Prior Authorization &lt;1,6 % über alle Jahre, ≥98 % Formulare boten mind. einen PA-freien SGLT2i. Step-Therapy 2025 auf null, 2026 Rebound auf Empagliflozin (18,18 %), aber nicht bei Dapagliflozin (1,21 %). Canagliflozin-Abdeckung fiel von 58,3 % (2019) auf 5,8 % (2026). Für CKD-Indikation: nur 5,8 % Formulare bieten zwei step-freie Optionen. Formularehinderungen sind nicht die Hauptbarriere; Fokus sollte auf Kliniker- und Systemfaktoren liegen.</w:t>
      </w:r>
    </w:p>
    <w:p>
      <w:r>
        <w:rPr>
          <w:b/>
          <w:sz w:val="19"/>
        </w:rPr>
        <w:t xml:space="preserve">Übertragbarkeit: </w:t>
      </w:r>
      <w:r>
        <w:rPr>
          <w:sz w:val="19"/>
        </w:rPr>
        <w:t>USA, Medicare-Finanzierung; Formularbehinderungen weniger relevant als Verschreibungsmuster—Befund unabhängig von Versicherungssystem.</w:t>
      </w:r>
    </w:p>
    <w:p>
      <w:r>
        <w:rPr>
          <w:color w:val="5A7D3A"/>
          <w:sz w:val="18"/>
        </w:rPr>
        <w:t>https://pubmed.ncbi.nlm.nih.gov/42955528/</w:t>
      </w:r>
    </w:p>
    <w:p>
      <w:pPr>
        <w:pStyle w:val="Heading2"/>
      </w:pPr>
      <w:r>
        <w:t>Patientenzentrierte Versorgung mit visuellen Werkzeugen stärkt Vertrauen bei chronischen Erkrankungen und niedriger Sozialschicht</w:t>
      </w:r>
    </w:p>
    <w:p>
      <w:r>
        <w:rPr>
          <w:i/>
          <w:color w:val="666666"/>
          <w:sz w:val="18"/>
        </w:rPr>
        <w:t>van Bommel HE et al.  ·  Scand J Prim Health Care  ·  29.10.2026  ·  PMID 42954940</w:t>
      </w:r>
    </w:p>
    <w:p>
      <w:r>
        <w:t>Niederländische Qualitativstudie mit 18 Patienten, 2 Ärzten und 12 Praxiskrankenschwestern evaluiert eine neu entwickelte, personenzentrierte Versorgungsstrategie mit visuellen Hilfsmitteln für Menschen mit chronischen Erkrankungen und niedriger Sozialökonomie.</w:t>
      </w:r>
    </w:p>
    <w:p>
      <w:r>
        <w:rPr>
          <w:b/>
        </w:rPr>
        <w:t xml:space="preserve">Ergebnis: </w:t>
      </w:r>
      <w:r>
        <w:t>Ärzte und Praxiskrankenschwestern berichten höhere Berufszufriedenheit und wahrgenommenes Vertrauen der Patienten. Das visuelle Werkzeug unterstützte Dialog und Verständnis komplexer sozialer Bedürfnisse. Patienten schätzten, als Individuen wahrgenommen zu werden, aber bemerkten begrenzte Veränderungen in der Versorgung. Bedarf erkannt: stärkere interdisziplinäre Zusammenarbeit mit Sozialhilfe.</w:t>
      </w:r>
    </w:p>
    <w:p>
      <w:r>
        <w:rPr>
          <w:b/>
          <w:sz w:val="19"/>
        </w:rPr>
        <w:t xml:space="preserve">Übertragbarkeit: </w:t>
      </w:r>
      <w:r>
        <w:rPr>
          <w:sz w:val="19"/>
        </w:rPr>
        <w:t>Niederlande, vergleichbares Hausarztsystem und sozialversicherungssystem; Design übertragbar auf deutsche Praxen.</w:t>
      </w:r>
    </w:p>
    <w:p>
      <w:r>
        <w:rPr>
          <w:color w:val="5A7D3A"/>
          <w:sz w:val="18"/>
        </w:rPr>
        <w:t>https://pubmed.ncbi.nlm.nih.gov/42954940/</w:t>
      </w:r>
    </w:p>
    <w:p>
      <w:pPr>
        <w:pStyle w:val="Heading2"/>
      </w:pPr>
      <w:r>
        <w:t>Klinische Pharmazie senkt Arzneimittelfehler bei Hämodialysepatienten um 75 %</w:t>
      </w:r>
    </w:p>
    <w:p>
      <w:r>
        <w:rPr>
          <w:i/>
          <w:color w:val="666666"/>
          <w:sz w:val="18"/>
        </w:rPr>
        <w:t>David A et al.  ·  Nephrol Ther  ·  29.10.2026  ·  PMID 42954264</w:t>
      </w:r>
    </w:p>
    <w:p>
      <w:r>
        <w:t>Französische Studie an 76 Hämodialysepatienten untersucht, wie strukturierte klinisch-pharmazeutische Überprüfung und Medikamentenabstimmung zwischen Krankenhaus und niedergelassener Praxis Verschreibungsunsicherheiten reduziert.</w:t>
      </w:r>
    </w:p>
    <w:p>
      <w:r>
        <w:rPr>
          <w:b/>
        </w:rPr>
        <w:t xml:space="preserve">Ergebnis: </w:t>
      </w:r>
      <w:r>
        <w:t>Bei 33 % der 76 Patienten wurden Medikamentendiskrepanzen identifiziert; 75 % dieser Diskrepanzen hatten mindestens geringen klinischen Impact. Nach Intervention: Quote potenziell unangemessener Medikamente sank signifikant (p &lt; 0,05), Nephrologen akzeptierten 93 % der 69 Optimierungsvorschläge. Integration klinischer Pharmazeuten verbesserte Verschreibungsqualität und Arzneimittelsicherheit.</w:t>
      </w:r>
    </w:p>
    <w:p>
      <w:r>
        <w:rPr>
          <w:b/>
          <w:sz w:val="19"/>
        </w:rPr>
        <w:t xml:space="preserve">Übertragbarkeit: </w:t>
      </w:r>
      <w:r>
        <w:rPr>
          <w:sz w:val="19"/>
        </w:rPr>
        <w:t>Frankreich, vergleichbares Krankenhaus-Praxis-Schnittstellen-Problem; strukturierte Pharmazie-Prozesse sind Versorgungsstandard.</w:t>
      </w:r>
    </w:p>
    <w:p>
      <w:r>
        <w:rPr>
          <w:color w:val="5A7D3A"/>
          <w:sz w:val="18"/>
        </w:rPr>
        <w:t>https://pubmed.ncbi.nlm.nih.gov/42954264/</w:t>
      </w:r>
    </w:p>
    <w:p>
      <w:pPr>
        <w:pStyle w:val="Heading2"/>
      </w:pPr>
      <w:r>
        <w:t>Ultraschall-gestützte Flüssigkeitsoptimierung senkt Blutdruck bei Hämodialysepatienten um 14 mmHg</w:t>
      </w:r>
    </w:p>
    <w:p>
      <w:r>
        <w:rPr>
          <w:i/>
          <w:color w:val="666666"/>
          <w:sz w:val="18"/>
        </w:rPr>
        <w:t>Muñoz Ramos P et al.  ·  Cardiorenal Med  ·  15.10.2026  ·  PMID 42879334</w:t>
      </w:r>
    </w:p>
    <w:p>
      <w:r>
        <w:t>Spanische Multizenter-Studie an 72 Hämodialysepatienten untersucht, ob Flüssigkeitsüberlastung mittels modifizierter Venenultraschallskala erkannt und durch protokollgesteuerte Ultrafiltration reduziert werden kann.</w:t>
      </w:r>
    </w:p>
    <w:p>
      <w:r>
        <w:rPr>
          <w:b/>
        </w:rPr>
        <w:t xml:space="preserve">Ergebnis: </w:t>
      </w:r>
      <w:r>
        <w:t>23 von 72 klinisch euvolämischen Patienten (32 %) zeigten venöse Stauung im modifizierten VExUS. Nach 4 Wochen: VExUS-Parameter verbesserten sich signifikant (2,1 vs. 1,3; p &lt; 0,001), systolischer Blutdruck sank in der Interventionsgruppe um 14 mmHg vs. +4 mmHg in Kontrolle (p = 0,025). Keine Unterschiede bei Hämodialyseverträglichkeit oder Biomarkern.</w:t>
      </w:r>
    </w:p>
    <w:p>
      <w:r>
        <w:rPr>
          <w:b/>
          <w:sz w:val="19"/>
        </w:rPr>
        <w:t xml:space="preserve">Übertragbarkeit: </w:t>
      </w:r>
      <w:r>
        <w:rPr>
          <w:sz w:val="19"/>
        </w:rPr>
        <w:t>Spanien, öffentliches Gesundheitssystem; Ultraschall-Methode mit Training umsetzbar in deutschen Dialysezentren.</w:t>
      </w:r>
    </w:p>
    <w:p>
      <w:r>
        <w:rPr>
          <w:color w:val="5A7D3A"/>
          <w:sz w:val="18"/>
        </w:rPr>
        <w:t>https://pubmed.ncbi.nlm.nih.gov/42879334/</w:t>
      </w:r>
    </w:p>
    <w:p>
      <w:pPr>
        <w:pStyle w:val="Heading2"/>
      </w:pPr>
      <w:r>
        <w:t>Barthel-Index senkt Sterblichkeit bei COPD-Exazerbationen um 72 % in der Notaufnahme</w:t>
      </w:r>
    </w:p>
    <w:p>
      <w:r>
        <w:rPr>
          <w:i/>
          <w:color w:val="666666"/>
          <w:sz w:val="18"/>
        </w:rPr>
        <w:t>Alonso Avilés R et al.  ·  Heart Lung  ·  11.09.2026  ·  PMID 42727532</w:t>
      </w:r>
    </w:p>
    <w:p>
      <w:r>
        <w:t>Spanische Studie an 1.214 Patienten mit akuter COPD-Exazerbation untersucht, welche klinischen Faktoren Krankenhausaufnahme und 30-Tages-Mortalität vorhersagen.</w:t>
      </w:r>
    </w:p>
    <w:p>
      <w:r>
        <w:rPr>
          <w:b/>
        </w:rPr>
        <w:t xml:space="preserve">Ergebnis: </w:t>
      </w:r>
      <w:r>
        <w:t>Der Barthel-Index (funktionelle Unabhängigkeit, 2-Minuten-Messung) war stärkster Prädiktor der 30-Tages-Mortalität (OR 0,28; 95%-KI 0,15–0,53 = 72 % Risikoreduktion). Bootstrap-korrigierte AUC 0,787 für Mortalität, 0,806 für Aufnahme. Ein Algorithmus aus akuter Ateminsuffizienz und Barthel-Index ermöglichte Identifikation von Kandidaten für ambulante Behandlung.</w:t>
      </w:r>
    </w:p>
    <w:p>
      <w:r>
        <w:rPr>
          <w:b/>
          <w:sz w:val="19"/>
        </w:rPr>
        <w:t xml:space="preserve">Übertragbarkeit: </w:t>
      </w:r>
      <w:r>
        <w:rPr>
          <w:sz w:val="19"/>
        </w:rPr>
        <w:t>Spanien, vergleichbare Notaufnahmestruktur; Messinstrument universal anwendbar.</w:t>
      </w:r>
    </w:p>
    <w:p>
      <w:r>
        <w:rPr>
          <w:color w:val="5A7D3A"/>
          <w:sz w:val="18"/>
        </w:rPr>
        <w:t>https://pubmed.ncbi.nlm.nih.gov/42727532/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NCD und chronische Krankheiten</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