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04.09.2026  |  5 Studien  |  ncd.m-vf.de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Systemischer Immunentzündungs-Index sagte COPD-Wiederaufnahmen zu 90 Tagen voraus</w:t>
      </w:r>
    </w:p>
    <w:p>
      <w:r>
        <w:rPr>
          <w:i/>
          <w:color w:val="666666"/>
          <w:sz w:val="18"/>
        </w:rPr>
        <w:t>Chen Q et al.  ·  Int J Chron Obstruct Pulmon Dis  ·  28.08.2026  ·  PMID 42683431</w:t>
      </w:r>
    </w:p>
    <w:p>
      <w:r>
        <w:t>Chinesische Kohortenstudie mit 207 Patienten mit akuter COPD-Exazerbation zur prädiktiven Wertigkeit des systemischen Immunentzündungs-Index (SII) für ungeplante Wiederaufnahmen innerhalb von 90 Tagen.</w:t>
      </w:r>
    </w:p>
    <w:p>
      <w:r>
        <w:rPr>
          <w:b/>
        </w:rPr>
        <w:t xml:space="preserve">Ergebnis: </w:t>
      </w:r>
      <w:r>
        <w:t>37,7 % (78/207) erlebten Wiederaufnahmen; jede 500er-Steigerung des SII war mit erhöhtem Wiederaufnahmerisiko assoziiert (aOR 1,329, 95%-KI 1,153-1,530; p &lt; 0,001). Integriertes Modell mit SII erreichte AUC 0,809 (95%-KI 0,742-0,869) versus 0,752 für reines klinisches Modell. Nach Bootstrap-Validierung: optimismuskorrigiert 0,785; verbesserte Modellpassung (Likelihood-Ratio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Klinikdaten, Konzept übertragbar, externe Validierung erforderlich</w:t>
      </w:r>
    </w:p>
    <w:p>
      <w:r>
        <w:rPr>
          <w:color w:val="5A7D3A"/>
          <w:sz w:val="18"/>
        </w:rPr>
        <w:t>https://pubmed.ncbi.nlm.nih.gov/42683431/</w:t>
      </w:r>
    </w:p>
    <w:p>
      <w:pPr>
        <w:pStyle w:val="Heading2"/>
      </w:pPr>
      <w:r>
        <w:t>Schlechter Schlaf erhöhte Komplikationsrisiko bei chronischer Nierenkrankheit um 19-54 %</w:t>
      </w:r>
    </w:p>
    <w:p>
      <w:r>
        <w:rPr>
          <w:i/>
          <w:color w:val="666666"/>
          <w:sz w:val="18"/>
        </w:rPr>
        <w:t>Lei K et al.  ·  Front Public Health  ·  18.08.2026  ·  PMID 42682672</w:t>
      </w:r>
    </w:p>
    <w:p>
      <w:r>
        <w:t>Kohortenstudie mit 15.809 CKD-Patienten aus UK Biobank (2006-2010, Nachverfolgung bis 2022) zur Assoziation von multidimensionalen Schlafmustern mit Anämie, kardiovaskulären Ereignissen, kognitiven Beeinträchtigungen und Nebenschilddrüsenüberfunktion.</w:t>
      </w:r>
    </w:p>
    <w:p>
      <w:r>
        <w:rPr>
          <w:b/>
        </w:rPr>
        <w:t xml:space="preserve">Ergebnis: </w:t>
      </w:r>
      <w:r>
        <w:t>Schwere Insomnie mit kurzer oder langer Schlafdauer und schwer gestörter Schlaf waren mit 19-54 % höheren Risiken für Anämie, kardiovaskuläre Erkrankungen und Nebenschilddrüsenüberfunktion assoziiert (alle p &lt; 0,05). Höhere Schlafqualität war unabhängig mit reduzierten Risiken dieser Komplikationen verbunden. Schlafprofile zeigten Heterogenität in Assoziation mit Ergebnissen je nach Geschlecht und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vergleichbare europäische Systeme und Datenqualität</w:t>
      </w:r>
    </w:p>
    <w:p>
      <w:r>
        <w:rPr>
          <w:color w:val="5A7D3A"/>
          <w:sz w:val="18"/>
        </w:rPr>
        <w:t>https://pubmed.ncbi.nlm.nih.gov/42682672/</w:t>
      </w:r>
    </w:p>
    <w:p>
      <w:pPr>
        <w:pStyle w:val="Heading2"/>
      </w:pPr>
      <w:r>
        <w:t>Quantitative Hepatitis-B-Oberflächenantigen-Tests: nur 37,4 % spanischer Labore implementiert</w:t>
      </w:r>
    </w:p>
    <w:p>
      <w:r>
        <w:rPr>
          <w:i/>
          <w:color w:val="666666"/>
          <w:sz w:val="18"/>
        </w:rPr>
        <w:t>Chaves-Blanco L et al.  ·  Enferm Infecc Microbiol Clin (Engl Ed)  ·  Aug. 2026  ·  PMID 42542350</w:t>
      </w:r>
    </w:p>
    <w:p>
      <w:r>
        <w:t>Nationale spanische Querschnittsstudie von 91 klinisch-mikrobiologischen Laboren zur Implementierung und Praktiken von quantitativem HBsAg-Testing (qHBsAg) für das Chronic-Hepatitis-B-Management.</w:t>
      </w:r>
    </w:p>
    <w:p>
      <w:r>
        <w:rPr>
          <w:b/>
        </w:rPr>
        <w:t xml:space="preserve">Ergebnis: </w:t>
      </w:r>
      <w:r>
        <w:t>37,4 % (34/91) führten qHBsAg durch; 86 % der Nicht-Durchführer verwiesen Proben nicht wegen wahrgenommener geringer klinischer Nachfrage (57,1 %). Implementierung korrelierte mit Krankenhausgröße (p = 0,041): 0 % bei &lt;200 Betten, 23,3 % bei 200-500, 44,9 % bei 500-1000, 62,5 % bei ≥1000. Unter durchführenden Labs: 57,6 % quantifizierten nach positivem qualitativem Test, 27,3 % auf Anforderung, 15,2 % als initiales Screening. Heterogene Meldepraxis.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direkt auf Deutschland übertragbar für Implementierungs-Gaps</w:t>
      </w:r>
    </w:p>
    <w:p>
      <w:r>
        <w:rPr>
          <w:color w:val="5A7D3A"/>
          <w:sz w:val="18"/>
        </w:rPr>
        <w:t>https://pubmed.ncbi.nlm.nih.gov/42542350/</w:t>
      </w:r>
    </w:p>
    <w:p>
      <w:pPr>
        <w:pStyle w:val="Heading2"/>
      </w:pPr>
      <w:r>
        <w:t>Finerenone reduzierte Albuminurie bei Typ-2-Diabetes und CKD um 34,5 % in Routineversorgung</w:t>
      </w:r>
    </w:p>
    <w:p>
      <w:r>
        <w:rPr>
          <w:i/>
          <w:color w:val="666666"/>
          <w:sz w:val="18"/>
        </w:rPr>
        <w:t>Moreno-Pérez O et al.  ·  Diabetes Obes Metab  ·  30.07.2026  ·  PMID 42533276</w:t>
      </w:r>
    </w:p>
    <w:p>
      <w:r>
        <w:t>Spanische Multicenterstudie zur Effektivität und Sicherheit von Finerenon bei Patienten mit Typ-2-Diabetes und chronischer Nierenerkrankung in der Routineversorgung.</w:t>
      </w:r>
    </w:p>
    <w:p>
      <w:r>
        <w:rPr>
          <w:b/>
        </w:rPr>
        <w:t xml:space="preserve">Ergebnis: </w:t>
      </w:r>
      <w:r>
        <w:t>Bei 844 Patienten (Medianalter 72 Jahre, Median eGFR 49 mL/min/1,73 m²) reduzierte Finerenon die Albuminurie-zu-Kreatinin-Ratio (UACR) um Medianalter 34,5 % nach 6 Monaten (p &lt; 0,001), unabhängig von Hintergrundnephroprotektiva. 52,7 % erreichten die primäre Zielmarke von ≥30 % UACR-Reduktion; 89,5 % Persistenz der Therapie; Hyperkaliämie 4,8 %, Herz-Kreislauf-Ereignisse 1,1 %. Finerenon verbesserte albuminurische Marker auch bei intensiver Vormedikation.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Routinedaten, vergleichbares Sozialversicherungssystem</w:t>
      </w:r>
    </w:p>
    <w:p>
      <w:r>
        <w:rPr>
          <w:color w:val="5A7D3A"/>
          <w:sz w:val="18"/>
        </w:rPr>
        <w:t>https://pubmed.ncbi.nlm.nih.gov/42533276/</w:t>
      </w:r>
    </w:p>
    <w:p>
      <w:pPr>
        <w:pStyle w:val="Heading2"/>
      </w:pPr>
      <w:r>
        <w:t>Integrierter Versorgungspfad bei Long COVID: alle Interventionen erzielten Fatigue-Reduktion</w:t>
      </w:r>
    </w:p>
    <w:p>
      <w:r>
        <w:rPr>
          <w:i/>
          <w:color w:val="666666"/>
          <w:sz w:val="18"/>
        </w:rPr>
        <w:t>STIMULATE-ICP Consortium  ·  Nat Med  ·  28.07.2026  ·  PMID 42521821</w:t>
      </w:r>
    </w:p>
    <w:p>
      <w:r>
        <w:t>Phase-3-Cluster-RCT mit 1.152 Teilnehmern aus 122 englischen Primary-Care-Netzwerken zum Effekt von Multi-Organ-MRI und/oder digitaler Rehabilitation im Rahmen strukturierter ICP-Interventionen auf Fatigue-Assessment-Scale nach 12 und 24 Wochen.</w:t>
      </w:r>
    </w:p>
    <w:p>
      <w:r>
        <w:rPr>
          <w:b/>
        </w:rPr>
        <w:t xml:space="preserve">Ergebnis: </w:t>
      </w:r>
      <w:r>
        <w:t>Fatigue-Assessment-Scale verbesserte sich in allen Armen um 4,5 Punkte von 35,8 auf 31,3 (nach 12 Wochen); zusätzliche Multi-Organ-MRI zeigte 0,18-Punkte-Vorteil (95%-KI -0,72 bis 1,09; p = 0,69), digitale Rehabilitation -0,53 Punkte (95%-KI -1,42 bis 0,36; p = 0,25). Multidisziplinäre holistische Versorgung allein war mit Verbesserungen verbunden. Keine schwerwiegenden unerwünschten 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NHS-Daten, vergleichbares Versicherungssystem und Zugangswege</w:t>
      </w:r>
    </w:p>
    <w:p>
      <w:r>
        <w:rPr>
          <w:color w:val="5A7D3A"/>
          <w:sz w:val="18"/>
        </w:rPr>
        <w:t>https://pubmed.ncbi.nlm.nih.gov/42521821/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