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13.10.2026  |  6 Studien  |  ncd.m-vf.de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Selbstvertretung bei Hämodialysepatienten: aktive Partizipation nur bei 15%</w:t>
      </w:r>
    </w:p>
    <w:p>
      <w:r>
        <w:rPr>
          <w:i/>
          <w:color w:val="666666"/>
          <w:sz w:val="18"/>
        </w:rPr>
        <w:t>Xu W et al.  ·  BMC Nephrol  ·  07.08.2026  ·  PMID 42859166</w:t>
      </w:r>
    </w:p>
    <w:p>
      <w:r>
        <w:t>Querschnittsstudie an 429 Hämodialysepatienten zur Identifikation von Profilen der Patientenselbstvertretung und deren Einflussfaktoren.</w:t>
      </w:r>
    </w:p>
    <w:p>
      <w:r>
        <w:rPr>
          <w:b/>
        </w:rPr>
        <w:t xml:space="preserve">Ergebnis: </w:t>
      </w:r>
      <w:r>
        <w:t>Nur 15,0% der Patienten zeigten aktive Selbstvertretung ("Active Striving Type"), 58,5% moderate Partizipation und 26,5% passive Akzeptanz. Wahrgenommene soziale Unterstützung, Selbstmanagementfähigkeit und emotionale Last waren signifikante Einflussfaktoren (p&lt;0,05). Die Netzwerkanalyse identifizierte unterschiedliche zentrale Symptomknoten pro 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Versorgungspraxis anwendbar; Selbstvertretung als Versorgungsqualitätsmerkmal</w:t>
      </w:r>
    </w:p>
    <w:p>
      <w:r>
        <w:rPr>
          <w:color w:val="5A7D3A"/>
          <w:sz w:val="18"/>
        </w:rPr>
        <w:t>https://pubmed.ncbi.nlm.nih.gov/42859166/</w:t>
      </w:r>
    </w:p>
    <w:p>
      <w:pPr>
        <w:pStyle w:val="Heading2"/>
      </w:pPr>
      <w:r>
        <w:t>U-förmige Beziehung zwischen Schlaf und Nierenfunktion: CKD-Prävalenz bei Kurz- und Langschläfern erhöht</w:t>
      </w:r>
    </w:p>
    <w:p>
      <w:r>
        <w:rPr>
          <w:i/>
          <w:color w:val="666666"/>
          <w:sz w:val="18"/>
        </w:rPr>
        <w:t>Oh J et al.  ·  Medicine (Baltimore)  ·  09.10.2026  ·  PMID 42854001</w:t>
      </w:r>
    </w:p>
    <w:p>
      <w:r>
        <w:t>Populationsstudie mit 87.246 koreanischen Erwachsenen (≥19 Jahre) zur Assoziation zwischen Schlafmuster und CKD-Prävalenz über 16 Jahre.</w:t>
      </w:r>
    </w:p>
    <w:p>
      <w:r>
        <w:rPr>
          <w:b/>
        </w:rPr>
        <w:t xml:space="preserve">Ergebnis: </w:t>
      </w:r>
      <w:r>
        <w:t>CKD-Prävalenz zeigte U-förmige Assoziation mit Schlafdauer: &lt;6 h täglicher Schlaf (adjustierte OR 2,34, 95%-KI 2,04-2,69), ≥9 h Schlaf (OR 2,07, 95%-KI 1,77-2,41) versus optimale 7-8 h. Die CKD-Gesamtprävalenz sank von 2007-2009 (5,13%) auf 2020-2022 (3,53%). Assoziation blieb nach Adjustment für kardio-metabolische Komorbiditäten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mit universalversorgtem System; Schlafqualität als modifizierbarer Präventionfaktor</w:t>
      </w:r>
    </w:p>
    <w:p>
      <w:r>
        <w:rPr>
          <w:color w:val="5A7D3A"/>
          <w:sz w:val="18"/>
        </w:rPr>
        <w:t>https://pubmed.ncbi.nlm.nih.gov/42854001/</w:t>
      </w:r>
    </w:p>
    <w:p>
      <w:pPr>
        <w:pStyle w:val="Heading2"/>
      </w:pPr>
      <w:r>
        <w:t>Kamerun: 43% aller Todesfälle durch nicht übertragbare Krankheiten, aber nur 6% der Prävention finanziert</w:t>
      </w:r>
    </w:p>
    <w:p>
      <w:r>
        <w:rPr>
          <w:i/>
          <w:color w:val="666666"/>
          <w:sz w:val="18"/>
        </w:rPr>
        <w:t>Saidu Y et al.  ·  J Glob Health  ·  09.10.2026  ·  PMID 42853019</w:t>
      </w:r>
    </w:p>
    <w:p>
      <w:r>
        <w:t>Priorisierungsstudie auf Basis von Global Burden of Disease 2019 und systematischer Literaturanalyse zur Krankheitslast und Versorgungsinvestitionen für nicht übertragbare Erkrankungen in Kamerun.</w:t>
      </w:r>
    </w:p>
    <w:p>
      <w:r>
        <w:rPr>
          <w:b/>
        </w:rPr>
        <w:t xml:space="preserve">Ergebnis: </w:t>
      </w:r>
      <w:r>
        <w:t>NCD/Verletzungen verursachten 2019 43% aller Todesfälle, 29% davon in der Altersgruppe &lt;40 Jahre. DALYs stiegen seit 1990 kontinuierlich an. 61% der NCDI-DALYs stammen aus Bereichen außerhalb der "Big Four" (Diabetes, Krebs, Atemwegserkrankungen, Kardiovaskulär). Trotz dieser Last wurden 2016-2020 nur 6% der Präventionsmittel für NCD verwendet. 49 Prioritätsbedingungen und 123 Interventionen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Kamerun/LMIC; zentral für Versorgungsungleichheit und Priorisierung in ressourcenbegrenzten Systemen</w:t>
      </w:r>
    </w:p>
    <w:p>
      <w:r>
        <w:rPr>
          <w:color w:val="5A7D3A"/>
          <w:sz w:val="18"/>
        </w:rPr>
        <w:t>https://pubmed.ncbi.nlm.nih.gov/42853019/</w:t>
      </w:r>
    </w:p>
    <w:p>
      <w:pPr>
        <w:pStyle w:val="Heading2"/>
      </w:pPr>
      <w:r>
        <w:t>Long COVID: Olfaktorische Dysfunktion bei 77% trotz schwacher Selbstwahrnehmung</w:t>
      </w:r>
    </w:p>
    <w:p>
      <w:r>
        <w:rPr>
          <w:i/>
          <w:color w:val="666666"/>
          <w:sz w:val="18"/>
        </w:rPr>
        <w:t>Degen CV et al.  ·  Am J Otolaryngol  ·  25.08.2026  ·  PMID 42679644</w:t>
      </w:r>
    </w:p>
    <w:p>
      <w:r>
        <w:t>Querschnittsstudie mit 154 Teilnehmern (Long COVID n=122, genesen n=9, Kontrollen n=24) zur objektiven und subjektiven Erfassung von Riech- und Geschmacksstörungen.</w:t>
      </w:r>
    </w:p>
    <w:p>
      <w:r>
        <w:rPr>
          <w:b/>
        </w:rPr>
        <w:t xml:space="preserve">Ergebnis: </w:t>
      </w:r>
      <w:r>
        <w:t>Long-COVID-Patienten zeigten signifikant schlechtere Ergebnisse bei objektivem Riech- und Geschmackstest versus Kontrollen. Subjektive Einschätzung korrelierte nur schwach mit objektiven Messwerten (r=-0,525, p&lt;0,001). Zeitspanne seit Infektion korrelierte nicht mit Schweregrad. Olfaktorisches Training als wirksame Behandlung ist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Studienzentren; Screening-Empfehlung für Long-COVID-Management</w:t>
      </w:r>
    </w:p>
    <w:p>
      <w:r>
        <w:rPr>
          <w:color w:val="5A7D3A"/>
          <w:sz w:val="18"/>
        </w:rPr>
        <w:t>https://pubmed.ncbi.nlm.nih.gov/42679644/</w:t>
      </w:r>
    </w:p>
    <w:p>
      <w:pPr>
        <w:pStyle w:val="Heading2"/>
      </w:pPr>
      <w:r>
        <w:t>EIT-gestützte Inhalationstechnik verbessert Hyperinflation bei COPD</w:t>
      </w:r>
    </w:p>
    <w:p>
      <w:r>
        <w:rPr>
          <w:i/>
          <w:color w:val="666666"/>
          <w:sz w:val="18"/>
        </w:rPr>
        <w:t>Stolz S et al.  ·  Sci Rep  ·  24.08.2026  ·  PMID 42637795</w:t>
      </w:r>
    </w:p>
    <w:p>
      <w:r>
        <w:t>Randomisierte, kontrollierte Pilotstudie (n=29 COPD-Patienten) zum Effekt von visueller EIT-Rückmeldung auf Lungenfunktion während Inhalationstherapie.</w:t>
      </w:r>
    </w:p>
    <w:p>
      <w:r>
        <w:rPr>
          <w:b/>
        </w:rPr>
        <w:t xml:space="preserve">Ergebnis: </w:t>
      </w:r>
      <w:r>
        <w:t>Interventionsgruppe mit EIT-Feedback zeigte signifikante FRC-Reduktion gegenüber Kontrolle (Intervention -0,4 L vs. Kontrolle -0,1 L, p&lt;0,05). Keine signifikanten Unterschiede bei FEV1 zwischen Gruppen. Widerstände tendierten zur Zunahme in der Interventionsgruppe. Subjektiver Benefit und EIT-Parameter zeigten keine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 Saarland; methodische Machbarkeitsstudie, längerfristige Effekte offen</w:t>
      </w:r>
    </w:p>
    <w:p>
      <w:r>
        <w:rPr>
          <w:color w:val="5A7D3A"/>
          <w:sz w:val="18"/>
        </w:rPr>
        <w:t>https://pubmed.ncbi.nlm.nih.gov/42637795/</w:t>
      </w:r>
    </w:p>
    <w:p>
      <w:pPr>
        <w:pStyle w:val="Heading2"/>
      </w:pPr>
      <w:r>
        <w:t>CKD-Screening in der Hausarztpraxis: Politischer Aktionsplan für Europa</w:t>
      </w:r>
    </w:p>
    <w:p>
      <w:r>
        <w:rPr>
          <w:i/>
          <w:color w:val="666666"/>
          <w:sz w:val="18"/>
        </w:rPr>
        <w:t>De Nicola L et al.  ·  J Nephrol  ·  10.10.2026  ·  PMID 42627753</w:t>
      </w:r>
    </w:p>
    <w:p>
      <w:r>
        <w:t>Positionspapier der Italienischen Nephrologischen Gesellschaft zu einem strukturierten CKD-Screening und Managementprogramm für die primäre Versorgung.</w:t>
      </w:r>
    </w:p>
    <w:p>
      <w:r>
        <w:rPr>
          <w:b/>
        </w:rPr>
        <w:t xml:space="preserve">Ergebnis: </w:t>
      </w:r>
      <w:r>
        <w:t>WHO und UN erkannten CKD 2025 als globale Gesundheitspriorität an. Die Italienische Gesellschaft hat ein Screening-Programm für die Hausarztpraxis entwickelt (aktuell im italienischen Parlament in Diskussion) mit kombinierter Edukation zur CKD-Früherkennung. Remission von CKD ist zunehmend erreichbar; niedriges Bewusstsein bei Patienten und Nicht-Nephrologen bleibt Hauptbarriere.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Italien/Europa, vergleichbare Gesundheitssysteme; skalierbar auf Deutschland</w:t>
      </w:r>
    </w:p>
    <w:p>
      <w:r>
        <w:rPr>
          <w:color w:val="5A7D3A"/>
          <w:sz w:val="18"/>
        </w:rPr>
        <w:t>https://pubmed.ncbi.nlm.nih.gov/42627753/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