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23.08.2026  |  1 Studien  |  ncd.m-vf.de</w:t>
      </w:r>
    </w:p>
    <w:p>
      <w:pPr>
        <w:pStyle w:val="Heading1"/>
      </w:pPr>
      <w:r>
        <w:t>Aufgenommen am 23.08.2026</w:t>
      </w:r>
    </w:p>
    <w:p>
      <w:pPr>
        <w:pStyle w:val="Heading2"/>
      </w:pPr>
      <w:r>
        <w:t>Mehrfacherkrankung bei Vorhofflimmern nimmt zu: Gepräge und Verlauf stark heterogen</w:t>
      </w:r>
    </w:p>
    <w:p>
      <w:r>
        <w:rPr>
          <w:i/>
          <w:color w:val="666666"/>
          <w:sz w:val="18"/>
        </w:rPr>
        <w:t>Reinilä S et al.  ·  Eur J Clin Invest  ·  Aug. 2026  ·  PMID 42629441</w:t>
      </w:r>
    </w:p>
    <w:p>
      <w:r>
        <w:t>Finnische Kohorte aller Patienten mit neu diagnostiziertem Vorhofflimmern 2009–2018 (n=196.536); Erfassung von Begleiterkrankungen über nationale Register mit 5-Jahres-Lookback.</w:t>
      </w:r>
    </w:p>
    <w:p>
      <w:r>
        <w:rPr>
          <w:b/>
        </w:rPr>
        <w:t xml:space="preserve">Ergebnis: </w:t>
      </w:r>
      <w:r>
        <w:t>85% hatten ≥2 Begleiterkrankungsgruppen, 28% ≥6 Gruppen. Mittlere Anzahl von Diagnosegruppen stieg von 3,9 auf 4,2 Gruppen (2009–2018); nach Adjustment für Alter signifikant. Mehrfacherkrankung war bei Frauen häufiger (4,2 vs. 3,9 Gruppen) und nahm mit dem Alter zu. Häufigste Begleiterkrankungen: Hypertonie, Stoffwechselerkrankungen, Diabetes, andere kardiovaskuläre Erkrankungen. Eine bedeutende Versorgungsherausforderung mit wachsendem Bedarf für ganzheitliche Behandlung.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vergleichbares nordisches Gesundheitssystem, nationale Registerdaten</w:t>
      </w:r>
    </w:p>
    <w:p>
      <w:r>
        <w:rPr>
          <w:color w:val="5A7D3A"/>
          <w:sz w:val="18"/>
        </w:rPr>
        <w:t>https://pubmed.ncbi.nlm.nih.gov/42629441/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2026-08-23T06:00:00Z</dcterms:created>
  <dcterms:modified xsi:type="dcterms:W3CDTF">2026-08-23T06:00:00Z</dcterms:modified>
  <cp:category/>
</cp:coreProperties>
</file>