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27.09.2026  |  6 Studien  |  ncd.m-vf.de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Kritische Fehler bei 73 % der Patienten: Inhalationstechnik in Asthma und COPD deutlich verbesserbar</w:t>
      </w:r>
    </w:p>
    <w:p>
      <w:r>
        <w:rPr>
          <w:i/>
          <w:color w:val="666666"/>
          <w:sz w:val="18"/>
        </w:rPr>
        <w:t>Damasceno IHM et al.  ·  Can Respir J  ·  2026  ·  PMID 42799340</w:t>
      </w:r>
    </w:p>
    <w:p>
      <w:r>
        <w:t>Querschnittstudie an 575 Patienten (≥18 Jahre) mit Asthma und/oder COPD, die ihre Inhalationstechnik mit standardisierten Checklisten demonstrierten.</w:t>
      </w:r>
    </w:p>
    <w:p>
      <w:r>
        <w:rPr>
          <w:b/>
        </w:rPr>
        <w:t xml:space="preserve">Ergebnis: </w:t>
      </w:r>
      <w:r>
        <w:t>Nur 8,2% führten alle Schritte korrekt aus; 73,4% hatten ≥1 kritischen Fehler. Unabhängig assoziiert mit kritischen Fehlern: höheres Alter (OR 1,029 pro Jahr), Mehrgeräte-Nutzung (OR 2,500), schützend: inspiratorisch-unabhängige Mechanismen (OR 0,262). Ältere Patienten und Mehrgerätenutzer besonders vulnerabel.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Technikmängel universell; Intervention mit lokalem Ressourcentransfer übertragbar</w:t>
      </w:r>
    </w:p>
    <w:p>
      <w:r>
        <w:rPr>
          <w:color w:val="5A7D3A"/>
          <w:sz w:val="18"/>
        </w:rPr>
        <w:t>https://pubmed.ncbi.nlm.nih.gov/42799340/</w:t>
      </w:r>
    </w:p>
    <w:p>
      <w:pPr>
        <w:pStyle w:val="Heading2"/>
      </w:pPr>
      <w:r>
        <w:t>Finerenon reduziert Proteinurie um 52 % bei Typ-2-Diabetes mit CKD und hoher Proteinausscheidung</w:t>
      </w:r>
    </w:p>
    <w:p>
      <w:r>
        <w:rPr>
          <w:i/>
          <w:color w:val="666666"/>
          <w:sz w:val="18"/>
        </w:rPr>
        <w:t>Sun N et al.  ·  Front Endocrinol (Lausanne)  ·  11.09.2026  ·  PMID 42798812</w:t>
      </w:r>
    </w:p>
    <w:p>
      <w:r>
        <w:t>Retrospektive Kohortenstudie an 134 Patienten mit Typ-2-Diabetes und CKD mit Proteinurie &gt;1 g/d, behandelt mit oder ohne Finerenon über 12 Monate.</w:t>
      </w:r>
    </w:p>
    <w:p>
      <w:r>
        <w:rPr>
          <w:b/>
        </w:rPr>
        <w:t xml:space="preserve">Ergebnis: </w:t>
      </w:r>
      <w:r>
        <w:t>Finerenon-Gruppe: 52,8% mit erhaltener gestufter Proteinurie-Verbesserung vs. Kontrolle 33,3%. Nach Propensity Score-Gewichtung: OR 1,26 (95% KI 1,07–1,47; p=0,004). Kaplan-Meier zeigte signifikanten Unterschied in der Zeit bis zur Verbesserung (Log-rank p=0,026–0,033). Kein erhöhtes Hyperkalämie-Risiko über 12 Monate.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Finerenon europäisch zugelassen; Mehrfacherkrankung (Diabetes+CKD) zentral</w:t>
      </w:r>
    </w:p>
    <w:p>
      <w:r>
        <w:rPr>
          <w:color w:val="5A7D3A"/>
          <w:sz w:val="18"/>
        </w:rPr>
        <w:t>https://pubmed.ncbi.nlm.nih.gov/42798812/</w:t>
      </w:r>
    </w:p>
    <w:p>
      <w:pPr>
        <w:pStyle w:val="Heading2"/>
      </w:pPr>
      <w:r>
        <w:t>Nach Stoppung antiviraler Therapie bei Hepatitis B: 20 % erzielen HBsAg-Verlust, aber 24 % schwere Schübe</w:t>
      </w:r>
    </w:p>
    <w:p>
      <w:r>
        <w:rPr>
          <w:i/>
          <w:color w:val="666666"/>
          <w:sz w:val="18"/>
        </w:rPr>
        <w:t>Lund K et al.  ·  Viruses  ·  15.09.2026  ·  PMID 42797857</w:t>
      </w:r>
    </w:p>
    <w:p>
      <w:r>
        <w:t>Prospektive Studie an 25 HBeAg-negativen Patienten ohne Zirrhose, die nach ≥3 Jahren Nukleos(t)id-Analog-Therapie abstoppten, mit 2-jähriger monatlicher Nachsorge (initial 6 Monate).</w:t>
      </w:r>
    </w:p>
    <w:p>
      <w:r>
        <w:rPr>
          <w:b/>
        </w:rPr>
        <w:t xml:space="preserve">Ergebnis: </w:t>
      </w:r>
      <w:r>
        <w:t>Nach Therapie-Stopp: 5 Patienten (20%) HBsAg-Seroclearance-Muster (4 HBsAg-Negativität, 1 &lt;1 IU/mL); 7 (28%) immunologische Kontrolle mit persistierend niedriger HBV-DNA und normaler ALT; 6 (24%) schwere Schübe mit Therapie-Wiederaufnahme, einschließlich 1 fulminanter Hepatitis mit Lebertransplantation. Alle mit schwerem Schub hatten detektierbare HBcrAg bei Therapie-Stopp. Spitzen-HBV-DNA korrelierte mit und präzedierte Spitzen-ALT.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internationale Patienten; enges Monitoring mit schnellen HBV-DNA-Tests in Deutschland verfügbar</w:t>
      </w:r>
    </w:p>
    <w:p>
      <w:r>
        <w:rPr>
          <w:color w:val="5A7D3A"/>
          <w:sz w:val="18"/>
        </w:rPr>
        <w:t>https://pubmed.ncbi.nlm.nih.gov/42797857/</w:t>
      </w:r>
    </w:p>
    <w:p>
      <w:pPr>
        <w:pStyle w:val="Heading2"/>
      </w:pPr>
      <w:r>
        <w:t>Ketoanaloga-ergänzte Protein-Diät bei CKD und Herzinsuffizienz: Körpergewicht sinkt, Albumin stabil</w:t>
      </w:r>
    </w:p>
    <w:p>
      <w:r>
        <w:rPr>
          <w:i/>
          <w:color w:val="666666"/>
          <w:sz w:val="18"/>
        </w:rPr>
        <w:t>Tanasescu MD et al.  ·  Nutrients  ·  20.09.2026  ·  PMID 42797051</w:t>
      </w:r>
    </w:p>
    <w:p>
      <w:r>
        <w:t>Retrospektive Kohortenstudie an 75 Erwachsenen mit fortgeschrittener nicht-dialysepflichtiger CKD und chronischer Herzinsuffizienz, behandelt mit Ketoanaloga-ergänzter sehr niedriger Protein-Diät (0,28–0,40 g/kg/Tag) über Median 243 Tage mit Ernährungsberater-Unterstützung.</w:t>
      </w:r>
    </w:p>
    <w:p>
      <w:r>
        <w:rPr>
          <w:b/>
        </w:rPr>
        <w:t xml:space="preserve">Ergebnis: </w:t>
      </w:r>
      <w:r>
        <w:t>Primäres Outcome (Körpergewichtsverlust): Hodges-Lehmann-Schätzung −3,99% (95% KI −4,68 bis −3,42; p&lt;0,001). Mittleres Körpergewicht sank von 75,85±7,98 auf 72,65±7,09 kg (−3,10 kg; 95% KI −3,60 bis −2,65). BMI sank (−0,95 kg/m²; p&lt;0,001). ≥5% Gewichtsverlust bei 22 Patienten (29,3%), keiner ≥10%. Serumalbumin und Gesamtprotein stiegen leicht an. eGFR-Abfall moderat (−1,50 mL/min/1,73 m²; p=0,007). Phosphor, Kalzium-Phosphor-Produkt, PTH und alkalische Phosphatase sanken, Kalzium stieg. NYHA-Klasse in 61 Patienten (81,3%) unverändert, LVEF leicht gesunken.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Rumänien; Mehrfacherkrankung (CKD+Herzinsuffizienz), spezialisierte Ernährungsintervention in Deutschland durch Nephrologie etabliert</w:t>
      </w:r>
    </w:p>
    <w:p>
      <w:r>
        <w:rPr>
          <w:color w:val="5A7D3A"/>
          <w:sz w:val="18"/>
        </w:rPr>
        <w:t>https://pubmed.ncbi.nlm.nih.gov/42797051/</w:t>
      </w:r>
    </w:p>
    <w:p>
      <w:pPr>
        <w:pStyle w:val="Heading2"/>
      </w:pPr>
      <w:r>
        <w:t>Aktives Case Finding mit CAT-Fragebogen verdoppelt COPD-Diagnosen in rumänischer Hausarztpraxis</w:t>
      </w:r>
    </w:p>
    <w:p>
      <w:r>
        <w:rPr>
          <w:i/>
          <w:color w:val="666666"/>
          <w:sz w:val="18"/>
        </w:rPr>
        <w:t>Iana AN et al.  ·  Medicina (Kaunas)  ·  21.09.2026  ·  PMID 42796426</w:t>
      </w:r>
    </w:p>
    <w:p>
      <w:r>
        <w:t>Prospektive Studie unter 220 Patienten über 40 Jahren mit Atemwegsrisikofaktoren, die spirometrische Testung nach Screening mit COPD Assessment Test (CAT) und mMRC-Dyspnoe-Skala durchliefen.</w:t>
      </w:r>
    </w:p>
    <w:p>
      <w:r>
        <w:rPr>
          <w:b/>
        </w:rPr>
        <w:t xml:space="preserve">Ergebnis: </w:t>
      </w:r>
      <w:r>
        <w:t>COPD bei 48,2% diagnostiziert (n=106). CAT-Schwelle ≥17 zeigte beste Kennwerte (64,2% Sensitivität, 74,6% Spezifität), mMRC≥2 hohe Spezifität (82,5%), aber niedrige Sensitivität (41,5%). Symptombelastung (Husten, Sputum, Schlaf) war aussagekräftiger als Dyspnoe allein für Case Finding in der Primärversorgung.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Hausarztpraxis, jedoch generisch übertragbar für spezialisiertes Case Finding ohne nationale DMP-Struktur</w:t>
      </w:r>
    </w:p>
    <w:p>
      <w:r>
        <w:rPr>
          <w:color w:val="5A7D3A"/>
          <w:sz w:val="18"/>
        </w:rPr>
        <w:t>https://pubmed.ncbi.nlm.nih.gov/42796426/</w:t>
      </w:r>
    </w:p>
    <w:p>
      <w:pPr>
        <w:pStyle w:val="Heading2"/>
      </w:pPr>
      <w:r>
        <w:t>Bessere Inhalationstechnik und höheres Wissen verdreifachen Therapietreue bei COPD</w:t>
      </w:r>
    </w:p>
    <w:p>
      <w:r>
        <w:rPr>
          <w:i/>
          <w:color w:val="666666"/>
          <w:sz w:val="18"/>
        </w:rPr>
        <w:t>Nguyen H et al.  ·  JMIR Nurs  ·  25.09.2026  ·  PMID 42789344</w:t>
      </w:r>
    </w:p>
    <w:p>
      <w:r>
        <w:t>Querschnittstudie an 420 ambulanten COPD-Patienten zu Wissen, praktischen Inhalations- und Atemtechniken sowie Therapietreue.</w:t>
      </w:r>
    </w:p>
    <w:p>
      <w:r>
        <w:rPr>
          <w:b/>
        </w:rPr>
        <w:t xml:space="preserve">Ergebnis: </w:t>
      </w:r>
      <w:r>
        <w:t>Nur 36,9% (n=155) adhärent insgesamt. 78,8% mit unzureichendem COPD-Wissen, 63,8% mit adäquaten praktischen Fähigkeiten. Höheres Wissensscore (aOR 1,20; 95% KI 1,06–1,31; p=0,001), korrekte Inhalationstechnik (aOR 3,10; 95% KI 2,10–4,70; p=0,001) und adäquate Atemtechniken (aOR 1,70; 95% KI 1,08–2,71; p=0,02) unabhängig mit besserer Adhärenz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Vietnam; Patienten-Edukation und Skilltraining sind universell wirksame Versorgungselemente</w:t>
      </w:r>
    </w:p>
    <w:p>
      <w:r>
        <w:rPr>
          <w:color w:val="5A7D3A"/>
          <w:sz w:val="18"/>
        </w:rPr>
        <w:t>https://pubmed.ncbi.nlm.nih.gov/42789344/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