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Nicht uebertragbare Krankheiten</w:t>
      </w:r>
    </w:p>
    <w:p>
      <w:r>
        <w:rPr>
          <w:i/>
          <w:color w:val="666666"/>
          <w:sz w:val="18"/>
        </w:rPr>
        <w:t>Stand: 17.09.2026  |  6 Studien  |  ncd.m-vf.de</w:t>
      </w:r>
    </w:p>
    <w:p>
      <w:pPr>
        <w:pStyle w:val="Heading1"/>
      </w:pPr>
      <w:r>
        <w:t>Aufgenommen am 17.09.2026</w:t>
      </w:r>
    </w:p>
    <w:p>
      <w:pPr>
        <w:pStyle w:val="Heading2"/>
      </w:pPr>
      <w:r>
        <w:t>Orale Mehrfacherkrankungen bei älteren Menschen erfordern differenzierte Zahngesundheits-Strategien</w:t>
      </w:r>
    </w:p>
    <w:p>
      <w:r>
        <w:rPr>
          <w:i/>
          <w:color w:val="666666"/>
          <w:sz w:val="18"/>
        </w:rPr>
        <w:t>Jiang L et al.  ·  Clin Interv Aging  ·  11.09.2026  ·  PMID 42746399</w:t>
      </w:r>
    </w:p>
    <w:p>
      <w:r>
        <w:t>Latente-Klassen-Analyse identifizierte unterschiedliche Muster oraler Mehrfacherkrankung (Karies, Zahnfleischerkrankung, Zahnverlust) bei 423 älteren Chinesen (65–74 Jahre) und untersuchte soziale Determinanten der Klassenzugehörigkeit.</w:t>
      </w:r>
    </w:p>
    <w:p>
      <w:r>
        <w:rPr>
          <w:b/>
        </w:rPr>
        <w:t xml:space="preserve">Ergebnis: </w:t>
      </w:r>
      <w:r>
        <w:t>Drei Subtypen wurden identifiziert: Klasse 1 (23,9 %, niedrige Erkrankungslast); Klasse 2 (41,6 %, parodontaldominant mit schwerem Zahnverlust); Klasse 3 (34,5 %, kariesdominant). Älterung, Rauchen und Zahnarztbesuche waren assoziiert mit Klasse 2. Älterung, weibliches Geschlecht, urbaner Wohnort und Zahnarztbesuche waren mit Klasse 3 verbunden. Die Befunde legen subtyp-spezifische statt einheitlicher Zahngesundheitsstrategien nahe und zeigen, dass orale Mehrfacherkrankung unter älteren Menschen heterogen ist.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aber methodisches Vorbild für Mehrfacherkrankungs-Phänotypisierung in allen Ländern übertragbar</w:t>
      </w:r>
    </w:p>
    <w:p>
      <w:r>
        <w:rPr>
          <w:color w:val="5A7D3A"/>
          <w:sz w:val="18"/>
        </w:rPr>
        <w:t>https://pubmed.ncbi.nlm.nih.gov/42746399/</w:t>
      </w:r>
    </w:p>
    <w:p>
      <w:pPr>
        <w:pStyle w:val="Heading2"/>
      </w:pPr>
      <w:r>
        <w:t>Post-Hepatitis-C-Lebersteifheit prognostiziert Dekompensation stärker als deren Veränderung</w:t>
      </w:r>
    </w:p>
    <w:p>
      <w:r>
        <w:rPr>
          <w:i/>
          <w:color w:val="666666"/>
          <w:sz w:val="18"/>
        </w:rPr>
        <w:t>Cerini F et al.  ·  Liver Int  ·  Okt. 2026  ·  PMID 42745428</w:t>
      </w:r>
    </w:p>
    <w:p>
      <w:r>
        <w:t>Retrospektive Kohortenstudie bei 135 Patienten mit HCV-bedingter kompensierter fortgeschrittener Lebererkrankung, die eine direkt wirkende antivirale Therapie (DAA) erhielten, prüfte, ob absolute post-SVR-Lebersteifheit (LSM) oder deren Veränderung den Verlauf nach Viruseradikation besser prognostizieren.</w:t>
      </w:r>
    </w:p>
    <w:p>
      <w:r>
        <w:rPr>
          <w:b/>
        </w:rPr>
        <w:t xml:space="preserve">Ergebnis: </w:t>
      </w:r>
      <w:r>
        <w:t>Bei medianer 60 Monate (95%-KI 52–69) Nachverfolgung entwickelten 8 % (11/135) leberbezogene Ereignisse. Absolute post-Therapie-LSM zeigte bessere diskriminative Fähigkeit (tAUC Jahr 2: 0,86; Jahr 3: 0,82) als deren Veränderung. Follow-up-LSM &gt; 20 kPa war unabhängig mit leberbezogenen Ereignissen assoziiert (SHR 5,61; p = 0,007), während Baveno-VII-Kriterien für LSM-Regression nicht signifikant waren (p = 0,097). Dies unterstützt wiederholte post-SVR-LSM-Bewertung zur Risikostratifizierung.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Schweiz (Bern), deutschsprachiger Raum, vergleichbare hepatologische Versorgungsstandards</w:t>
      </w:r>
    </w:p>
    <w:p>
      <w:r>
        <w:rPr>
          <w:color w:val="5A7D3A"/>
          <w:sz w:val="18"/>
        </w:rPr>
        <w:t>https://pubmed.ncbi.nlm.nih.gov/42745428/</w:t>
      </w:r>
    </w:p>
    <w:p>
      <w:pPr>
        <w:pStyle w:val="Heading2"/>
      </w:pPr>
      <w:r>
        <w:t>Retrograde Datenerfassung zu pädiatrischen Patienten mit CKD-Anämie ermöglicht Registerstudie</w:t>
      </w:r>
    </w:p>
    <w:p>
      <w:r>
        <w:rPr>
          <w:i/>
          <w:color w:val="666666"/>
          <w:sz w:val="18"/>
        </w:rPr>
        <w:t>Mountcastle S et al.  ·  BMC Nephrol  ·  27.08.2026  ·  PMID 42717324</w:t>
      </w:r>
    </w:p>
    <w:p>
      <w:r>
        <w:t>Machbarkeitsstudie zur Durchführbarkeit der retrospektiven Erhebung klinischer Charakteristika, Behandlungshistorie und Nebenwirkungen bei pädiatrischen Dialyse-Patienten mit Anämie aus Krankenakten in UK und USA.</w:t>
      </w:r>
    </w:p>
    <w:p>
      <w:r>
        <w:rPr>
          <w:b/>
        </w:rPr>
        <w:t xml:space="preserve">Ergebnis: </w:t>
      </w:r>
      <w:r>
        <w:t>Unter 50 eingeschlossenen Patienten (36 UK, 14 USA, Median 9 Jahre) lag die mittlere Hemoglobin-Baseline bei 10,0 (2,0) g/dL. 46 % erhielten Eisentherapie mit der erythropoese-stimulierenden Therapie. Die mediane Nachverfolgung betrug 52,1 Wochen; 20 unerwünschte Ereignisse traten bei 9 (18 %) Patienten auf (alle schwerwiegend). Die Studie demonstrierte Machbarkeit, aus medizinischen Unterlagen klinische Charakteristika, Behandlungshistorie und Nebenwirkungen bei pädiatrischen Patienten mit CKD-Anämie zu erfassen.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 und USA, begrenzte Übertragbarkeit auf Deutschland; wesentlich für internationale Vergleichbarkeit von Pädiatrie-Versorgung</w:t>
      </w:r>
    </w:p>
    <w:p>
      <w:r>
        <w:rPr>
          <w:color w:val="5A7D3A"/>
          <w:sz w:val="18"/>
        </w:rPr>
        <w:t>https://pubmed.ncbi.nlm.nih.gov/42717324/</w:t>
      </w:r>
    </w:p>
    <w:p>
      <w:pPr>
        <w:pStyle w:val="Heading2"/>
      </w:pPr>
      <w:r>
        <w:t>Multimorbidität-Muster beeinflussen Therapieerfolg bei älteren Menschen mit Frailty</w:t>
      </w:r>
    </w:p>
    <w:p>
      <w:r>
        <w:rPr>
          <w:i/>
          <w:color w:val="666666"/>
          <w:sz w:val="18"/>
        </w:rPr>
        <w:t>Vetrano DL et al.  ·  Nat Aging  ·  31.08.2026  ·  PMID 42675189</w:t>
      </w:r>
    </w:p>
    <w:p>
      <w:r>
        <w:t>Die Studie prüfte, ob die Wirksamkeit eines multikomponentalen Lebensstil-Interventionsprogramms (körperliche Aktivität mit technologischer Unterstützung und Ernährungsberatung) bei älteren Menschen mit Frailty und Mehrfacherkrankungen je nach Erkrankungsmuster variiert.</w:t>
      </w:r>
    </w:p>
    <w:p>
      <w:r>
        <w:rPr>
          <w:b/>
        </w:rPr>
        <w:t xml:space="preserve">Ergebnis: </w:t>
      </w:r>
      <w:r>
        <w:t>Insgesamt reduzierte die Intervention das Risiko für Mobilitätsbehinderung oder Tod um 22 % (HR 0,78; 95%-KI 0,66–0,92). Bei Patienten mit psychiatrischem Erkrankungsmuster war der Nutzen besonders groß (HR 0,65; 95%-KI 0,47–0,92); diese Gruppe gewann im Median 3,09 Monate ohne Mobilitätseinschränkung oder Tod. Bei kardio-metabolischen und respiratorischen Mustern zeigten sich keine statistisch signifikanten Unterschiede. Dies zeigt, dass Erkrankungsmuster die Therapieansprechbarkeit beeinflussen und Risikostratifizierung für präventive Maßnahmen wichtig ist.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Studie (Italien, Schweden, Deutschland), vergleichbare Struktur von Versorgung und Vorsorge</w:t>
      </w:r>
    </w:p>
    <w:p>
      <w:r>
        <w:rPr>
          <w:color w:val="5A7D3A"/>
          <w:sz w:val="18"/>
        </w:rPr>
        <w:t>https://pubmed.ncbi.nlm.nih.gov/42675189/</w:t>
      </w:r>
    </w:p>
    <w:p>
      <w:pPr>
        <w:pStyle w:val="Heading2"/>
      </w:pPr>
      <w:r>
        <w:t>Strukturierte COPD-Versorgung mit früher Diagnose und Triple-Inhalation senkt Mortalität</w:t>
      </w:r>
    </w:p>
    <w:p>
      <w:r>
        <w:rPr>
          <w:i/>
          <w:color w:val="666666"/>
          <w:sz w:val="18"/>
        </w:rPr>
        <w:t>Rogliani P et al.  ·  Intern Emerg Med  ·  21.08.2026  ·  PMID 42629534</w:t>
      </w:r>
    </w:p>
    <w:p>
      <w:r>
        <w:t>Italienische Expertengruppe entwickelte praktische Empfehlungen zur Optimierung der COPD-Versorgung im italienischen Gesundheitssystem, basierend auf aktuellen Daten und dem Problem der Unterdiagnose.</w:t>
      </w:r>
    </w:p>
    <w:p>
      <w:r>
        <w:rPr>
          <w:b/>
        </w:rPr>
        <w:t xml:space="preserve">Ergebnis: </w:t>
      </w:r>
      <w:r>
        <w:t>Die Empfehlungen betonen: (1) strukturierte Fallsuche in Hausarztpraxen mit Spirometrie zur frühen Diagnose; (2) Standardisierung der Identifikation unkontrollierter Patienten durch Symptom-Scores und indirekte Marker (rezidivierende Antibiotika- oder Kortikosteroid-Nutzung); (3) Single-Inhaler-Triple-Therapie (SITT) als einzige pharmakologische Strategie, die nachweislich Exazerbationen und Gesamtmortalität bei Hochrisikopatienten senkt. Die Auswirkung auf kardiopulmonale Dekompensation wird diskutiert. Ein integrierter Versorgungspfad und Überwindung therapeutischer Trägheit sind zentral.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Italien, vergleichbare Verbraucherperspektive und Dokumentationssysteme wie Deutschland</w:t>
      </w:r>
    </w:p>
    <w:p>
      <w:r>
        <w:rPr>
          <w:color w:val="5A7D3A"/>
          <w:sz w:val="18"/>
        </w:rPr>
        <w:t>https://pubmed.ncbi.nlm.nih.gov/42629534/</w:t>
      </w:r>
    </w:p>
    <w:p>
      <w:pPr>
        <w:pStyle w:val="Heading2"/>
      </w:pPr>
      <w:r>
        <w:t>Retinale Gefäßzeichen vorhersagen Depressionsrisiko und nachfolgende chronische Erkrankungen</w:t>
      </w:r>
    </w:p>
    <w:p>
      <w:r>
        <w:rPr>
          <w:i/>
          <w:color w:val="666666"/>
          <w:sz w:val="18"/>
        </w:rPr>
        <w:t>Wang Y et al.  ·  J Affect Disord  ·  01.12.2026  ·  PMID 42551563</w:t>
      </w:r>
    </w:p>
    <w:p>
      <w:r>
        <w:t>Longitudinale Kohortenstudie untersuchte, ob retinale Gefäßstrukturen (quantifiziert aus Fundusphotographien) das Risiko für künftige Depression und darauffolgende chronische Erkrankungen in der UK Biobank vorhersagen.</w:t>
      </w:r>
    </w:p>
    <w:p>
      <w:r>
        <w:rPr>
          <w:b/>
        </w:rPr>
        <w:t xml:space="preserve">Ergebnis: </w:t>
      </w:r>
      <w:r>
        <w:t>Über mittlere 11,3 Jahre Follow-up waren breitere retinale Venen mit erhöhtem Depressionsrisiko assoziiert (zentrales retinales Venenäquivalent: HR 1,25, 95%-KI 1,06–1,48; Venenbreite: HR 1,31, 95%-KI 1,12–1,54). Bei 1.507 Patienten mit Depression ohne vorbestehende chronische Erkrankungen war niedrigere arterielle Gefäßdichte mit erhöhtem Gesamtrisiko für chronische Erkrankung assoziiert (HR 0,71, 95%-KI 0,54–0,95), während erhöhte retinale Gefäßtortuosität mit kardiovaskulärem Risiko verbunden war (HR 2,24–1,90). Retinale Gefäßneuroimaging könnte als nicht-invasiver Biomarker-Kandidat für Risikostratifizierung dienen.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 Biobank mit standardisierter digitaler Bildgebung, übertragbar auf deutsche Versorgungsforschung mit Screeningpotenzialen</w:t>
      </w:r>
    </w:p>
    <w:p>
      <w:r>
        <w:rPr>
          <w:color w:val="5A7D3A"/>
          <w:sz w:val="18"/>
        </w:rPr>
        <w:t>https://pubmed.ncbi.nlm.nih.gov/42551563/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Nicht uebertragbare Krankheiten</dc:title>
  <dc:subject/>
  <dc:creator>Monitor Versorgungsforschung</dc:creator>
  <cp:keywords/>
  <dc:description>generated by python-docx</dc:description>
  <cp:lastModifiedBy/>
  <cp:revision>1</cp:revision>
  <dcterms:created xsi:type="dcterms:W3CDTF">2026-09-17T06:00:00Z</dcterms:created>
  <dcterms:modified xsi:type="dcterms:W3CDTF">2026-09-17T06:00:00Z</dcterms:modified>
  <cp:category/>
</cp:coreProperties>
</file>