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28.09.2026  |  6 Studien  |  ncd.m-vf.de</w:t>
      </w:r>
    </w:p>
    <w:p>
      <w:pPr>
        <w:pStyle w:val="Heading1"/>
      </w:pPr>
      <w:r>
        <w:t>Aufgenommen am 28.09.2026</w:t>
      </w:r>
    </w:p>
    <w:p>
      <w:pPr>
        <w:pStyle w:val="Heading2"/>
      </w:pPr>
      <w:r>
        <w:t>Strukturierte COPD-Versorgung senkte Sterblichkeit nach akuter Exazerbation um 36 %</w:t>
      </w:r>
    </w:p>
    <w:p>
      <w:r>
        <w:rPr>
          <w:i/>
          <w:color w:val="666666"/>
          <w:sz w:val="18"/>
        </w:rPr>
        <w:t>Flury JS et al.  ·  Swiss Med Wkly  ·  31.08.2026  ·  PMID 42801453</w:t>
      </w:r>
    </w:p>
    <w:p>
      <w:r>
        <w:t>Retrospektive Kohorte von 1.855 Patienten mit akuter COPD-Exazerbation: Wer vor Hospitalisierung langwirkende inhalative Therapie erhielt, hatte deutlich bessere 1-Jahres-Überlebenschancen.</w:t>
      </w:r>
    </w:p>
    <w:p>
      <w:r>
        <w:rPr>
          <w:b/>
        </w:rPr>
        <w:t xml:space="preserve">Ergebnis: </w:t>
      </w:r>
      <w:r>
        <w:t>15,9 % Mortalität ohne Vortherapie vs. 10,1 % mit Vortherapie (adjustierte HR 1,95; 95%-KI 1,48–2,56; p&lt;0,001). Diagnostische und therapeutische Lücken waren erheblich: 50,6 % fehlte GOLD-Spirometrie-Staging, 82,6 % fehlte Risikostratifizierung.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sekundäres Krankenhaus, vergleichbar mit deutscher Dokumentationspraxis und Strukturen.</w:t>
      </w:r>
    </w:p>
    <w:p>
      <w:r>
        <w:rPr>
          <w:color w:val="5A7D3A"/>
          <w:sz w:val="18"/>
        </w:rPr>
        <w:t>https://pubmed.ncbi.nlm.nih.gov/42801453/</w:t>
      </w:r>
    </w:p>
    <w:p>
      <w:pPr>
        <w:pStyle w:val="Heading2"/>
      </w:pPr>
      <w:r>
        <w:t>Natrium-Bikarbonat verbesserte Lebensqualität nicht bei CKD mit metabolischer Azidose</w:t>
      </w:r>
    </w:p>
    <w:p>
      <w:r>
        <w:rPr>
          <w:i/>
          <w:color w:val="666666"/>
          <w:sz w:val="18"/>
        </w:rPr>
        <w:t>Chan JYM et al.  ·  Qual Life Res  ·  27.09.2026  ·  PMID 42801387</w:t>
      </w:r>
    </w:p>
    <w:p>
      <w:r>
        <w:t>Pragmatische 18-Monats-RCT in Malaysia: 74 Patienten mit CKD Stadium 3–4 und metabolischer Azidose randomisiert zu Natrium-Bikarbonat (Tablette/Lösung) oder Standardbetreuung; Lebensqualität mittels KDQOL-36 und EQ-VAS gemessen.</w:t>
      </w:r>
    </w:p>
    <w:p>
      <w:r>
        <w:rPr>
          <w:b/>
        </w:rPr>
        <w:t xml:space="preserve">Ergebnis: </w:t>
      </w:r>
      <w:r>
        <w:t>Natrium-Bikarbonat erhöhte Serum-Bikarbonat initial, aber nur 1/3 erreichte Zielbereich 22–26 mmol/L. KDQOL-36- und EQ-VAS-Scores verbesserten sich nicht signifikant. CKD-Progression war unabhängig mit niedrigerer Lebensqualität assoziiert. Keine signifikanten Unterschiede in Blutdruck, Körpergewicht oder Hospitalisierungen.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Malaysia, Primäre Versorgung, zeigt, dass Laborwerte nicht automatisch Patientenbefinden verbessern.</w:t>
      </w:r>
    </w:p>
    <w:p>
      <w:r>
        <w:rPr>
          <w:color w:val="5A7D3A"/>
          <w:sz w:val="18"/>
        </w:rPr>
        <w:t>https://pubmed.ncbi.nlm.nih.gov/42801387/</w:t>
      </w:r>
    </w:p>
    <w:p>
      <w:pPr>
        <w:pStyle w:val="Heading2"/>
      </w:pPr>
      <w:r>
        <w:t>Depression und Angst bei COPD-Patienten: Großflächig unterdiagnostiziert und untertherapiert</w:t>
      </w:r>
    </w:p>
    <w:p>
      <w:r>
        <w:rPr>
          <w:i/>
          <w:color w:val="666666"/>
          <w:sz w:val="18"/>
        </w:rPr>
        <w:t>Valiulis T et al.  ·  Int J Chron Obstruct Pulmon Dis  ·  22.09.2026  ·  PMID 42801175</w:t>
      </w:r>
    </w:p>
    <w:p>
      <w:r>
        <w:t>Landesweite Sekundärdatenanalyse aus Litauen mit 64.246 COPD-Patienten zur Häufigkeit psychiatrischer Komorbiditäten und deren Behandlung.</w:t>
      </w:r>
    </w:p>
    <w:p>
      <w:r>
        <w:rPr>
          <w:b/>
        </w:rPr>
        <w:t xml:space="preserve">Ergebnis: </w:t>
      </w:r>
      <w:r>
        <w:t>18,1 % hatte diagnostizierte psychiatrische Störung (26,8 % Frauen vs. 12,1 % Männer; adjustierte OR 2,40; p&lt;0,001). Angststörungen 15,0 %, depressive Störungen 4,6 %. 61,9 % der betroffenen Patienten erhielten Psychopharmaka, davon 89,9 % Anxiolytika. Hausärzte verschrieben 10,66-fach häufiger Anxiolytika als Psychiater.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Litauen, Primäre Versorgung, zeigt Versorgungslücke auch in europäischen Gesundheitssystemen.</w:t>
      </w:r>
    </w:p>
    <w:p>
      <w:r>
        <w:rPr>
          <w:color w:val="5A7D3A"/>
          <w:sz w:val="18"/>
        </w:rPr>
        <w:t>https://pubmed.ncbi.nlm.nih.gov/42801175/</w:t>
      </w:r>
    </w:p>
    <w:p>
      <w:pPr>
        <w:pStyle w:val="Heading2"/>
      </w:pPr>
      <w:r>
        <w:t>Multidimensionale COPD-Phänotypen lassen sich clustern, benötigen aber externe Validierung</w:t>
      </w:r>
    </w:p>
    <w:p>
      <w:r>
        <w:rPr>
          <w:i/>
          <w:color w:val="666666"/>
          <w:sz w:val="18"/>
        </w:rPr>
        <w:t>Portacci A et al.  ·  Medicina (Kaunas)  ·  29.08.2026  ·  PMID 42796263</w:t>
      </w:r>
    </w:p>
    <w:p>
      <w:r>
        <w:t>Explorative Querschnittsstudie mit 161 COPD-Patienten: Unüberwachte Clusteranalyse (PAM) auf klinische, funktionelle, radiologische und Labordaten zur Identifikation von Phänotyp-Subgruppen.</w:t>
      </w:r>
    </w:p>
    <w:p>
      <w:r>
        <w:rPr>
          <w:b/>
        </w:rPr>
        <w:t xml:space="preserve">Ergebnis: </w:t>
      </w:r>
      <w:r>
        <w:t>Zwei-Cluster-Lösung hatte höchste Silhouetten-Breite (0,184), aber geringe Trennung. Cluster 1 (n=78): höhere Symptom- und Exazerbationslast, schlechtere Lungenfunktion, stärkere statische Hyperinflation, kürzere 6-Minuten-Gehstrecke, häufiger Emphysem. Bootstrap-Resampling zeigte interne Stabilität, externe Validierung aber erforderlich. Nur LAMA/LABA/ICS-Einsatz unterschied sich signifikant zwischen Clustern.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Sekundärversorgung; explorativ, externe Validierung ausstehend.</w:t>
      </w:r>
    </w:p>
    <w:p>
      <w:r>
        <w:rPr>
          <w:color w:val="5A7D3A"/>
          <w:sz w:val="18"/>
        </w:rPr>
        <w:t>https://pubmed.ncbi.nlm.nih.gov/42796263/</w:t>
      </w:r>
    </w:p>
    <w:p>
      <w:pPr>
        <w:pStyle w:val="Heading2"/>
      </w:pPr>
      <w:r>
        <w:t>RDW sagt 1-Jahres-Mortalität bei CKD mit Hypertonie voraus – praktisch anwendbar</w:t>
      </w:r>
    </w:p>
    <w:p>
      <w:r>
        <w:rPr>
          <w:i/>
          <w:color w:val="666666"/>
          <w:sz w:val="18"/>
        </w:rPr>
        <w:t>Li L et al.  ·  BMC Cardiovasc Disord  ·  08.08.2026  ·  PMID 42791552</w:t>
      </w:r>
    </w:p>
    <w:p>
      <w:r>
        <w:t>Retrospektive Kohorte von 6.731 ICU-Patienten mit hypertensiver CKD aus MIMIC-IV: Assoziation von Blutbild-Parametern (RDW, HRR, RPR) mit 1-Jahres-Mortalität mittels Cox-Regression und ROC-Analysen.</w:t>
      </w:r>
    </w:p>
    <w:p>
      <w:r>
        <w:rPr>
          <w:b/>
        </w:rPr>
        <w:t xml:space="preserve">Ergebnis: </w:t>
      </w:r>
      <w:r>
        <w:t>37,2 % (2.505/6.731) starben innerhalb eines Jahres. Erhöhtes RDW assoziiert mit erhöhtem Mortalitätsrisiko (HR 1,19; 95%-KI 1,16–1,21; p&lt;0,001). AUC für RDW 0,668, für HRR 0,600. RDW verbesserte Vorhersageleistung etablierter Risikomodelle; Subgruppen-Interaktionen mit CRRT-Einsatz und CKD-Stadium nachgewiesen.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MIMIC-IV-Datenbank (USA), aber einfache Laborparameter ohne Kostensperre übertragbar.</w:t>
      </w:r>
    </w:p>
    <w:p>
      <w:r>
        <w:rPr>
          <w:color w:val="5A7D3A"/>
          <w:sz w:val="18"/>
        </w:rPr>
        <w:t>https://pubmed.ncbi.nlm.nih.gov/42791552/</w:t>
      </w:r>
    </w:p>
    <w:p>
      <w:pPr>
        <w:pStyle w:val="Heading2"/>
      </w:pPr>
      <w:r>
        <w:t>Kindliche Traumata verdoppeln Multimorbidität im Alter – Dosis-Wirkungs-Beziehung nachgewiesen</w:t>
      </w:r>
    </w:p>
    <w:p>
      <w:r>
        <w:rPr>
          <w:i/>
          <w:color w:val="666666"/>
          <w:sz w:val="18"/>
        </w:rPr>
        <w:t>Ahmed A et al.  ·  PLoS One  ·  25.09.2026  ·  PMID 42789523</w:t>
      </w:r>
    </w:p>
    <w:p>
      <w:r>
        <w:t>Querschnittsstudie mit 734 Nigeranern ≥60 Jahren: Kumulative adverse Kindheitserlebnisse (ACEs) und deren Assoziation mit Multimorbidität (≥2 chronische Erkrankungen).</w:t>
      </w:r>
    </w:p>
    <w:p>
      <w:r>
        <w:rPr>
          <w:b/>
        </w:rPr>
        <w:t xml:space="preserve">Ergebnis: </w:t>
      </w:r>
      <w:r>
        <w:t>68,4 % berichteten ≥4 ACEs. Multimorbidität bei 38,4 % (≥3 Erkrankungen). Unadjustierte OR für ≥4 ACEs: 67,14 (95%-KI 9,25–487,04). Nach Adjustierung (Alter, Geschlecht, Haushaltsgröße) OR 15,58 (95%-KI 1,33–182,21). Klare Dosis-Wirkungs-Beziehung nachgewiesen.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Nigeria, aber Lebensverlauf-Mechanismus transkulturell relevant; zeigt Ungleichheit als Untersuchungsgegenstand.</w:t>
      </w:r>
    </w:p>
    <w:p>
      <w:r>
        <w:rPr>
          <w:color w:val="5A7D3A"/>
          <w:sz w:val="18"/>
        </w:rPr>
        <w:t>https://pubmed.ncbi.nlm.nih.gov/42789523/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2026-09-28T06:00:00Z</dcterms:created>
  <dcterms:modified xsi:type="dcterms:W3CDTF">2026-09-28T06:00:00Z</dcterms:modified>
  <cp:category/>
</cp:coreProperties>
</file>