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14.10.2026  |  6 Studien  |  onkologie.m-vf.de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Beschleunigte Hypofractionierung bei inoperablem NSCLC: Konsensus gegen überlegene Evidenz</w:t>
      </w:r>
    </w:p>
    <w:p>
      <w:r>
        <w:rPr>
          <w:i/>
          <w:color w:val="666666"/>
          <w:sz w:val="18"/>
        </w:rPr>
        <w:t>Chun SG et al.  ·  Int J Radiat Oncol Biol Phys  ·  13.10.2026  ·  PMID 42869299</w:t>
      </w:r>
    </w:p>
    <w:p>
      <w:r>
        <w:t>Ein multidisziplinäres Expertenpanel der American Radium Society entwickelte Appropriate-Use-Kriterien für beschleunigte hypofractionierte Strahlentherapie bei lokal fortgeschrittenem NSCLC ohne Chemotherapie-Eignung.</w:t>
      </w:r>
    </w:p>
    <w:p>
      <w:r>
        <w:rPr>
          <w:b/>
        </w:rPr>
        <w:t xml:space="preserve">Ergebnis: </w:t>
      </w:r>
      <w:r>
        <w:t>Das Panel befürwortete IMRT und Protonentherapie mit Dosisbeschränkungen (Lunge V20&lt;30%, Herz V40&lt;20%) bei 15-Fraktionen-Hypofractionierung, lehnte aber auf Basis von 14 klinischen Studien (davon nur eine Phase III randomisiert) die Überlegenheit gegenüber konventioneller 60-Gy-Fraktionierung ab. Consolidative, nicht concurrent Immuntherapie wird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Leitlinienconsensus; deutsche Zentren folgen DEGRO-Empfehlungen mit vergleichbarem Evidenzstand</w:t>
      </w:r>
    </w:p>
    <w:p>
      <w:r>
        <w:rPr>
          <w:color w:val="5A7D3A"/>
          <w:sz w:val="18"/>
        </w:rPr>
        <w:t>https://pubmed.ncbi.nlm.nih.gov/42869299/</w:t>
      </w:r>
    </w:p>
    <w:p>
      <w:pPr>
        <w:pStyle w:val="Heading2"/>
      </w:pPr>
      <w:r>
        <w:t>Immunoscore stratifiziert HPV-assoziiertes Oropharynxkarzinom besser als TNM-Stadium</w:t>
      </w:r>
    </w:p>
    <w:p>
      <w:r>
        <w:rPr>
          <w:i/>
          <w:color w:val="666666"/>
          <w:sz w:val="18"/>
        </w:rPr>
        <w:t>Nguyen DH et al.  ·  Clin Cancer Res  ·  13.10.2026  ·  PMID 42868274</w:t>
      </w:r>
    </w:p>
    <w:p>
      <w:r>
        <w:t>Ein internationales Team validierte den Immunoscore (CD3+/CD8+-Dichten in Tumor und Invasionsrand) zur Prognosevorhersage in HPV-positivem Oropharynxkarzinom in drei Validierungskohorten mit insgesamt 191 Patienten.</w:t>
      </w:r>
    </w:p>
    <w:p>
      <w:r>
        <w:rPr>
          <w:b/>
        </w:rPr>
        <w:t xml:space="preserve">Ergebnis: </w:t>
      </w:r>
      <w:r>
        <w:t>Immunoscore-High-Patienten erreichten über alle Kohorten hinweg besseres 3-Jahres-krankheitsfreies Überleben (DFS) (log-rank p&lt;0,05). Im multivariablen Modell war Immunoscore-Low der unabhängige Prognosefaktor mit größtem adjustiertem Effekt (HR 9,03, 95%-KI 4,02–20,31, p&lt;0,001). Das kombinierte Immunoscore-klinische Modell zeigte bessere DFS-Vorhersage als klinisches Modell allein (C-Index 0,82 vs. 0,70, p&lt;0,0001).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Multizenterstudie, französische/UK-Daten, internationales Validierungskonzept übertragbar</w:t>
      </w:r>
    </w:p>
    <w:p>
      <w:r>
        <w:rPr>
          <w:color w:val="5A7D3A"/>
          <w:sz w:val="18"/>
        </w:rPr>
        <w:t>https://pubmed.ncbi.nlm.nih.gov/42868274/</w:t>
      </w:r>
    </w:p>
    <w:p>
      <w:pPr>
        <w:pStyle w:val="Heading2"/>
      </w:pPr>
      <w:r>
        <w:t>Übermäßige Fettgewebszunahme unter Therapie erhöht Rezidivrisiko bei Hodgkin-Lymphom bei Kindern</w:t>
      </w:r>
    </w:p>
    <w:p>
      <w:r>
        <w:rPr>
          <w:i/>
          <w:color w:val="666666"/>
          <w:sz w:val="18"/>
        </w:rPr>
        <w:t>Wadhwa A et al.  ·  J Natl Cancer Inst  ·  13.10.2026  ·  PMID 42867833</w:t>
      </w:r>
    </w:p>
    <w:p>
      <w:r>
        <w:t>Longitudinale Analyse von 951 Kindern mit intermediärem/hochrisiko Hodgkin-Lymphom aus Therapiestudien mit CT-Messung von Skelettmuskel- und Fettgewebsfläche vor/nach 2 Chemotherapie-Zyklen.</w:t>
      </w:r>
    </w:p>
    <w:p>
      <w:r>
        <w:rPr>
          <w:b/>
        </w:rPr>
        <w:t xml:space="preserve">Ergebnis: </w:t>
      </w:r>
      <w:r>
        <w:t>Übermäßige Fettgewebszunahme (beobachtet in 36,2%) war bei Patienten mit negativem PET2-Scan mit 1,73-fach erhöhter bereinigter Hazard für Relapse assoziiert (95%-KI 1,08–2,77, p=0,02), nicht jedoch bei positivem PET2 (HR 0,90, 95%-KI 0,51–1,57, p=0,70). Skelettmuskelveränderungen zeigten keine Rezidivassoziation.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US-Kohortenstudie (SEER/COG-Daten); Kandidaten-Biomarker, Mechanismus unklar</w:t>
      </w:r>
    </w:p>
    <w:p>
      <w:r>
        <w:rPr>
          <w:color w:val="5A7D3A"/>
          <w:sz w:val="18"/>
        </w:rPr>
        <w:t>https://pubmed.ncbi.nlm.nih.gov/42867833/</w:t>
      </w:r>
    </w:p>
    <w:p>
      <w:pPr>
        <w:pStyle w:val="Heading2"/>
      </w:pPr>
      <w:r>
        <w:t>Unter-Nutzung von Knochenschutztherapie bei mCRPC trotz hoher Morbidität in Hochrisiko-Patienten</w:t>
      </w:r>
    </w:p>
    <w:p>
      <w:r>
        <w:rPr>
          <w:i/>
          <w:color w:val="666666"/>
          <w:sz w:val="18"/>
        </w:rPr>
        <w:t>van der Velden KJM et al.  ·  J Natl Cancer Inst  ·  13.10.2026  ·  PMID 42867156</w:t>
      </w:r>
    </w:p>
    <w:p>
      <w:r>
        <w:t>Vergleichende Analyse von 2.115 mCRPC-Patienten mit Knochenmetas aus Dutch CAPRI-3-Register (2016–2021) versus 1.923 aus CAPRI-2 (2010–2015), Messung von Knochenschutzmittel-Nutzung und symptomatischen skelettalen Ereignissen nach Chemotherapie-Initiierung.</w:t>
      </w:r>
    </w:p>
    <w:p>
      <w:r>
        <w:rPr>
          <w:b/>
        </w:rPr>
        <w:t xml:space="preserve">Ergebnis: </w:t>
      </w:r>
      <w:r>
        <w:t>Knochenschutzmittel-Einsatz sank von 60% auf 28%, nur 8% erhielten guideline-empfohlenes Timing (≤4 Wochen nach Therapiestart). Gesamte symptomatische skelettale Ereignis-Inzidenz nahm ab (0,26 auf 0,21 pro Patient-Jahr), aber Hochrisiko-Patienten mit frühem Knochenschutz erlebten höchste Ereignisdichte (0,29) und kürzestes ereignisfreies Überleben (8,7 vs. 14,6 Monate,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Dokumentationstandards wie Deutschland</w:t>
      </w:r>
    </w:p>
    <w:p>
      <w:r>
        <w:rPr>
          <w:color w:val="5A7D3A"/>
          <w:sz w:val="18"/>
        </w:rPr>
        <w:t>https://pubmed.ncbi.nlm.nih.gov/42867156/</w:t>
      </w:r>
    </w:p>
    <w:p>
      <w:pPr>
        <w:pStyle w:val="Heading2"/>
      </w:pPr>
      <w:r>
        <w:t>Hochgradige Befolgung von Lifestyle-Leitlinien verbessert Gesundheit bei Chemotherapie-behandelten Brustkrebsüberlebenden</w:t>
      </w:r>
    </w:p>
    <w:p>
      <w:r>
        <w:rPr>
          <w:i/>
          <w:color w:val="666666"/>
          <w:sz w:val="18"/>
        </w:rPr>
        <w:t>Bodelon C et al.  ·  J Natl Cancer Inst  ·  13.10.2026  ·  PMID 42867136</w:t>
      </w:r>
    </w:p>
    <w:p>
      <w:r>
        <w:t>Prospektive Kohortenstudie mit 1.610 Brustkrebsüberlebenden und 16.100 altersgepaarten Kontrollpersonen aus der American Cancer Society Cancer Prevention Study-3, Auswertung der Assoziation zwischen Befolgung von ACS-Lifestyle-Leitlinien (Score 0–8) und Patient-Reported Outcomes Measurement Information System Global Health Scale.</w:t>
      </w:r>
    </w:p>
    <w:p>
      <w:r>
        <w:rPr>
          <w:b/>
        </w:rPr>
        <w:t xml:space="preserve">Ergebnis: </w:t>
      </w:r>
      <w:r>
        <w:t>Höhere Leitlinien-Befolgung war mit besserer physischer Gesundheit assoziiert (p&lt;0,001). Chemotherapie-behandelte Überlebende mit niedriger Befolgung zeigten schlechtere Gesundheit (&lt;3 Jahre: β=−2,67, 95%-KI −3,77 bis −1,58; ≥3 Jahre: β=−2,10, 95%-KI −3,70 bis −0,51). Mit hoher Befolgung war Gesundheit vergleichbar mit nicht-krebserkrankten Frauen oder besser (&lt;3 Jahre: β=1,09, 95%-KI 0,30–1,89; ≥3 Jahre: β=2,56, 95%-KI 1,40–3,72).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Lifestyle-Empfehlungen gelten international, Übertragbarkeit auf deutsche Nachsorge</w:t>
      </w:r>
    </w:p>
    <w:p>
      <w:r>
        <w:rPr>
          <w:color w:val="5A7D3A"/>
          <w:sz w:val="18"/>
        </w:rPr>
        <w:t>https://pubmed.ncbi.nlm.nih.gov/42867136/</w:t>
      </w:r>
    </w:p>
    <w:p>
      <w:pPr>
        <w:pStyle w:val="Heading2"/>
      </w:pPr>
      <w:r>
        <w:t>MXD4-abhängige Proliferationspause ermöglicht Hirnmetastasen-Überleben: therapeutische Angriffsfläche</w:t>
      </w:r>
    </w:p>
    <w:p>
      <w:r>
        <w:rPr>
          <w:i/>
          <w:color w:val="666666"/>
          <w:sz w:val="18"/>
        </w:rPr>
        <w:t>García-Gómez P et al.  ·  Cancer Cell  ·  12.10.2026  ·  PMID 42805170</w:t>
      </w:r>
    </w:p>
    <w:p>
      <w:r>
        <w:t>Mechanistische Studie an experimentellen Hirnmetastasen-Modellen und Patienten-Mikrometastasen zur Identifikation adaptiver Zustände metastatischer Zellen vor vaskulärer Ko-Option; genetische Disruption von MXD4 (MYC-Antagonist) und Screening nach therapeutischen Vulnerabilitäten in Organ-Kulturen.</w:t>
      </w:r>
    </w:p>
    <w:p>
      <w:r>
        <w:rPr>
          <w:b/>
        </w:rPr>
        <w:t xml:space="preserve">Ergebnis: </w:t>
      </w:r>
      <w:r>
        <w:t>MXD4-abhängige vorübergehende Proliferationspause puffert Early-Colonization-Stress ab. Genetische MXD4-Disruption beeinträchtigt Mikrometastasen-Überleben und verhindert Progression zu Makrometastasen. Vulnerabilität der Pause ist mit klinisch verfügbaren Medikamenten angreifbar; Modell validiert in Patienten-Hirnmikrometastasen.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Grundlagen-/Translationsforschung (Spanien, UK, USA); klinischer Modellorganismus (Patient-Kulturen)</w:t>
      </w:r>
    </w:p>
    <w:p>
      <w:r>
        <w:rPr>
          <w:color w:val="5A7D3A"/>
          <w:sz w:val="18"/>
        </w:rPr>
        <w:t>https://pubmed.ncbi.nlm.nih.gov/42805170/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