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01.10.2026  |  7 Studien  |  onkologie.m-vf.de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Strahlentherapie mit Antikörper-Wirkstoff-Konjugaten bei Brustkrebs: Sicherheit belegt</w:t>
      </w:r>
    </w:p>
    <w:p>
      <w:r>
        <w:rPr>
          <w:i/>
          <w:color w:val="666666"/>
          <w:sz w:val="18"/>
        </w:rPr>
        <w:t>Visani L et al.  ·  Radiother Oncol  ·  30.09.2026  ·  PMID 42815776</w:t>
      </w:r>
    </w:p>
    <w:p>
      <w:r>
        <w:t>Systematische Übersicht mit Metaanalyse von 29 Studien (3.817 Patienten) zur Verträglichkeit kombinierter Radiotherapie und Antikörper-Wirkstoff-Konjugaten bei frühem und metastasiertem Brustkrebs.</w:t>
      </w:r>
    </w:p>
    <w:p>
      <w:r>
        <w:rPr>
          <w:b/>
        </w:rPr>
        <w:t xml:space="preserve">Ergebnis: </w:t>
      </w:r>
      <w:r>
        <w:t>Schwere Strahlengewebsnekrose trat in 5% der Fälle auf (95%-KI: 1–12%). Bei intracranialer Stereotaxie waren 8% der Ereignisse ≥Grad 3 (95%-KI: 3–15%), mit T-DM1 13% (95%-KI: 1–34%). Pneumonitis und Hautreaktionen ≥Grad 3 waren selten (je 0%). Außerhalb des Schädels ist die Therapiekombination sicher; intracraniell, besonders mit T-DM1, ist Vorsicht geboten.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internationale Konsensusgruppe; übertragbar auf deutsche Zentren.</w:t>
      </w:r>
    </w:p>
    <w:p>
      <w:r>
        <w:rPr>
          <w:color w:val="5A7D3A"/>
          <w:sz w:val="18"/>
        </w:rPr>
        <w:t>https://pubmed.ncbi.nlm.nih.gov/42815776/</w:t>
      </w:r>
    </w:p>
    <w:p>
      <w:pPr>
        <w:pStyle w:val="Heading2"/>
      </w:pPr>
      <w:r>
        <w:t>Erdafitinib verlängert Überleben bei FGFR-verändertem Urothelkarzinom deutlich</w:t>
      </w:r>
    </w:p>
    <w:p>
      <w:r>
        <w:rPr>
          <w:i/>
          <w:color w:val="666666"/>
          <w:sz w:val="18"/>
        </w:rPr>
        <w:t>Loriot Y et al.  ·  ESMO Open  ·  30.09.2026  ·  PMID 42815410</w:t>
      </w:r>
    </w:p>
    <w:p>
      <w:r>
        <w:t>Phase-III-Studie THOR mit 278 Patienten mit FGFR3/2-alteriertem metastasiertem Urothelkarzinom nach PD-(L)1-Progression: Erdafitinib gegen Chemotherapie (Docetaxel/Vinflunin).</w:t>
      </w:r>
    </w:p>
    <w:p>
      <w:r>
        <w:rPr>
          <w:b/>
        </w:rPr>
        <w:t xml:space="preserve">Ergebnis: </w:t>
      </w:r>
      <w:r>
        <w:t>Medianes Gesamtüberleben: 12,1 vs. 8,7 Monate (HR 0,65; 95%-KI 0,48–0,86; p=0,0031). Progressionsfreies Überleben: 5,4 vs. 2,7 Monate (HR 0,59; p&lt;0,0001). Ansprechrate: 46,9% vs. 12,6% (RR 3,74). Schwere Nebenwirkungen 67,6% vs. 65,8%; therapieassoziierte Todesfälle 0,7% vs. 6,0%.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Studie; Zulassung relevant für Deutschland.</w:t>
      </w:r>
    </w:p>
    <w:p>
      <w:r>
        <w:rPr>
          <w:color w:val="5A7D3A"/>
          <w:sz w:val="18"/>
        </w:rPr>
        <w:t>https://pubmed.ncbi.nlm.nih.gov/42815410/</w:t>
      </w:r>
    </w:p>
    <w:p>
      <w:pPr>
        <w:pStyle w:val="Heading2"/>
      </w:pPr>
      <w:r>
        <w:t>Verzögerte Übelkeit unter moderater Chemoemesis-Gefährdung: Untererfassung über 120 Stunden hinaus</w:t>
      </w:r>
    </w:p>
    <w:p>
      <w:r>
        <w:rPr>
          <w:i/>
          <w:color w:val="666666"/>
          <w:sz w:val="18"/>
        </w:rPr>
        <w:t>Iimura Y et al.  ·  ESMO Open  ·  30.09.2026  ·  PMID 42815409</w:t>
      </w:r>
    </w:p>
    <w:p>
      <w:r>
        <w:t>Scoping Review systematischer Erfassung verzögerter chemotherapieassoziierter Übelkeit/Erbrechen (&gt;120 h) in 26 prospektiven Antiemetika-Studien (15 Phase III, 11 Phase II).</w:t>
      </w:r>
    </w:p>
    <w:p>
      <w:r>
        <w:rPr>
          <w:b/>
        </w:rPr>
        <w:t xml:space="preserve">Ergebnis: </w:t>
      </w:r>
      <w:r>
        <w:t>80,8% der Studien beschränkten Erfassung auf konventionelle 24–120 h. Komplette Remissionsquoten fielen von 71% in der Standardphase auf 62% in der Langzeitphase (&gt;120 h). Neurokinin-1-Antagonisten und ältere Patienten zeigten bessere Raten, höherer Frauenanteil schlechtere. Verlängerung der Erfassung wird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 mit deutschen Autoren; Versorgungsforschungsfrage.</w:t>
      </w:r>
    </w:p>
    <w:p>
      <w:r>
        <w:rPr>
          <w:color w:val="5A7D3A"/>
          <w:sz w:val="18"/>
        </w:rPr>
        <w:t>https://pubmed.ncbi.nlm.nih.gov/42815409/</w:t>
      </w:r>
    </w:p>
    <w:p>
      <w:pPr>
        <w:pStyle w:val="Heading2"/>
      </w:pPr>
      <w:r>
        <w:t>Abemaciclib plus endokrine Therapie bei HR-positivem Brustkrebs: Nutzen über Lymphknoten-Subgruppen konsistent</w:t>
      </w:r>
    </w:p>
    <w:p>
      <w:r>
        <w:rPr>
          <w:i/>
          <w:color w:val="666666"/>
          <w:sz w:val="18"/>
        </w:rPr>
        <w:t>Cortes J et al.  ·  ESMO Open  ·  30.09.2026  ·  PMID 42815408</w:t>
      </w:r>
    </w:p>
    <w:p>
      <w:r>
        <w:t>Nachfolgeanalyse monarchE-Studie, Kohort 1 (91% der Gesamtpopulation): Abemaciclib + endokrine Therapie über 2 Jahre bei knoten-positiven Hochrisiko-Patienten mit HR-positivem, HER2-negativem frühem Brustkrebs nach medianer Nachbeobachtung 76,8 Monate.</w:t>
      </w:r>
    </w:p>
    <w:p>
      <w:r>
        <w:rPr>
          <w:b/>
        </w:rPr>
        <w:t xml:space="preserve">Ergebnis: </w:t>
      </w:r>
      <w:r>
        <w:t>Konsistent anhaltender Rückgang des Rezidivrisikos (invasives krankheitsfreies Überleben) und fernmetastasenfreies Überleben über alle Lymphknoten-Subgruppen (N1-Hochrisiko, N2, N3). Ähnliches Rezidivrisiko zwischen N1-Hochrisiko (68,6% Grad 3) und N2; Nutzen in allen Subgruppen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Zulassungsrelevante Phase-III-Studie; Zentrenstandard.</w:t>
      </w:r>
    </w:p>
    <w:p>
      <w:r>
        <w:rPr>
          <w:color w:val="5A7D3A"/>
          <w:sz w:val="18"/>
        </w:rPr>
        <w:t>https://pubmed.ncbi.nlm.nih.gov/42815408/</w:t>
      </w:r>
    </w:p>
    <w:p>
      <w:pPr>
        <w:pStyle w:val="Heading2"/>
      </w:pPr>
      <w:r>
        <w:t>Giredestrant + Everolimus verdoppelt progressionsfreies Überleben bei HR+/HER2- metastasiertem Brustkrebs</w:t>
      </w:r>
    </w:p>
    <w:p>
      <w:r>
        <w:rPr>
          <w:i/>
          <w:color w:val="666666"/>
          <w:sz w:val="18"/>
        </w:rPr>
        <w:t>Mayer EL et al.  ·  N Engl J Med  ·  01.10.2026  ·  PMID 42814929</w:t>
      </w:r>
    </w:p>
    <w:p>
      <w:r>
        <w:t>Phase-III-Studie evERA mit 373 Patienten HR-positiv/HER2-negativ fortgeschrittenem Brustkrebs nach CDK4/6-Inhibitor-Versagen: Giredestrant + Everolimus vs. Standard endokrine Therapie + Everolimus.</w:t>
      </w:r>
    </w:p>
    <w:p>
      <w:r>
        <w:rPr>
          <w:b/>
        </w:rPr>
        <w:t xml:space="preserve">Ergebnis: </w:t>
      </w:r>
      <w:r>
        <w:t>Medianes progressionsfreies Überleben gesamt: 8,8 vs. 5,5 Monate (HR 0,56; 95%-KI 0,44–0,71; p&lt;0,001). Bei ESR1-mutiert (n=207): 10,0 vs. 5,5 Monate (HR 0,38; 95%-KI 0,27–0,54). Nebenwirkungsraten ähnlich: Stomatitis 47,3% vs. 48,9%, Diarrhö 26,9% vs. 22,6%, Anämie 23,6% vs. 21,0%.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Zulassungsrelevant; breites europäisches Netzwerk.</w:t>
      </w:r>
    </w:p>
    <w:p>
      <w:r>
        <w:rPr>
          <w:color w:val="5A7D3A"/>
          <w:sz w:val="18"/>
        </w:rPr>
        <w:t>https://pubmed.ncbi.nlm.nih.gov/42814929/</w:t>
      </w:r>
    </w:p>
    <w:p>
      <w:pPr>
        <w:pStyle w:val="Heading2"/>
      </w:pPr>
      <w:r>
        <w:t>Tumor-Adipozyten-Kontakt prognostiziert schlechteres Überleben beim Pankreaskarzinom unabhängig</w:t>
      </w:r>
    </w:p>
    <w:p>
      <w:r>
        <w:rPr>
          <w:i/>
          <w:color w:val="666666"/>
          <w:sz w:val="18"/>
        </w:rPr>
        <w:t>Günther M et al.  ·  Eur J Cancer  ·  16.10.2026  ·  PMID 42777382</w:t>
      </w:r>
    </w:p>
    <w:p>
      <w:r>
        <w:t>Internationale Multicenter-Studie (941 resezierte PDAC aus 5 Kohorten: München n=400, Bern n=215, Graz n=111, Erlangen n=101, TCGA n=114): Direkte Tumor-Adipozyten-Kontaktflächen (TAC/SARIFA) auf H&amp;E-Schnitten als prognostisches Merkmal.</w:t>
      </w:r>
    </w:p>
    <w:p>
      <w:r>
        <w:rPr>
          <w:b/>
        </w:rPr>
        <w:t xml:space="preserve">Ergebnis: </w:t>
      </w:r>
      <w:r>
        <w:t>TAC/SARIFA in 53% positiv, Cohen's Kappa 0,71 (Interobserver-Agreement). TAC+ assoziiert mit höherem N-Stadium, höherem Grad, älteren Patienten (alle p&lt;0,01). Medianes Gesamtüberleben 14,1 vs. 28,0 Monate (p&lt;0,001); unabhängiger Prognosefaktor (gepoolte HR 1,84; 95%-KI 1,59–2,14; p&lt;0,001). Geschlechtsspezifischer Effekt: HR 2,46 bei Männern vs. 1,50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Deutschsprachige Klinikdaten, vergleichbare Dokumentation; Routine-H&amp;E-Slides.</w:t>
      </w:r>
    </w:p>
    <w:p>
      <w:r>
        <w:rPr>
          <w:color w:val="5A7D3A"/>
          <w:sz w:val="18"/>
        </w:rPr>
        <w:t>https://pubmed.ncbi.nlm.nih.gov/42777382/</w:t>
      </w:r>
    </w:p>
    <w:p>
      <w:pPr>
        <w:pStyle w:val="Heading2"/>
      </w:pPr>
      <w:r>
        <w:t>Futibatinib nach nicht-kovalenten FGFR-Inhibitoren bei FGFR2-verändertem Gallengangskarzinom wirksam</w:t>
      </w:r>
    </w:p>
    <w:p>
      <w:r>
        <w:rPr>
          <w:i/>
          <w:color w:val="666666"/>
          <w:sz w:val="18"/>
        </w:rPr>
        <w:t>Casalino S et al.  ·  Eur J Cancer  ·  16.10.2026  ·  PMID 42731348</w:t>
      </w:r>
    </w:p>
    <w:p>
      <w:r>
        <w:t>Retrospektive europäische Multicenter-Studie (3 Zentren) an 16 Patienten mit FGFR2-rearrangiertem intrahepatischem Cholangiokarziom: Futibatinib nach Progression unter nicht-kovalenten FGFR-Inhibitoren.</w:t>
      </w:r>
    </w:p>
    <w:p>
      <w:r>
        <w:rPr>
          <w:b/>
        </w:rPr>
        <w:t xml:space="preserve">Ergebnis: </w:t>
      </w:r>
      <w:r>
        <w:t>Medianes PFS unter nicht-kovalenten Inhibitoren: 10,2 Monate (95%-KI 7,0–15,5), Ansprechrate 60,0%. Mit Futibatinib (Viertlinien-Median): ORR 31,3%, Kontrolle 50,0%, medianes PFS 4,5 Monate (95%-KI 2,0–9,1), medianes OS 9,9 Monate (95%-KI 5,7–nicht erreicht). FGFR2-Resistenzmutationen in 100% (n=11), polyklonal 45,5%. Effizienz unabhängig von Anzahl Resistenzmutationen.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italienische/britische Zentren; Mechanismus-Beweis für kovalente Nachfolgetherapie.</w:t>
      </w:r>
    </w:p>
    <w:p>
      <w:r>
        <w:rPr>
          <w:color w:val="5A7D3A"/>
          <w:sz w:val="18"/>
        </w:rPr>
        <w:t>https://pubmed.ncbi.nlm.nih.gov/42731348/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