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Onkologie</w:t>
      </w:r>
    </w:p>
    <w:p>
      <w:r>
        <w:rPr>
          <w:i/>
          <w:color w:val="666666"/>
          <w:sz w:val="18"/>
        </w:rPr>
        <w:t>Stand: 23.10.2026  |  2 Studien  |  onkologie.m-vf.de</w:t>
      </w:r>
    </w:p>
    <w:p>
      <w:pPr>
        <w:pStyle w:val="Heading1"/>
      </w:pPr>
      <w:r>
        <w:t>Aufgenommen am 23.10.2026</w:t>
      </w:r>
    </w:p>
    <w:p>
      <w:pPr>
        <w:pStyle w:val="Heading2"/>
      </w:pPr>
      <w:r>
        <w:t>Neoadjuvante Immunotherapie bei dMMR-Kolonkarzinom: 100% DFS und OS nach 3-5 Jahren</w:t>
      </w:r>
    </w:p>
    <w:p>
      <w:r>
        <w:rPr>
          <w:i/>
          <w:color w:val="666666"/>
          <w:sz w:val="18"/>
        </w:rPr>
        <w:t>Chalabi M et al.  ·  Lancet  ·  21.10.2026  ·  PMID 42906564</w:t>
      </w:r>
    </w:p>
    <w:p>
      <w:r>
        <w:t>Patienten mit lokal fortgeschrittenem Mismatch-Repair-defizientem Kolonkarzinom erhielten vor der Operation Ipilimumab und Nivolumab.</w:t>
      </w:r>
    </w:p>
    <w:p>
      <w:r>
        <w:rPr>
          <w:b/>
        </w:rPr>
        <w:t xml:space="preserve">Ergebnis: </w:t>
      </w:r>
      <w:r>
        <w:t>Von 111 auswertbaren Patienten betrug die 3-Jahres-Krankheitsfreie Überleben 100% (97,5%-KI 100-100%) und das 5-Jahres-Gesamtüberleben 100% (95%-KI 100-100%). ctDNA-Clearance zeigte sich nach dem zweiten Zyklus bei 82% der Patienten mit verfügbarem Plasma. Diese Ergebnisse unterstützen neoadjuvante Checkpoint-Inhibition als potenzieller neuer Standard für dieses Patientengut.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Versicherungssystem, Multi-Center-Studie mit europäischen Zentren</w:t>
      </w:r>
    </w:p>
    <w:p>
      <w:r>
        <w:rPr>
          <w:color w:val="5A7D3A"/>
          <w:sz w:val="18"/>
        </w:rPr>
        <w:t>https://pubmed.ncbi.nlm.nih.gov/42906564/</w:t>
      </w:r>
    </w:p>
    <w:p>
      <w:pPr>
        <w:pStyle w:val="Heading2"/>
      </w:pPr>
      <w:r>
        <w:t>CD20-gerichtete CAR-T-Zelltherapie bei rezidivierendem B-Lymphom: responder zeigen anhaltendes Ansprechen</w:t>
      </w:r>
    </w:p>
    <w:p>
      <w:r>
        <w:rPr>
          <w:i/>
          <w:color w:val="666666"/>
          <w:sz w:val="18"/>
        </w:rPr>
        <w:t>Kutsch N et al.  ·  Eur J Cancer  ·  16.10.2026  ·  PMID 42906410</w:t>
      </w:r>
    </w:p>
    <w:p>
      <w:r>
        <w:t>Phase-I-Dosiseskalationsstudie in Deutschland zur CD20-gerichteten CAR-T-Zelltherapie MB-CART20.1 bei 9 schwer vorbehandelten Patienten mit therapieresistentem B-NHL.</w:t>
      </w:r>
    </w:p>
    <w:p>
      <w:r>
        <w:rPr>
          <w:b/>
        </w:rPr>
        <w:t xml:space="preserve">Ergebnis: </w:t>
      </w:r>
      <w:r>
        <w:t>Beste Ansprechrate 56%, davon 33% komplette Remissionen (CR). Ein CR blieb über 5 Jahre stabil. Eine dosislimitierende Toxizität (Grad-4-Neutropenie) bei höherer Dosis. Keine Grad ≥3 Zytokin-Freisetzungssyndrom. CAR-T-Zell-Expansion korrelierte mit klinischem Ansprechen (maximale Zellzahl höher bei Respondern, p=0,0369).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Universitätsklinik Köln, vergleichbare Gesundheitssysteme, CAR-T-Herstellung vor Ort</w:t>
      </w:r>
    </w:p>
    <w:p>
      <w:r>
        <w:rPr>
          <w:color w:val="5A7D3A"/>
          <w:sz w:val="18"/>
        </w:rPr>
        <w:t>https://pubmed.ncbi.nlm.nih.gov/42906410/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Onkologie</dc:title>
  <dc:subject/>
  <dc:creator>Monitor Versorgungsforschung</dc:creator>
  <cp:keywords/>
  <dc:description>generated by python-docx</dc:description>
  <cp:lastModifiedBy/>
  <cp:revision>1</cp:revision>
  <dcterms:created xsi:type="dcterms:W3CDTF">2026-10-23T06:00:00Z</dcterms:created>
  <dcterms:modified xsi:type="dcterms:W3CDTF">2026-10-23T06:00:00Z</dcterms:modified>
  <cp:category/>
</cp:coreProperties>
</file>