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11.10.2026  |  6 Studien  |  onkologie.m-vf.de</w:t>
      </w:r>
    </w:p>
    <w:p>
      <w:pPr>
        <w:pStyle w:val="Heading1"/>
      </w:pPr>
      <w:r>
        <w:t>Aufgenommen am 11.10.2026</w:t>
      </w:r>
    </w:p>
    <w:p>
      <w:pPr>
        <w:pStyle w:val="Heading2"/>
      </w:pPr>
      <w:r>
        <w:t>MRD-Negativität bei 0,01 % korreliert mit Overall Survival in akuter myeloischer Leukämie</w:t>
      </w:r>
    </w:p>
    <w:p>
      <w:r>
        <w:rPr>
          <w:i/>
          <w:color w:val="666666"/>
          <w:sz w:val="18"/>
        </w:rPr>
        <w:t>Paiva B et al.  ·  Leukemia  ·  08.10.2026  ·  PMID 42850349</w:t>
      </w:r>
    </w:p>
    <w:p>
      <w:r>
        <w:t>Die PETHEMA-Studie untersuchte an 2.623 AML-Patienten, ob Measurable Residual Disease (MRD) mittels Durchflusszytometrie ein prognostischer Marker für das Gesamtüberleben nach intensiver Therapie ist.</w:t>
      </w:r>
    </w:p>
    <w:p>
      <w:r>
        <w:rPr>
          <w:b/>
        </w:rPr>
        <w:t xml:space="preserve">Ergebnis: </w:t>
      </w:r>
      <w:r>
        <w:t>MRD-Negativität bei der 0,01%-Schwelle zeigte unabhängigen prognostischen Wert (globale Odds Ratio 1,23; 95%-KI 1,02–1,40; p &lt; 0,05). MRD-Nachweis bei ≥0,01–&lt;0,1 % assoziiert mit schlechterem Überleben. 68 % der CR-Patienten hatten MRD-Nachweis. Signifikanz variierte nach genetischem Risiko und Erhaltungstherapie.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und portugiesische Kohorten, europäische Versorgungsstruktur, direkt auf deutsches Krebsregister-Setting übertragbar.</w:t>
      </w:r>
    </w:p>
    <w:p>
      <w:r>
        <w:rPr>
          <w:color w:val="5A7D3A"/>
          <w:sz w:val="18"/>
        </w:rPr>
        <w:t>https://pubmed.ncbi.nlm.nih.gov/42850349/</w:t>
      </w:r>
    </w:p>
    <w:p>
      <w:pPr>
        <w:pStyle w:val="Heading2"/>
      </w:pPr>
      <w:r>
        <w:t>Koloskopie-Screening reduziert kolorektales Krebssterben um 31 Prozent</w:t>
      </w:r>
    </w:p>
    <w:p>
      <w:r>
        <w:rPr>
          <w:i/>
          <w:color w:val="666666"/>
          <w:sz w:val="18"/>
        </w:rPr>
        <w:t>Brenner H et al.  ·  Lancet  ·  10.10.2026  ·  PMID 42849472</w:t>
      </w:r>
    </w:p>
    <w:p>
      <w:r>
        <w:t>Die NordICC-Studie untersuchte, ob gelegentliche Screening-Koloskopie bei Erwachsenen ab 55/60 Jahren die Sterblichkeit durch kolorektales Karzinom senkt.</w:t>
      </w:r>
    </w:p>
    <w:p>
      <w:r>
        <w:rPr>
          <w:b/>
        </w:rPr>
        <w:t xml:space="preserve">Ergebnis: </w:t>
      </w:r>
      <w:r>
        <w:t>Die Koloskopie reduzierte die krebsspezifische Mortalität um 31 % über 10 Jahre (relatives Risiko 0,69; 95%-KI 0,55–0,87). Die Zahl der Todesfälle pro 1.000 Screenings betrug 0,28. Incidenz sank um 21 %. Nebenwirkungen: schwerwiegende Blutungen &lt;0,1 %, Perforationen 0,7 pro 1.000.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Verbund (Skandinavien, Polen, Deutschland), publische Gesundheitssysteme mit ähnlicher Finanzierung wie Deutschland.</w:t>
      </w:r>
    </w:p>
    <w:p>
      <w:r>
        <w:rPr>
          <w:color w:val="5A7D3A"/>
          <w:sz w:val="18"/>
        </w:rPr>
        <w:t>https://pubmed.ncbi.nlm.nih.gov/42849472/</w:t>
      </w:r>
    </w:p>
    <w:p>
      <w:pPr>
        <w:pStyle w:val="Heading2"/>
      </w:pPr>
      <w:r>
        <w:t>BRCA2-Alteration vorhersagend für 12-Monate-Benefit unter PARP-Inhibitor Talazoparib</w:t>
      </w:r>
    </w:p>
    <w:p>
      <w:r>
        <w:rPr>
          <w:i/>
          <w:color w:val="666666"/>
          <w:sz w:val="18"/>
        </w:rPr>
        <w:t>Castro E et al.  ·  Eur J Cancer  ·  29.09.2026  ·  PMID 42849324</w:t>
      </w:r>
    </w:p>
    <w:p>
      <w:r>
        <w:t>Retrospektive Genomanalyse aus der Phase-2-Studie TALAPRO-1 zu Talazoparib-Monotherapie in 104 Patienten mit metastasiertem kastrationsresistentem Prostatakarzinom und HRR-Genalterationen.</w:t>
      </w:r>
    </w:p>
    <w:p>
      <w:r>
        <w:rPr>
          <w:b/>
        </w:rPr>
        <w:t xml:space="preserve">Ergebnis: </w:t>
      </w:r>
      <w:r>
        <w:t>94 % der Patienten mit radiographischem PFS ≥12 Monaten hatten BRCA2-Alterationen, vs. 22 % mit PFS &lt;2 Monaten (p &lt;0,00001). HRR-Gen-Reversionen (n=7) und PARP1-Varianten (n=5) zeigten emergente Resistenzmechanismen; beide prädiktiv für Therapieversagen nach initialem Ansprechen.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US-amerikanische Studie, aber Genomik und BRCA2-Mutationen tumorunabhängig; Biomarker-Strategie auf deutsche Praxen übertragbar.</w:t>
      </w:r>
    </w:p>
    <w:p>
      <w:r>
        <w:rPr>
          <w:color w:val="5A7D3A"/>
          <w:sz w:val="18"/>
        </w:rPr>
        <w:t>https://pubmed.ncbi.nlm.nih.gov/42849324/</w:t>
      </w:r>
    </w:p>
    <w:p>
      <w:pPr>
        <w:pStyle w:val="Heading2"/>
      </w:pPr>
      <w:r>
        <w:t>Disitamab vedotin plus Tislelizumab: 73 % komplette Response bei nicht-resektablem high-grade Harnblasenkarzinom</w:t>
      </w:r>
    </w:p>
    <w:p>
      <w:r>
        <w:rPr>
          <w:i/>
          <w:color w:val="666666"/>
          <w:sz w:val="18"/>
        </w:rPr>
        <w:t>Qie Y et al.  ·  JAMA Oncol  ·  08.10.2026  ·  PMID 42848391</w:t>
      </w:r>
    </w:p>
    <w:p>
      <w:r>
        <w:t>Phase-2-Studie mit 28 Patienten zu resektionsunfähigem ERBB2-positiven high-risk nicht-Muskel-invasivem Blasenkarzinom unter Kombinationstherapie mit dem Antikörper-Wirkstoff-Konjugat Disitamab vedotin und dem PD-1-Inhibitor Tislelizumab.</w:t>
      </w:r>
    </w:p>
    <w:p>
      <w:r>
        <w:rPr>
          <w:b/>
        </w:rPr>
        <w:t xml:space="preserve">Ergebnis: </w:t>
      </w:r>
      <w:r>
        <w:t>Komplette Response der high-risk-Erkrankung in 19/26 Patienten (73,1 %; 95%-KI 54,8–91,3 %), über Zielrate von 70 % hinaus. 24-Monate-Ansprechen-Dauerhaftigkeit 83,5 %; kein Übergang zu invasivem Karzinom oder Metastasierung. Therapiebedingte Nebenwirkungen bei 89 %, davon nur 14 % Grad 3–4; 2 Patienten Abbruch.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Chinesische Kliniken, aber ERBB2-Screening und -Klassifizierung international standardisiert; Ergebnis relevant für deutsche Zentren mit Blasen-Expertise.</w:t>
      </w:r>
    </w:p>
    <w:p>
      <w:r>
        <w:rPr>
          <w:color w:val="5A7D3A"/>
          <w:sz w:val="18"/>
        </w:rPr>
        <w:t>https://pubmed.ncbi.nlm.nih.gov/42848391/</w:t>
      </w:r>
    </w:p>
    <w:p>
      <w:pPr>
        <w:pStyle w:val="Heading2"/>
      </w:pPr>
      <w:r>
        <w:t>Universelle Keimbahntest-Screening: 18,4 % Pathogene Varianten in früh-onset Karzinomen, altersbasierte Limits übersehen 72 % aller Träger</w:t>
      </w:r>
    </w:p>
    <w:p>
      <w:r>
        <w:rPr>
          <w:i/>
          <w:color w:val="666666"/>
          <w:sz w:val="18"/>
        </w:rPr>
        <w:t>Stadler ZK et al.  ·  Cancer Discov  ·  08.10.2026  ·  PMID 42844684</w:t>
      </w:r>
    </w:p>
    <w:p>
      <w:r>
        <w:t>Keimbahnsequenzierung von 39.184 Patienten mit soliden Malignomen über 32 Tumortypen hinweg; Vergleich der Pathogenen-Variantenprävalenz nach Alter bei Diagnose.</w:t>
      </w:r>
    </w:p>
    <w:p>
      <w:r>
        <w:rPr>
          <w:b/>
        </w:rPr>
        <w:t xml:space="preserve">Ergebnis: </w:t>
      </w:r>
      <w:r>
        <w:t>Pathogene Varianten in 18,4 % der früh-onset, 15,6 % der durchschnittlich-onset und 12,3 % der spät-onset Fälle (p &lt;0,001). High-/Moderate-Penetranz-Gene: 12,4 % vs. 8,9 % vs. 5,1 %. Altersgrenze 50 Jahre übersieht 4.601 Träger (72 % aller detektierten Varianten). Universelles Screening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aber Genetik und Mutationsspektrum tumorunabhängig; Screening-Empfehlung relevant für deutsche AMNOG- und Leitlinien-Adaptationen.</w:t>
      </w:r>
    </w:p>
    <w:p>
      <w:r>
        <w:rPr>
          <w:color w:val="5A7D3A"/>
          <w:sz w:val="18"/>
        </w:rPr>
        <w:t>https://pubmed.ncbi.nlm.nih.gov/42844684/</w:t>
      </w:r>
    </w:p>
    <w:p>
      <w:pPr>
        <w:pStyle w:val="Heading2"/>
      </w:pPr>
      <w:r>
        <w:t>Venetoclax-basierte Therapie versus HMA-Monotherapie: OS-Vorteil 11,4 vs. 8,2 Monate bei unfittem neudiagnostiziertem AML</w:t>
      </w:r>
    </w:p>
    <w:p>
      <w:r>
        <w:rPr>
          <w:i/>
          <w:color w:val="666666"/>
          <w:sz w:val="18"/>
        </w:rPr>
        <w:t>Aspas Requena G et al.  ·  Leukemia  ·  06.10.2026  ·  PMID 42839073</w:t>
      </w:r>
    </w:p>
    <w:p>
      <w:r>
        <w:t>Real-World-Vergleich von 929 Patienten unter Venetoclax-Kombination mit 1.681 unter Hypomethylierungsmitteln allein aus der spanischen PETHEMA-Registry; mediane Nachverfolgung im Routinebetrieb.</w:t>
      </w:r>
    </w:p>
    <w:p>
      <w:r>
        <w:rPr>
          <w:b/>
        </w:rPr>
        <w:t xml:space="preserve">Ergebnis: </w:t>
      </w:r>
      <w:r>
        <w:t>Medianes Gesamtüberleben unter Venetoclax 11,4 Monate vs. 8,2 Monate (HR 0,66; 95%-KI 0,60–0,73; p &lt;0,001); konsistent mit VIALE-A-Trial (HR 0,66). Composite Complete Remission 64,4 % vs. 20,0 %; 30-Tage-Mortalität 4,8 % vs. 7,5 %. Benefit bei IDH2, NPM1, FLT3-ITD; minimal bei TP53-mutierten und MDS-evolved AML.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und südamerikanische öffentliche Kliniken, europäische Dokumentationspflichten; direkter Vergleich zu deutschen AML-Zentren.</w:t>
      </w:r>
    </w:p>
    <w:p>
      <w:r>
        <w:rPr>
          <w:color w:val="5A7D3A"/>
          <w:sz w:val="18"/>
        </w:rPr>
        <w:t>https://pubmed.ncbi.nlm.nih.gov/42839073/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2026-10-11T06:00:00Z</dcterms:created>
  <dcterms:modified xsi:type="dcterms:W3CDTF">2026-10-11T06:00:00Z</dcterms:modified>
  <cp:category/>
</cp:coreProperties>
</file>