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16.10.2026  |  1 Studien  |  onkologie.m-vf.de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ESMO-Leitlinie zu Diagnostik und Behandlung von Magen- und Ösophaguskarzinom</w:t>
      </w:r>
    </w:p>
    <w:p>
      <w:r>
        <w:rPr>
          <w:i/>
          <w:color w:val="666666"/>
          <w:sz w:val="18"/>
        </w:rPr>
        <w:t>Al-Batran SE et al.  ·  Ann Oncol  ·  15.10.2026  ·  PMID 42880714</w:t>
      </w:r>
    </w:p>
    <w:p>
      <w:r>
        <w:t>Europäische Fachgesellschaft fasst aktuellen Stand zu Diagnose, Therapie und Nachsorge bei Magen- und Ösophaguskarzinom zusammen.</w:t>
      </w:r>
    </w:p>
    <w:p>
      <w:r>
        <w:rPr>
          <w:b/>
        </w:rPr>
        <w:t xml:space="preserve">Ergebnis: </w:t>
      </w:r>
      <w:r>
        <w:t>Die Leitlinie enthält aktualisierte Empfehlungen zu Staging, Chemotherapie, Radiotherapie, chirurgischen Verfahren und Überwachung, mit differenzierten Strategien je nach Tumorstadium und molekularen Merkmalen (HER2-, MSI-Status). Konkrete Behandlungspfade sind definiert.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deutschsprachige Zentren unter ESMO-Mitgliedschaft, vergleichbare Leitlinienstruktur</w:t>
      </w:r>
    </w:p>
    <w:p>
      <w:r>
        <w:rPr>
          <w:color w:val="5A7D3A"/>
          <w:sz w:val="18"/>
        </w:rPr>
        <w:t>https://pubmed.ncbi.nlm.nih.gov/42880714/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