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16.10.2026  |  225 Studien  |  onkologie.m-vf.de</w:t>
      </w:r>
    </w:p>
    <w:p>
      <w:pPr>
        <w:pStyle w:val="Heading1"/>
      </w:pPr>
      <w:r>
        <w:t>Aufgenommen am 16.10.2026</w:t>
      </w:r>
    </w:p>
    <w:p>
      <w:pPr>
        <w:pStyle w:val="Heading2"/>
      </w:pPr>
      <w:r>
        <w:t>ESMO-Leitlinie zu Diagnostik und Behandlung von Magen- und Ösophaguskarzinom</w:t>
      </w:r>
    </w:p>
    <w:p>
      <w:r>
        <w:rPr>
          <w:i/>
          <w:color w:val="666666"/>
          <w:sz w:val="18"/>
        </w:rPr>
        <w:t>Al-Batran SE et al.  ·  Ann Oncol  ·  15.10.2026  ·  PMID 42880714</w:t>
      </w:r>
    </w:p>
    <w:p>
      <w:r>
        <w:t>Europäische Fachgesellschaft fasst aktuellen Stand zu Diagnose, Therapie und Nachsorge bei Magen- und Ösophaguskarzinom zusammen.</w:t>
      </w:r>
    </w:p>
    <w:p>
      <w:r>
        <w:rPr>
          <w:b/>
        </w:rPr>
        <w:t xml:space="preserve">Ergebnis: </w:t>
      </w:r>
      <w:r>
        <w:t>Die Leitlinie enthält aktualisierte Empfehlungen zu Staging, Chemotherapie, Radiotherapie, chirurgischen Verfahren und Überwachung, mit differenzierten Strategien je nach Tumorstadium und molekularen Merkmalen (HER2-, MSI-Status). Konkrete Behandlungspfade sind definiert.</w:t>
      </w:r>
    </w:p>
    <w:p>
      <w:r>
        <w:rPr>
          <w:b/>
          <w:sz w:val="19"/>
        </w:rPr>
        <w:t xml:space="preserve">Übertragbarkeit: </w:t>
      </w:r>
      <w:r>
        <w:rPr>
          <w:sz w:val="19"/>
        </w:rPr>
        <w:t>Deutschland: deutschsprachige Zentren unter ESMO-Mitgliedschaft, vergleichbare Leitlinienstruktur</w:t>
      </w:r>
    </w:p>
    <w:p>
      <w:r>
        <w:rPr>
          <w:color w:val="5A7D3A"/>
          <w:sz w:val="18"/>
        </w:rPr>
        <w:t>https://pubmed.ncbi.nlm.nih.gov/42880714/</w:t>
      </w:r>
    </w:p>
    <w:p>
      <w:pPr>
        <w:pStyle w:val="Heading1"/>
      </w:pPr>
      <w:r>
        <w:t>Aufgenommen am 15.10.2026</w:t>
      </w:r>
    </w:p>
    <w:p>
      <w:pPr>
        <w:pStyle w:val="Heading2"/>
      </w:pPr>
      <w:r>
        <w:t>Wiederholte Metastasen-Radiotherapie verzögert Androgen-Entzug beim Prostatakarzinom</w:t>
      </w:r>
    </w:p>
    <w:p>
      <w:r>
        <w:rPr>
          <w:i/>
          <w:color w:val="666666"/>
          <w:sz w:val="18"/>
        </w:rPr>
        <w:t>van der Walle R et al.  ·  Radiother Oncol  ·  14.10.2026  ·  PMID 42874780</w:t>
      </w:r>
    </w:p>
    <w:p>
      <w:r>
        <w:t>Multizentrische europäische Kohorte von 177 Patienten mit PSMA-PET-detektierten oligorekurrenten hormonempfindlichen Prostatakarzinomen, die ≥2 Zyklen metastasen-gerichteter Radiotherapie erhielten; Risikostratifizierung für Androgen-Deprivations-Therapie-Freiheit.</w:t>
      </w:r>
    </w:p>
    <w:p>
      <w:r>
        <w:rPr>
          <w:b/>
        </w:rPr>
        <w:t xml:space="preserve">Ergebnis: </w:t>
      </w:r>
      <w:r>
        <w:t>2-Jahres-ADT-Freiheit: 50,2% (95%-KI 41,4–58,3%). 2-Jahres-Polymetastasen-Freiheit 64,4%, Systemtherapie-Freiheit 83,5%, Gesamtüberleben 94,2%. Längeres Intervall zwischen erstem und zweitem MDRT (HR 0,96 pro Monat, p=0,003) und einzelne Läsion (vs. ≥2 Läsionen, HR 1,88, p=0,006) unabhängig mit ADT-Freiheit assoziiert. C-Index 0,68 (moderat).</w:t>
      </w:r>
    </w:p>
    <w:p>
      <w:r>
        <w:rPr>
          <w:b/>
          <w:sz w:val="19"/>
        </w:rPr>
        <w:t xml:space="preserve">Übertragbarkeit: </w:t>
      </w:r>
      <w:r>
        <w:rPr>
          <w:sz w:val="19"/>
        </w:rPr>
        <w:t>Niederlande, Polen, Österreich, Italien, Lettland; vergleichbare europäische Versorgungssysteme</w:t>
      </w:r>
    </w:p>
    <w:p>
      <w:r>
        <w:rPr>
          <w:color w:val="5A7D3A"/>
          <w:sz w:val="18"/>
        </w:rPr>
        <w:t>https://pubmed.ncbi.nlm.nih.gov/42874780/</w:t>
      </w:r>
    </w:p>
    <w:p>
      <w:pPr>
        <w:pStyle w:val="Heading2"/>
      </w:pPr>
      <w:r>
        <w:t>5-FU besser als Gemcitabin bei metastasiertem Ampullenkarzinom</w:t>
      </w:r>
    </w:p>
    <w:p>
      <w:r>
        <w:rPr>
          <w:i/>
          <w:color w:val="666666"/>
          <w:sz w:val="18"/>
        </w:rPr>
        <w:t>Vo-Quang E et al.  ·  Eur J Cancer  ·  09.10.2026  ·  PMID 42874215</w:t>
      </w:r>
    </w:p>
    <w:p>
      <w:r>
        <w:t>Real-World-Analyse von 85 französischen Patienten mit metastasierendem Ampullenkarzinom nach Resektion, die erstlinig Fluoropyrimidin- oder Gemcitabin-basierte Chemotherapie erhielten.</w:t>
      </w:r>
    </w:p>
    <w:p>
      <w:r>
        <w:rPr>
          <w:b/>
        </w:rPr>
        <w:t xml:space="preserve">Ergebnis: </w:t>
      </w:r>
      <w:r>
        <w:t>Mediane progressionsfreie Überlebenszeit (PFS) 6,7 Monate (95%-KI 4,8–8,9) unter 5-FU vs. Gemcitabin; unter 5-FU signifikant bessere PFS (Hazard Ratio 0,53, p=0,01), aber kein Unterschied beim Gesamtüberleben (medianes OS 15,6 Monate; HR 0,58 für Abwesenheit von Lebermetastasen, p=0,04). Objektive Ansprechrate ähnlich (36,2% vs. 32,0%, p=0,73).</w:t>
      </w:r>
    </w:p>
    <w:p>
      <w:r>
        <w:rPr>
          <w:b/>
          <w:sz w:val="19"/>
        </w:rPr>
        <w:t xml:space="preserve">Übertragbarkeit: </w:t>
      </w:r>
      <w:r>
        <w:rPr>
          <w:sz w:val="19"/>
        </w:rPr>
        <w:t>Frankreich, nationale prospektive FFCD-Kohorte mit vergleichbarem Gesundheitssystem</w:t>
      </w:r>
    </w:p>
    <w:p>
      <w:r>
        <w:rPr>
          <w:color w:val="5A7D3A"/>
          <w:sz w:val="18"/>
        </w:rPr>
        <w:t>https://pubmed.ncbi.nlm.nih.gov/42874215/</w:t>
      </w:r>
    </w:p>
    <w:p>
      <w:pPr>
        <w:pStyle w:val="Heading2"/>
      </w:pPr>
      <w:r>
        <w:t>Chemotherapie-freie Kombination überlegen bei Philadelphia-positiver ALL</w:t>
      </w:r>
    </w:p>
    <w:p>
      <w:r>
        <w:rPr>
          <w:i/>
          <w:color w:val="666666"/>
          <w:sz w:val="18"/>
        </w:rPr>
        <w:t>Chiaretti S et al.  ·  N Engl J Med  ·  15.10.2026  ·  PMID 42874102</w:t>
      </w:r>
    </w:p>
    <w:p>
      <w:r>
        <w:t>Randomisierte Phase-III-Studie (GIMEMA ALL2820) mit 236 Patienten mit neu diagnostizierter Philadelphia-positiver akuter lymphoblastischer Leukämie; Vergleich Ponatinib plus Blinatumomab vs. Imatinib plus Chemotherapie als Frontline-Therapie.</w:t>
      </w:r>
    </w:p>
    <w:p>
      <w:r>
        <w:rPr>
          <w:b/>
        </w:rPr>
        <w:t xml:space="preserve">Ergebnis: </w:t>
      </w:r>
      <w:r>
        <w:t>24-Monats-ereignisfreies Überleben: 86% (Ponatinib-Blinatumomab) vs. 67% (Imatinib-Chemotherapie), p&lt;0,001. Molekulare Remission nach Blinatumomab: 71% vs. 49%. Gesamtüberleben 90% vs. 85%. Nur 19% der Interventionsgruppe erhielten Stammzelltransplantation nach erster kompletter hämatologischer Remission. Kumulative Rezidivrate 5% vs. 13%.</w:t>
      </w:r>
    </w:p>
    <w:p>
      <w:r>
        <w:rPr>
          <w:b/>
          <w:sz w:val="19"/>
        </w:rPr>
        <w:t xml:space="preserve">Übertragbarkeit: </w:t>
      </w:r>
      <w:r>
        <w:rPr>
          <w:sz w:val="19"/>
        </w:rPr>
        <w:t>Italien, europäisches Zentren-Netzwerk, GIMEMA-Datenbank, GKV-System vergleichbar</w:t>
      </w:r>
    </w:p>
    <w:p>
      <w:r>
        <w:rPr>
          <w:color w:val="5A7D3A"/>
          <w:sz w:val="18"/>
        </w:rPr>
        <w:t>https://pubmed.ncbi.nlm.nih.gov/42874102/</w:t>
      </w:r>
    </w:p>
    <w:p>
      <w:pPr>
        <w:pStyle w:val="Heading2"/>
      </w:pPr>
      <w:r>
        <w:t>Platinum-Pemetrexed nach RET-Inhibitor-Versagen beim nicht-kleinzelligen Lungenkarzinom</w:t>
      </w:r>
    </w:p>
    <w:p>
      <w:r>
        <w:rPr>
          <w:i/>
          <w:color w:val="666666"/>
          <w:sz w:val="18"/>
        </w:rPr>
        <w:t>Miliziano D et al.  ·  Clin Cancer Res  ·  14.10.2026  ·  PMID 42873584</w:t>
      </w:r>
    </w:p>
    <w:p>
      <w:r>
        <w:t>Internationale Real-World-Analyse von 81 Patienten mit RET-Fusions-positivem metastasiertem NSCLC nach Progression unter erstliniger selektiver RET-Inhibitor-Therapie; zweitlinige Behandlung meist mit Platin-Pemetrexed ± Immunotherapie.</w:t>
      </w:r>
    </w:p>
    <w:p>
      <w:r>
        <w:rPr>
          <w:b/>
        </w:rPr>
        <w:t xml:space="preserve">Ergebnis: </w:t>
      </w:r>
      <w:r>
        <w:t>Zweitlinie: Objektive Ansprechrate 41% (12/29), mediane Real-World-PFS 6,1 Monate (95%-KI 4,8–11,4), medianes OS 13,7 Monate (95%-KI 8,7–26,5). Kein Unterschied zwischen Chemotherapie allein vs. Chemo-Immunotherapie (PFS 5,9 vs. 6,8 Monate, p=0,903). Drittlinie mit Taxan: mediane PFS 1,5 Monate, keine Ansprechrate.</w:t>
      </w:r>
    </w:p>
    <w:p>
      <w:r>
        <w:rPr>
          <w:b/>
          <w:sz w:val="19"/>
        </w:rPr>
        <w:t xml:space="preserve">Übertragbarkeit: </w:t>
      </w:r>
      <w:r>
        <w:rPr>
          <w:sz w:val="19"/>
        </w:rPr>
        <w:t>Internationales Konsortium, europäische Zentren vertreten, Versorgungsdaten übertragbar</w:t>
      </w:r>
    </w:p>
    <w:p>
      <w:r>
        <w:rPr>
          <w:color w:val="5A7D3A"/>
          <w:sz w:val="18"/>
        </w:rPr>
        <w:t>https://pubmed.ncbi.nlm.nih.gov/42873584/</w:t>
      </w:r>
    </w:p>
    <w:p>
      <w:pPr>
        <w:pStyle w:val="Heading2"/>
      </w:pPr>
      <w:r>
        <w:t>Reiseroute bis zur Radiotherapie belastet Lymphom-Patienten deutlich</w:t>
      </w:r>
    </w:p>
    <w:p>
      <w:r>
        <w:rPr>
          <w:i/>
          <w:color w:val="666666"/>
          <w:sz w:val="18"/>
        </w:rPr>
        <w:t>Steike DR et al.  ·  Strahlenther Onkol  ·  14.10.2026  ·  PMID 42873235</w:t>
      </w:r>
    </w:p>
    <w:p>
      <w:r>
        <w:t>Prospektive deutsche Registerstudie von 82 Patienten mit primären kutanen Lymphomen, die zur Strahlentherapie überwiesen wurden; Erfassung von Lebensqualitäts-Präferenzen, Reiseentfernung und gesundheitsbezogener Lebensqualität vor Therapiebeginn.</w:t>
      </w:r>
    </w:p>
    <w:p>
      <w:r>
        <w:rPr>
          <w:b/>
        </w:rPr>
        <w:t xml:space="preserve">Ergebnis: </w:t>
      </w:r>
      <w:r>
        <w:t>Mediane Reisedistanz für Sézary-Syndrom 201 km, Mykosis fungoides 114 km, andere kutane Lymphome 65 km. 38% der Patienten priorisierten Lebensqualität, 25% Lebensdauer, 37% bewerteten beide gleich. Älteres Alter und längere Reisedistanz waren mit Lebensqualitätspräferenz assoziiert. Höhere Beeinträchtigung der Lebensqualität bei MF und SS vs. anderen kutanen Lymphomen.</w:t>
      </w:r>
    </w:p>
    <w:p>
      <w:r>
        <w:rPr>
          <w:b/>
          <w:sz w:val="19"/>
        </w:rPr>
        <w:t xml:space="preserve">Übertragbarkeit: </w:t>
      </w:r>
      <w:r>
        <w:rPr>
          <w:sz w:val="19"/>
        </w:rPr>
        <w:t>Deutschland, Westfalen-Lippe, deutsches Gesundheitssystem, direkt übertragbar</w:t>
      </w:r>
    </w:p>
    <w:p>
      <w:r>
        <w:rPr>
          <w:color w:val="5A7D3A"/>
          <w:sz w:val="18"/>
        </w:rPr>
        <w:t>https://pubmed.ncbi.nlm.nih.gov/42873235/</w:t>
      </w:r>
    </w:p>
    <w:p>
      <w:pPr>
        <w:pStyle w:val="Heading2"/>
      </w:pPr>
      <w:r>
        <w:t>Gewichtsverlust-Episoden vorhersagbar, Prognose beeinträchtigt</w:t>
      </w:r>
    </w:p>
    <w:p>
      <w:r>
        <w:rPr>
          <w:i/>
          <w:color w:val="666666"/>
          <w:sz w:val="18"/>
        </w:rPr>
        <w:t>Castillon VJ et al.  ·  Nat Med  ·  12.10.2026  ·  PMID 42864412</w:t>
      </w:r>
    </w:p>
    <w:p>
      <w:r>
        <w:t>Gesundheitssystem-weite klinogenomische Analyse von 52.236 Krebspatienten (Memorial Sloan Kettering 2010–2024, externe Validierung Dana-Farber mit 5.785 Patienten) zur Charakterisierung von Kachexie-Episoden und ihren Assoziationen mit Tumorgenotypen, Serologie und Outcome.</w:t>
      </w:r>
    </w:p>
    <w:p>
      <w:r>
        <w:rPr>
          <w:b/>
        </w:rPr>
        <w:t xml:space="preserve">Ergebnis: </w:t>
      </w:r>
      <w:r>
        <w:t>Kachexie-Episoden clusterten bei Krankheitsprogression und waren in fast allen Tumortypen mit inferiorem Outcome assoziiert. Konsistente Serum-Signatur: niedrige Albumin/Hämoglobin, erhöhte Leberenzyme. TP53-Mutation assoziiert mit häufigeren Kachexie-Episoden. Multivariates Vorhersage-Modell für Lungen-, Kolorektal- und Prostatakarzinom entwickelt und in externer Kohorte validiert.</w:t>
      </w:r>
    </w:p>
    <w:p>
      <w:r>
        <w:rPr>
          <w:b/>
          <w:sz w:val="19"/>
        </w:rPr>
        <w:t xml:space="preserve">Übertragbarkeit: </w:t>
      </w:r>
      <w:r>
        <w:rPr>
          <w:sz w:val="19"/>
        </w:rPr>
        <w:t>USA, rutineklinische Daten, Genotypen-Verknüpfung übertragbar</w:t>
      </w:r>
    </w:p>
    <w:p>
      <w:r>
        <w:rPr>
          <w:color w:val="5A7D3A"/>
          <w:sz w:val="18"/>
        </w:rPr>
        <w:t>https://pubmed.ncbi.nlm.nih.gov/42864412/</w:t>
      </w:r>
    </w:p>
    <w:p>
      <w:pPr>
        <w:pStyle w:val="Heading1"/>
      </w:pPr>
      <w:r>
        <w:t>Aufgenommen am 14.10.2026</w:t>
      </w:r>
    </w:p>
    <w:p>
      <w:pPr>
        <w:pStyle w:val="Heading2"/>
      </w:pPr>
      <w:r>
        <w:t>Beschleunigte Hypofractionierung bei inoperablem NSCLC: Konsensus gegen überlegene Evidenz</w:t>
      </w:r>
    </w:p>
    <w:p>
      <w:r>
        <w:rPr>
          <w:i/>
          <w:color w:val="666666"/>
          <w:sz w:val="18"/>
        </w:rPr>
        <w:t>Chun SG et al.  ·  Int J Radiat Oncol Biol Phys  ·  13.10.2026  ·  PMID 42869299</w:t>
      </w:r>
    </w:p>
    <w:p>
      <w:r>
        <w:t>Ein multidisziplinäres Expertenpanel der American Radium Society entwickelte Appropriate-Use-Kriterien für beschleunigte hypofractionierte Strahlentherapie bei lokal fortgeschrittenem NSCLC ohne Chemotherapie-Eignung.</w:t>
      </w:r>
    </w:p>
    <w:p>
      <w:r>
        <w:rPr>
          <w:b/>
        </w:rPr>
        <w:t xml:space="preserve">Ergebnis: </w:t>
      </w:r>
      <w:r>
        <w:t>Das Panel befürwortete IMRT und Protonentherapie mit Dosisbeschränkungen (Lunge V20&lt;30%, Herz V40&lt;20%) bei 15-Fraktionen-Hypofractionierung, lehnte aber auf Basis von 14 klinischen Studien (davon nur eine Phase III randomisiert) die Überlegenheit gegenüber konventioneller 60-Gy-Fraktionierung ab. Consolidative, nicht concurrent Immuntherapie wird empfohlen.</w:t>
      </w:r>
    </w:p>
    <w:p>
      <w:r>
        <w:rPr>
          <w:b/>
          <w:sz w:val="19"/>
        </w:rPr>
        <w:t xml:space="preserve">Übertragbarkeit: </w:t>
      </w:r>
      <w:r>
        <w:rPr>
          <w:sz w:val="19"/>
        </w:rPr>
        <w:t>Leitlinienconsensus; deutsche Zentren folgen DEGRO-Empfehlungen mit vergleichbarem Evidenzstand</w:t>
      </w:r>
    </w:p>
    <w:p>
      <w:r>
        <w:rPr>
          <w:color w:val="5A7D3A"/>
          <w:sz w:val="18"/>
        </w:rPr>
        <w:t>https://pubmed.ncbi.nlm.nih.gov/42869299/</w:t>
      </w:r>
    </w:p>
    <w:p>
      <w:pPr>
        <w:pStyle w:val="Heading2"/>
      </w:pPr>
      <w:r>
        <w:t>Immunoscore stratifiziert HPV-assoziiertes Oropharynxkarzinom besser als TNM-Stadium</w:t>
      </w:r>
    </w:p>
    <w:p>
      <w:r>
        <w:rPr>
          <w:i/>
          <w:color w:val="666666"/>
          <w:sz w:val="18"/>
        </w:rPr>
        <w:t>Nguyen DH et al.  ·  Clin Cancer Res  ·  13.10.2026  ·  PMID 42868274</w:t>
      </w:r>
    </w:p>
    <w:p>
      <w:r>
        <w:t>Ein internationales Team validierte den Immunoscore (CD3+/CD8+-Dichten in Tumor und Invasionsrand) zur Prognosevorhersage in HPV-positivem Oropharynxkarzinom in drei Validierungskohorten mit insgesamt 191 Patienten.</w:t>
      </w:r>
    </w:p>
    <w:p>
      <w:r>
        <w:rPr>
          <w:b/>
        </w:rPr>
        <w:t xml:space="preserve">Ergebnis: </w:t>
      </w:r>
      <w:r>
        <w:t>Immunoscore-High-Patienten erreichten über alle Kohorten hinweg besseres 3-Jahres-krankheitsfreies Überleben (DFS) (log-rank p&lt;0,05). Im multivariablen Modell war Immunoscore-Low der unabhängige Prognosefaktor mit größtem adjustiertem Effekt (HR 9,03, 95%-KI 4,02–20,31, p&lt;0,001). Das kombinierte Immunoscore-klinische Modell zeigte bessere DFS-Vorhersage als klinisches Modell allein (C-Index 0,82 vs. 0,70, p&lt;0,0001).</w:t>
      </w:r>
    </w:p>
    <w:p>
      <w:r>
        <w:rPr>
          <w:b/>
          <w:sz w:val="19"/>
        </w:rPr>
        <w:t xml:space="preserve">Übertragbarkeit: </w:t>
      </w:r>
      <w:r>
        <w:rPr>
          <w:sz w:val="19"/>
        </w:rPr>
        <w:t>Europäisches Multizenterstudie, französische/UK-Daten, internationales Validierungskonzept übertragbar</w:t>
      </w:r>
    </w:p>
    <w:p>
      <w:r>
        <w:rPr>
          <w:color w:val="5A7D3A"/>
          <w:sz w:val="18"/>
        </w:rPr>
        <w:t>https://pubmed.ncbi.nlm.nih.gov/42868274/</w:t>
      </w:r>
    </w:p>
    <w:p>
      <w:pPr>
        <w:pStyle w:val="Heading2"/>
      </w:pPr>
      <w:r>
        <w:t>Übermäßige Fettgewebszunahme unter Therapie erhöht Rezidivrisiko bei Hodgkin-Lymphom bei Kindern</w:t>
      </w:r>
    </w:p>
    <w:p>
      <w:r>
        <w:rPr>
          <w:i/>
          <w:color w:val="666666"/>
          <w:sz w:val="18"/>
        </w:rPr>
        <w:t>Wadhwa A et al.  ·  J Natl Cancer Inst  ·  13.10.2026  ·  PMID 42867833</w:t>
      </w:r>
    </w:p>
    <w:p>
      <w:r>
        <w:t>Longitudinale Analyse von 951 Kindern mit intermediärem/hochrisiko Hodgkin-Lymphom aus Therapiestudien mit CT-Messung von Skelettmuskel- und Fettgewebsfläche vor/nach 2 Chemotherapie-Zyklen.</w:t>
      </w:r>
    </w:p>
    <w:p>
      <w:r>
        <w:rPr>
          <w:b/>
        </w:rPr>
        <w:t xml:space="preserve">Ergebnis: </w:t>
      </w:r>
      <w:r>
        <w:t>Übermäßige Fettgewebszunahme (beobachtet in 36,2%) war bei Patienten mit negativem PET2-Scan mit 1,73-fach erhöhter bereinigter Hazard für Relapse assoziiert (95%-KI 1,08–2,77, p=0,02), nicht jedoch bei positivem PET2 (HR 0,90, 95%-KI 0,51–1,57, p=0,70). Skelettmuskelveränderungen zeigten keine Rezidivassoziation.</w:t>
      </w:r>
    </w:p>
    <w:p>
      <w:r>
        <w:rPr>
          <w:b/>
          <w:sz w:val="19"/>
        </w:rPr>
        <w:t xml:space="preserve">Übertragbarkeit: </w:t>
      </w:r>
      <w:r>
        <w:rPr>
          <w:sz w:val="19"/>
        </w:rPr>
        <w:t>US-Kohortenstudie (SEER/COG-Daten); Kandidaten-Biomarker, Mechanismus unklar</w:t>
      </w:r>
    </w:p>
    <w:p>
      <w:r>
        <w:rPr>
          <w:color w:val="5A7D3A"/>
          <w:sz w:val="18"/>
        </w:rPr>
        <w:t>https://pubmed.ncbi.nlm.nih.gov/42867833/</w:t>
      </w:r>
    </w:p>
    <w:p>
      <w:pPr>
        <w:pStyle w:val="Heading2"/>
      </w:pPr>
      <w:r>
        <w:t>Unter-Nutzung von Knochenschutztherapie bei mCRPC trotz hoher Morbidität in Hochrisiko-Patienten</w:t>
      </w:r>
    </w:p>
    <w:p>
      <w:r>
        <w:rPr>
          <w:i/>
          <w:color w:val="666666"/>
          <w:sz w:val="18"/>
        </w:rPr>
        <w:t>van der Velden KJM et al.  ·  J Natl Cancer Inst  ·  13.10.2026  ·  PMID 42867156</w:t>
      </w:r>
    </w:p>
    <w:p>
      <w:r>
        <w:t>Vergleichende Analyse von 2.115 mCRPC-Patienten mit Knochenmetas aus Dutch CAPRI-3-Register (2016–2021) versus 1.923 aus CAPRI-2 (2010–2015), Messung von Knochenschutzmittel-Nutzung und symptomatischen skelettalen Ereignissen nach Chemotherapie-Initiierung.</w:t>
      </w:r>
    </w:p>
    <w:p>
      <w:r>
        <w:rPr>
          <w:b/>
        </w:rPr>
        <w:t xml:space="preserve">Ergebnis: </w:t>
      </w:r>
      <w:r>
        <w:t>Knochenschutzmittel-Einsatz sank von 60% auf 28%, nur 8% erhielten guideline-empfohlenes Timing (≤4 Wochen nach Therapiestart). Gesamte symptomatische skelettale Ereignis-Inzidenz nahm ab (0,26 auf 0,21 pro Patient-Jahr), aber Hochrisiko-Patienten mit frühem Knochenschutz erlebten höchste Ereignisdichte (0,29) und kürzestes ereignisfreies Überleben (8,7 vs. 14,6 Monate, p&lt;0,001).</w:t>
      </w:r>
    </w:p>
    <w:p>
      <w:r>
        <w:rPr>
          <w:b/>
          <w:sz w:val="19"/>
        </w:rPr>
        <w:t xml:space="preserve">Übertragbarkeit: </w:t>
      </w:r>
      <w:r>
        <w:rPr>
          <w:sz w:val="19"/>
        </w:rPr>
        <w:t>Niederlande, vergleichbares Versicherungssystem und Dokumentationstandards wie Deutschland</w:t>
      </w:r>
    </w:p>
    <w:p>
      <w:r>
        <w:rPr>
          <w:color w:val="5A7D3A"/>
          <w:sz w:val="18"/>
        </w:rPr>
        <w:t>https://pubmed.ncbi.nlm.nih.gov/42867156/</w:t>
      </w:r>
    </w:p>
    <w:p>
      <w:pPr>
        <w:pStyle w:val="Heading2"/>
      </w:pPr>
      <w:r>
        <w:t>Hochgradige Befolgung von Lifestyle-Leitlinien verbessert Gesundheit bei Chemotherapie-behandelten Brustkrebsüberlebenden</w:t>
      </w:r>
    </w:p>
    <w:p>
      <w:r>
        <w:rPr>
          <w:i/>
          <w:color w:val="666666"/>
          <w:sz w:val="18"/>
        </w:rPr>
        <w:t>Bodelon C et al.  ·  J Natl Cancer Inst  ·  13.10.2026  ·  PMID 42867136</w:t>
      </w:r>
    </w:p>
    <w:p>
      <w:r>
        <w:t>Prospektive Kohortenstudie mit 1.610 Brustkrebsüberlebenden und 16.100 altersgepaarten Kontrollpersonen aus der American Cancer Society Cancer Prevention Study-3, Auswertung der Assoziation zwischen Befolgung von ACS-Lifestyle-Leitlinien (Score 0–8) und Patient-Reported Outcomes Measurement Information System Global Health Scale.</w:t>
      </w:r>
    </w:p>
    <w:p>
      <w:r>
        <w:rPr>
          <w:b/>
        </w:rPr>
        <w:t xml:space="preserve">Ergebnis: </w:t>
      </w:r>
      <w:r>
        <w:t>Höhere Leitlinien-Befolgung war mit besserer physischer Gesundheit assoziiert (p&lt;0,001). Chemotherapie-behandelte Überlebende mit niedriger Befolgung zeigten schlechtere Gesundheit (&lt;3 Jahre: β=−2,67, 95%-KI −3,77 bis −1,58; ≥3 Jahre: β=−2,10, 95%-KI −3,70 bis −0,51). Mit hoher Befolgung war Gesundheit vergleichbar mit nicht-krebserkrankten Frauen oder besser (&lt;3 Jahre: β=1,09, 95%-KI 0,30–1,89; ≥3 Jahre: β=2,56, 95%-KI 1,40–3,72).</w:t>
      </w:r>
    </w:p>
    <w:p>
      <w:r>
        <w:rPr>
          <w:b/>
          <w:sz w:val="19"/>
        </w:rPr>
        <w:t xml:space="preserve">Übertragbarkeit: </w:t>
      </w:r>
      <w:r>
        <w:rPr>
          <w:sz w:val="19"/>
        </w:rPr>
        <w:t>USA-Daten; Lifestyle-Empfehlungen gelten international, Übertragbarkeit auf deutsche Nachsorge</w:t>
      </w:r>
    </w:p>
    <w:p>
      <w:r>
        <w:rPr>
          <w:color w:val="5A7D3A"/>
          <w:sz w:val="18"/>
        </w:rPr>
        <w:t>https://pubmed.ncbi.nlm.nih.gov/42867136/</w:t>
      </w:r>
    </w:p>
    <w:p>
      <w:pPr>
        <w:pStyle w:val="Heading2"/>
      </w:pPr>
      <w:r>
        <w:t>MXD4-abhängige Proliferationspause ermöglicht Hirnmetastasen-Überleben: therapeutische Angriffsfläche</w:t>
      </w:r>
    </w:p>
    <w:p>
      <w:r>
        <w:rPr>
          <w:i/>
          <w:color w:val="666666"/>
          <w:sz w:val="18"/>
        </w:rPr>
        <w:t>García-Gómez P et al.  ·  Cancer Cell  ·  12.10.2026  ·  PMID 42805170</w:t>
      </w:r>
    </w:p>
    <w:p>
      <w:r>
        <w:t>Mechanistische Studie an experimentellen Hirnmetastasen-Modellen und Patienten-Mikrometastasen zur Identifikation adaptiver Zustände metastatischer Zellen vor vaskulärer Ko-Option; genetische Disruption von MXD4 (MYC-Antagonist) und Screening nach therapeutischen Vulnerabilitäten in Organ-Kulturen.</w:t>
      </w:r>
    </w:p>
    <w:p>
      <w:r>
        <w:rPr>
          <w:b/>
        </w:rPr>
        <w:t xml:space="preserve">Ergebnis: </w:t>
      </w:r>
      <w:r>
        <w:t>MXD4-abhängige vorübergehende Proliferationspause puffert Early-Colonization-Stress ab. Genetische MXD4-Disruption beeinträchtigt Mikrometastasen-Überleben und verhindert Progression zu Makrometastasen. Vulnerabilität der Pause ist mit klinisch verfügbaren Medikamenten angreifbar; Modell validiert in Patienten-Hirnmikrometastasen.</w:t>
      </w:r>
    </w:p>
    <w:p>
      <w:r>
        <w:rPr>
          <w:b/>
          <w:sz w:val="19"/>
        </w:rPr>
        <w:t xml:space="preserve">Übertragbarkeit: </w:t>
      </w:r>
      <w:r>
        <w:rPr>
          <w:sz w:val="19"/>
        </w:rPr>
        <w:t>Multinationale Grundlagen-/Translationsforschung (Spanien, UK, USA); klinischer Modellorganismus (Patient-Kulturen)</w:t>
      </w:r>
    </w:p>
    <w:p>
      <w:r>
        <w:rPr>
          <w:color w:val="5A7D3A"/>
          <w:sz w:val="18"/>
        </w:rPr>
        <w:t>https://pubmed.ncbi.nlm.nih.gov/42805170/</w:t>
      </w:r>
    </w:p>
    <w:p>
      <w:pPr>
        <w:pStyle w:val="Heading1"/>
      </w:pPr>
      <w:r>
        <w:t>Aufgenommen am 13.10.2026</w:t>
      </w:r>
    </w:p>
    <w:p>
      <w:pPr>
        <w:pStyle w:val="Heading2"/>
      </w:pPr>
      <w:r>
        <w:t>Bluttest-Risikomodell für Lungenkrebs verbessert Früherkennung gegenüber etabliertem Standard</w:t>
      </w:r>
    </w:p>
    <w:p>
      <w:r>
        <w:rPr>
          <w:i/>
          <w:color w:val="666666"/>
          <w:sz w:val="18"/>
        </w:rPr>
        <w:t>Skov-Jeppesen SM et al.  ·  J Clin Oncol  ·  12.10.2026  ·  PMID 42863103</w:t>
      </w:r>
    </w:p>
    <w:p>
      <w:r>
        <w:t>Dänische prospektive Kohortenstudie entwickelt und validiert ein Bluttest-gestütztes Risikomodell (CPH-Lung) zur Vorhersage des 6-Jahres-Lungenkrebsrisikos bei Rauchern vor bildgebender Screening.</w:t>
      </w:r>
    </w:p>
    <w:p>
      <w:r>
        <w:rPr>
          <w:b/>
        </w:rPr>
        <w:t xml:space="preserve">Ergebnis: </w:t>
      </w:r>
      <w:r>
        <w:t>CPH-Lung erreichte im Validierungskollektiv eine AUC von 0,783 versus 0,720 für PLCOm2012 (p=0,0059). Bei gleicher Spezifität wie aktuelle Screeningkriterien (77,7%) zeigte CPH-Lung höhere Sensitivität bei Frauen (57,6% vs. 39,2%, p&lt;0,0001) und Männern (61,4% vs. 54,7%, p=0,004). Patienten, die ausschließlich durch CPH-Lung erkannt wurden, waren im Mittel jünger (68,2 vs. 76,5 Jahre, p&lt;0,0001).</w:t>
      </w:r>
    </w:p>
    <w:p>
      <w:r>
        <w:rPr>
          <w:b/>
          <w:sz w:val="19"/>
        </w:rPr>
        <w:t xml:space="preserve">Übertragbarkeit: </w:t>
      </w:r>
      <w:r>
        <w:rPr>
          <w:sz w:val="19"/>
        </w:rPr>
        <w:t>Nordische Gesundheitssysteme, Daten aus prospektiven bevölkerungsbasierten Kohorten, vergleichbar strukturiertes Screening.</w:t>
      </w:r>
    </w:p>
    <w:p>
      <w:r>
        <w:rPr>
          <w:color w:val="5A7D3A"/>
          <w:sz w:val="18"/>
        </w:rPr>
        <w:t>https://pubmed.ncbi.nlm.nih.gov/42863103/</w:t>
      </w:r>
    </w:p>
    <w:p>
      <w:pPr>
        <w:pStyle w:val="Heading2"/>
      </w:pPr>
      <w:r>
        <w:t>Konsolidative Thoraxbestrahlung nach Chemoimmuntherapie verbessert Überleben bei extensivem Kleinzellungkrebs</w:t>
      </w:r>
    </w:p>
    <w:p>
      <w:r>
        <w:rPr>
          <w:i/>
          <w:color w:val="666666"/>
          <w:sz w:val="18"/>
        </w:rPr>
        <w:t>Bai B et al.  ·  Strahlenther Onkol  ·  12.10.2026  ·  PMID 42862283</w:t>
      </w:r>
    </w:p>
    <w:p>
      <w:r>
        <w:t>Retrospektive chinesische Kohortenstudie vergleicht erste Chemoimmuntherapie allein (CT-IT) versus CT-IT plus konsolidative Thoraxbestrahlung (cTRT) bei 199 Patienten mit extensivem kleinzelligem Lungenkarzinom (ES-SCLC).</w:t>
      </w:r>
    </w:p>
    <w:p>
      <w:r>
        <w:rPr>
          <w:b/>
        </w:rPr>
        <w:t xml:space="preserve">Ergebnis: </w:t>
      </w:r>
      <w:r>
        <w:t>Mediane progressionsfreie Überlebenszeit (PFS) war signifikant länger mit CT-IT + cTRT versus CT-IT allein (p&lt;0,001). Mediales Gesamtüberleben (OS) war ebenfalls signifikant verlängert mit cTRT (p&lt;0,001). Im multivariaten Modell war cTRT unabhängig mit besserer PFS assoziiert (p&lt;0,001). Sicherheitsprofil war vergleichbar; Grad-3-4-Toxizitäten traten in beiden Gruppen ähnlich häufig auf. Grad-1-2-Dermatitis und Gastrointestinalitoxizität waren häufiger in der cTRT-Gruppe.</w:t>
      </w:r>
    </w:p>
    <w:p>
      <w:r>
        <w:rPr>
          <w:b/>
          <w:sz w:val="19"/>
        </w:rPr>
        <w:t xml:space="preserve">Übertragbarkeit: </w:t>
      </w:r>
      <w:r>
        <w:rPr>
          <w:sz w:val="19"/>
        </w:rPr>
        <w:t>China - Behandlungsalgorithmus übertragbar, aber Validierung in europäischen Real-World-Daten erforderlich vor Routineimplementierung.</w:t>
      </w:r>
    </w:p>
    <w:p>
      <w:r>
        <w:rPr>
          <w:color w:val="5A7D3A"/>
          <w:sz w:val="18"/>
        </w:rPr>
        <w:t>https://pubmed.ncbi.nlm.nih.gov/42862283/</w:t>
      </w:r>
    </w:p>
    <w:p>
      <w:pPr>
        <w:pStyle w:val="Heading2"/>
      </w:pPr>
      <w:r>
        <w:t>Kombinationstherapie mit RNA-Polymerase-I- und CDK-Inhibitor zeigt Synergie bei akuter myeloischer Leukämie</w:t>
      </w:r>
    </w:p>
    <w:p>
      <w:r>
        <w:rPr>
          <w:i/>
          <w:color w:val="666666"/>
          <w:sz w:val="18"/>
        </w:rPr>
        <w:t>Hein N et al.  ·  Leukemia  ·  08.10.2026  ·  PMID 42850350</w:t>
      </w:r>
    </w:p>
    <w:p>
      <w:r>
        <w:t>Australische präklinische und translatorische Studie identifiziert durch Hochdurchsatz-Screening Dinaciclib (CDK-Inhibitor) als Kombinationspartner zu CX-5461 (Ribosomen-Biosynthese-Inhibitor) in genetisch diversen AML-Modellen.</w:t>
      </w:r>
    </w:p>
    <w:p>
      <w:r>
        <w:rPr>
          <w:b/>
        </w:rPr>
        <w:t xml:space="preserve">Ergebnis: </w:t>
      </w:r>
      <w:r>
        <w:t>Dinaciclib wirkt synergistisch mit CX-5461 in mehreren humanen AML-Zelllinien und verbessert das Überleben in murinen AML-Modellen signifikant. Synergismus beruhte teilweise auf kombinatorischer Aktivierung des nucleolar surveillance pathway. Dinaciclib löste schnelle Apoptose aus, während CX-5461 primär Zellzyklus-Arrest verursachte; zusammen führte dies zu effizienter Tumorclearance und verzögertem Resistenzauftreten. In primären AML-Proben war Koloniebildung reduziert.</w:t>
      </w:r>
    </w:p>
    <w:p>
      <w:r>
        <w:rPr>
          <w:b/>
          <w:sz w:val="19"/>
        </w:rPr>
        <w:t xml:space="preserve">Übertragbarkeit: </w:t>
      </w:r>
      <w:r>
        <w:rPr>
          <w:sz w:val="19"/>
        </w:rPr>
        <w:t>Grundlagenevidenz, klinische Translation noch ausstehend; Mechanismus-Identifizierung liefert Rational für Phase-1-Studien.</w:t>
      </w:r>
    </w:p>
    <w:p>
      <w:r>
        <w:rPr>
          <w:color w:val="5A7D3A"/>
          <w:sz w:val="18"/>
        </w:rPr>
        <w:t>https://pubmed.ncbi.nlm.nih.gov/42850350/</w:t>
      </w:r>
    </w:p>
    <w:p>
      <w:pPr>
        <w:pStyle w:val="Heading2"/>
      </w:pPr>
      <w:r>
        <w:t>Koloskopie-Screening reduziert Darmkrebssterblichkeit nicht in nordischen Populationen</w:t>
      </w:r>
    </w:p>
    <w:p>
      <w:r>
        <w:rPr>
          <w:i/>
          <w:color w:val="666666"/>
          <w:sz w:val="18"/>
        </w:rPr>
        <w:t>Ladabaum U et al.  ·  Lancet  ·  10.10.2026  ·  PMID 42849474</w:t>
      </w:r>
    </w:p>
    <w:p>
      <w:r>
        <w:t>Große randomisierte skandinavische Studie verglich bei über 400.000 Personen Koloskopie-Screening vs. übliche Versorgung bei asymptomatischen Erwachsenen (55–64 Jahre) zur Reduktion von Darmkrebs-Sterblichkeit und Inzidenz.</w:t>
      </w:r>
    </w:p>
    <w:p>
      <w:r>
        <w:rPr>
          <w:b/>
        </w:rPr>
        <w:t xml:space="preserve">Ergebnis: </w:t>
      </w:r>
      <w:r>
        <w:t>Koloskopie reduzierte Darmkrebs-Inzidenz, führte aber nicht zu signifikanter Reduktion der Darmkrebssterblichkeit im Vergleich zu Kontrollgruppe. Die Ergebnisse werfen Fragen zu Effektivität des systematischen Screening bei mittlerem Risiko auf, insbesondere über den beobachteten Follow-up-Zeitraum.</w:t>
      </w:r>
    </w:p>
    <w:p>
      <w:r>
        <w:rPr>
          <w:b/>
          <w:sz w:val="19"/>
        </w:rPr>
        <w:t xml:space="preserve">Übertragbarkeit: </w:t>
      </w:r>
      <w:r>
        <w:rPr>
          <w:sz w:val="19"/>
        </w:rPr>
        <w:t>Deutschland und europäische Länder mit ähnlich strukturierten Gesundheitssystemen, NordICC-Daten direkt relevant für deutsches Screening-Design.</w:t>
      </w:r>
    </w:p>
    <w:p>
      <w:r>
        <w:rPr>
          <w:color w:val="5A7D3A"/>
          <w:sz w:val="18"/>
        </w:rPr>
        <w:t>https://pubmed.ncbi.nlm.nih.gov/42849474/</w:t>
      </w:r>
    </w:p>
    <w:p>
      <w:pPr>
        <w:pStyle w:val="Heading2"/>
      </w:pPr>
      <w:r>
        <w:t>Deep-Learning-Modell mit Genexpression sagt Lymphknoten-Makrometastasen in frühem Brustkrebs sicher voraus</w:t>
      </w:r>
    </w:p>
    <w:p>
      <w:r>
        <w:rPr>
          <w:i/>
          <w:color w:val="666666"/>
          <w:sz w:val="18"/>
        </w:rPr>
        <w:t>Zhang D et al.  ·  Clin Cancer Res  ·  08.10.2026  ·  PMID 42848433</w:t>
      </w:r>
    </w:p>
    <w:p>
      <w:r>
        <w:t>Schwedische prospektive Validierungsstudie entwickelt Deep-Learning-Modelle mit Genexpression und präoperativen klinischen Daten zur Vorhersage von Sentinellymphknoten-Makrometastasen (SLNM) bei 6.836 Patientinnen mit klinisch befallfreien Achselachsen.</w:t>
      </w:r>
    </w:p>
    <w:p>
      <w:r>
        <w:rPr>
          <w:b/>
        </w:rPr>
        <w:t xml:space="preserve">Ergebnis: </w:t>
      </w:r>
      <w:r>
        <w:t>Der Transformer-Ansatz zeigte überlegene Gene-Expression-Modellierung. Im unabhängigen Testset verbesserte das kombinierte Modell (präoperative Klinik + Genexpression) die SLNM-Vorhersage gegenüber nur klinischen Daten (ROC-AUC 0,693 vs. 0,596, p&lt;0,001) und identifizierte Niedrigrisiko-Patienten, die eine SLNB vermeiden könnten (Reduktionsrate 27,2% bei 92,1% Sensitivität). Bei triple-negativem Brustkrebs erreichte das Modell eine AUC von 0,734. Biopsie- und Operationspräparate zeigten substanzielle Übereinstimmung (n=116).</w:t>
      </w:r>
    </w:p>
    <w:p>
      <w:r>
        <w:rPr>
          <w:b/>
          <w:sz w:val="19"/>
        </w:rPr>
        <w:t xml:space="preserve">Übertragbarkeit: </w:t>
      </w:r>
      <w:r>
        <w:rPr>
          <w:sz w:val="19"/>
        </w:rPr>
        <w:t>Schweden, europäisches Registersystem, Datentypen sind international verfügbar.</w:t>
      </w:r>
    </w:p>
    <w:p>
      <w:r>
        <w:rPr>
          <w:color w:val="5A7D3A"/>
          <w:sz w:val="18"/>
        </w:rPr>
        <w:t>https://pubmed.ncbi.nlm.nih.gov/42848433/</w:t>
      </w:r>
    </w:p>
    <w:p>
      <w:pPr>
        <w:pStyle w:val="Heading2"/>
      </w:pPr>
      <w:r>
        <w:t>Krebserkrankungen mit unbekanntem Primärtumor werden seltener, Überleben verbessert sich langsam</w:t>
      </w:r>
    </w:p>
    <w:p>
      <w:r>
        <w:rPr>
          <w:i/>
          <w:color w:val="666666"/>
          <w:sz w:val="18"/>
        </w:rPr>
        <w:t>Zaun G et al.  ·  Dtsch Arztebl Int  ·  25.12.2026  ·  PMID 42845015</w:t>
      </w:r>
    </w:p>
    <w:p>
      <w:r>
        <w:t>Deutsche Bevölkerungsstudie aus dem Krebsregister Nordrhein-Westfalen analysiert Inzidenz- und Überlebenstrends bei Krebserkrankungen unbekannten Primärtumors (CUP) über 17 Jahre anhand von 21.085 validierten Fällen.</w:t>
      </w:r>
    </w:p>
    <w:p>
      <w:r>
        <w:rPr>
          <w:b/>
        </w:rPr>
        <w:t xml:space="preserve">Ergebnis: </w:t>
      </w:r>
      <w:r>
        <w:t>Altersstandardisierte Inzidenz fiel markant von 6,5 pro 100.000 Personenjahre (2007) auf 2,2 pro 100.000 Personenjahre (2023) (durchschnittliche jährliche Änderung -5,45%, 95%-KI [-6,49; -4,40]). Fünf-Jahres-Überleben stieg von 14,7% auf 21,8%. Plattenepithelkarzinome zeigten höchstes Überleben (42,8%), Adenokarzinome und undifferenzierte Karzinome niedrigstes (14–15%). Älteren Patienten hatten niedrigeres Überleben.</w:t>
      </w:r>
    </w:p>
    <w:p>
      <w:r>
        <w:rPr>
          <w:b/>
          <w:sz w:val="19"/>
        </w:rPr>
        <w:t xml:space="preserve">Übertragbarkeit: </w:t>
      </w:r>
      <w:r>
        <w:rPr>
          <w:sz w:val="19"/>
        </w:rPr>
        <w:t>Deutsche Daten aus bevölkerungsbasiertem Krebsregister, direkt auf deutsches Gesundheitswesen übertragbar.</w:t>
      </w:r>
    </w:p>
    <w:p>
      <w:r>
        <w:rPr>
          <w:color w:val="5A7D3A"/>
          <w:sz w:val="18"/>
        </w:rPr>
        <w:t>https://pubmed.ncbi.nlm.nih.gov/42845015/</w:t>
      </w:r>
    </w:p>
    <w:p>
      <w:pPr>
        <w:pStyle w:val="Heading1"/>
      </w:pPr>
      <w:r>
        <w:t>Aufgenommen am 12.10.2026</w:t>
      </w:r>
    </w:p>
    <w:p>
      <w:pPr>
        <w:pStyle w:val="Heading2"/>
      </w:pPr>
      <w:r>
        <w:t>Regelmäßige Nachsorge verbessert Overall Survival bei Nasopharynxkarzinom</w:t>
      </w:r>
    </w:p>
    <w:p>
      <w:r>
        <w:rPr>
          <w:i/>
          <w:color w:val="666666"/>
          <w:sz w:val="18"/>
        </w:rPr>
        <w:t>Wu CF et al.  ·  Radiother Oncol  ·  10.10.2026  ·  PMID 42858857</w:t>
      </w:r>
    </w:p>
    <w:p>
      <w:r>
        <w:t>Retrospektive Analyse von 8.798 Patienten mit nicht-metastasiertem Nasopharynxkarzinom zur Frage, ob intensivierte posttherapeutische Überwachung frühere Rezidiverkennung und besseres Überleben ermöglicht.</w:t>
      </w:r>
    </w:p>
    <w:p>
      <w:r>
        <w:rPr>
          <w:b/>
        </w:rPr>
        <w:t xml:space="preserve">Ergebnis: </w:t>
      </w:r>
      <w:r>
        <w:t>Mit ≥4 Arztbesuchen im 1. Jahr (regelmäßige Surveillance, n=4.078) gegenüber &lt;4 Besuchen (irregulär, n=4.720): medianes rezidivfreies Überleben 26,1 vs. 27,0 Monate, verbessertes Gesamtüberleben (HR 0,86; 95% KI 0,74–0,99; p=0,032). Regelmäßige Fernbildgebung senkte Mortalität (HR 0,69; 95% KI 0,57–0,82; p&lt;0,001); lokale und regionale Bildgebung nicht signifikant.</w:t>
      </w:r>
    </w:p>
    <w:p>
      <w:r>
        <w:rPr>
          <w:b/>
          <w:sz w:val="19"/>
        </w:rPr>
        <w:t xml:space="preserve">Übertragbarkeit: </w:t>
      </w:r>
      <w:r>
        <w:rPr>
          <w:sz w:val="19"/>
        </w:rPr>
        <w:t>China – hochvolumiges Zentrum; Methodik auf deutsche Strukturen übertragbar</w:t>
      </w:r>
    </w:p>
    <w:p>
      <w:r>
        <w:rPr>
          <w:color w:val="5A7D3A"/>
          <w:sz w:val="18"/>
        </w:rPr>
        <w:t>https://pubmed.ncbi.nlm.nih.gov/42858857/</w:t>
      </w:r>
    </w:p>
    <w:p>
      <w:pPr>
        <w:pStyle w:val="Heading2"/>
      </w:pPr>
      <w:r>
        <w:t>Machine-Learning-Methoden für fehlende Toxizitätsdaten bei Kopf-Hals-Krebspatienten</w:t>
      </w:r>
    </w:p>
    <w:p>
      <w:r>
        <w:rPr>
          <w:i/>
          <w:color w:val="666666"/>
          <w:sz w:val="18"/>
        </w:rPr>
        <w:t>van der Hoek L et al.  ·  Radiother Oncol  ·  10.10.2026  ·  PMID 42858855</w:t>
      </w:r>
    </w:p>
    <w:p>
      <w:r>
        <w:t>Niederländische Studie zur Bewertung von neun Imputationsmethoden (von einfach bis Deep Learning) für fehlende Werte in longitudinalen Toxizitätsdaten von 1.442 Patienten mit Kopf-Hals-Krebs unter Radiotherapie.</w:t>
      </w:r>
    </w:p>
    <w:p>
      <w:r>
        <w:rPr>
          <w:b/>
        </w:rPr>
        <w:t xml:space="preserve">Ergebnis: </w:t>
      </w:r>
      <w:r>
        <w:t>Einfache Imputationsmethoden schnitten deutlich schlechter ab als fortgeschrittene; Qualität verschlechterte sich, wenn Patienten &lt;50% der Messzeitpunkte hatten; Transformer-Modelle waren robuster gegen Rauschen; downstream Modelle zeigten vernachlässigbare Unterschiede außer bei einfachen Methoden. Praktische Empfehlung: einfache Imputationen vermeiden und Inklusions- sowie Verfügbarkeitskriterien bewusst wählen.</w:t>
      </w:r>
    </w:p>
    <w:p>
      <w:r>
        <w:rPr>
          <w:b/>
          <w:sz w:val="19"/>
        </w:rPr>
        <w:t xml:space="preserve">Übertragbarkeit: </w:t>
      </w:r>
      <w:r>
        <w:rPr>
          <w:sz w:val="19"/>
        </w:rPr>
        <w:t>Niederlande, deutschsprachige Methodik, europäische Dokumentationspflichten übertragbar</w:t>
      </w:r>
    </w:p>
    <w:p>
      <w:r>
        <w:rPr>
          <w:color w:val="5A7D3A"/>
          <w:sz w:val="18"/>
        </w:rPr>
        <w:t>https://pubmed.ncbi.nlm.nih.gov/42858855/</w:t>
      </w:r>
    </w:p>
    <w:p>
      <w:pPr>
        <w:pStyle w:val="Heading2"/>
      </w:pPr>
      <w:r>
        <w:t>Klinisch bedeutsame Schwellenwerte für Lebensqualitätsfragebogen bei Prostatakrebspatienten</w:t>
      </w:r>
    </w:p>
    <w:p>
      <w:r>
        <w:rPr>
          <w:i/>
          <w:color w:val="666666"/>
          <w:sz w:val="18"/>
        </w:rPr>
        <w:t>Vorbach SM et al.  ·  Radiother Oncol  ·  10.10.2026  ·  PMID 42858854</w:t>
      </w:r>
    </w:p>
    <w:p>
      <w:r>
        <w:t>Europäische Multicenterstudie zur Etablierung von Klinisch Bedeutsamen Schwellenwerten (Thresholds for Clinical Importance, TCI) für den EORTC QLQ-PR25, ein Lebensqualitätsinstrument bei Prostatakrebspatienten.</w:t>
      </w:r>
    </w:p>
    <w:p>
      <w:r>
        <w:rPr>
          <w:b/>
        </w:rPr>
        <w:t xml:space="preserve">Ergebnis: </w:t>
      </w:r>
      <w:r>
        <w:t>Für fünf der sechs Skalen ließen sich akzeptable bis exzellente ROC-Werte (AUC 0,74–0,90) mit Sensitivität 0,62–0,88 und Spezifität 0,48–0,98 etablieren; für die Sexualfunktion (AUC 0,48) gelang dies nicht. Die TCIs ermöglichen erstmals die klinische Interpretation einzelner Patientenergebnisse für Symptom-Screening und Entscheidungsfindung.</w:t>
      </w:r>
    </w:p>
    <w:p>
      <w:r>
        <w:rPr>
          <w:b/>
          <w:sz w:val="19"/>
        </w:rPr>
        <w:t xml:space="preserve">Übertragbarkeit: </w:t>
      </w:r>
      <w:r>
        <w:rPr>
          <w:sz w:val="19"/>
        </w:rPr>
        <w:t>Österreich, Niederlande, Spanien, Belgien, Deutschland – vergleichbare Gesundheitssysteme, europäische Fachdaten</w:t>
      </w:r>
    </w:p>
    <w:p>
      <w:r>
        <w:rPr>
          <w:color w:val="5A7D3A"/>
          <w:sz w:val="18"/>
        </w:rPr>
        <w:t>https://pubmed.ncbi.nlm.nih.gov/42858854/</w:t>
      </w:r>
    </w:p>
    <w:p>
      <w:pPr>
        <w:pStyle w:val="Heading2"/>
      </w:pPr>
      <w:r>
        <w:t>FRα-gezieltes Antikörper-Wirkstoff-Konjugat Sofetabart zeigt Aktivität bei fortgeschrittenem Ovarialkarzinom</w:t>
      </w:r>
    </w:p>
    <w:p>
      <w:r>
        <w:rPr>
          <w:i/>
          <w:color w:val="666666"/>
          <w:sz w:val="18"/>
        </w:rPr>
        <w:t>Ray-Coquard I et al.  ·  Ann Oncol  ·  08.10.2026  ·  PMID 42849725</w:t>
      </w:r>
    </w:p>
    <w:p>
      <w:r>
        <w:t>Multizentrische First-in-Human Phase-1-Studie mit 105 Patienten (überwiegend platinresistent) zu Sofetabart mipitecan (Sofe-M), einem neuen FRα-Antibody-Drug-Conjugate ohne Keratopathie-Risiko.</w:t>
      </w:r>
    </w:p>
    <w:p>
      <w:r>
        <w:rPr>
          <w:b/>
        </w:rPr>
        <w:t xml:space="preserve">Ergebnis: </w:t>
      </w:r>
      <w:r>
        <w:t>Objektive Ansprechrate 50,5% (95% KI 40,5–60,4), bei 3 mg/kg 58,8%; bei FRα &lt;75% 44,4%, bei FRα ≥75% 56,5%, nach vorherigem Mirvetuximab 57,9%; medianes progressionsfreies Überleben 8,1 Monate (95% KI 6,4–8,5). Häufigste Nebenwirkungen: Übelkeit (64,8%), Fatigue (56,2%), Anämie (47,6%). Keine Keratopathien oder Grad-≥3-Neuropathie; 35,3–56,4% Grad-≥3-Nebenwirkungen je Dosis; Behandlungsabbruch 10,5%.</w:t>
      </w:r>
    </w:p>
    <w:p>
      <w:r>
        <w:rPr>
          <w:b/>
          <w:sz w:val="19"/>
        </w:rPr>
        <w:t xml:space="preserve">Übertragbarkeit: </w:t>
      </w:r>
      <w:r>
        <w:rPr>
          <w:sz w:val="19"/>
        </w:rPr>
        <w:t>USA-Studie mit europäischen Zentren (Frankreich, Spanien, Italien); Übertragbarkeit auf AMNOG-Zulassungsprozess prüfbar</w:t>
      </w:r>
    </w:p>
    <w:p>
      <w:r>
        <w:rPr>
          <w:color w:val="5A7D3A"/>
          <w:sz w:val="18"/>
        </w:rPr>
        <w:t>https://pubmed.ncbi.nlm.nih.gov/42849725/</w:t>
      </w:r>
    </w:p>
    <w:p>
      <w:pPr>
        <w:pStyle w:val="Heading2"/>
      </w:pPr>
      <w:r>
        <w:t>Transfer-RNA-Dosierung kontrolliert Lineageplastizität und Therapieresistenz bei Prostatakarzinom</w:t>
      </w:r>
    </w:p>
    <w:p>
      <w:r>
        <w:rPr>
          <w:i/>
          <w:color w:val="666666"/>
          <w:sz w:val="18"/>
        </w:rPr>
        <w:t>Kim YS et al.  ·  Nature  ·  07.10.2026  ·  PMID 42844465</w:t>
      </w:r>
    </w:p>
    <w:p>
      <w:r>
        <w:t>Grundlagenarbeit zur Identifikation von tRNA1Arg(UCU) als Regulator der Lineageplastizität und Therapieresistenz im Prostatakarzinom mit Weg in die Klinik über Linearität und Androgenrezeptor-Sensitivität.</w:t>
      </w:r>
    </w:p>
    <w:p>
      <w:r>
        <w:rPr>
          <w:b/>
        </w:rPr>
        <w:t xml:space="preserve">Ergebnis: </w:t>
      </w:r>
      <w:r>
        <w:t>tRNA1Arg(UCU) ist herunterreguliert in neuroendokrinem Prostatakarzinom und assoziiert mit beschleunigter Metastasierung und schlechterer Prognose; Regulatoren TARDBP und ZSCAN29 kontrollieren tRNA-Expression; tRNA steuert Translationsprogramm mit SWI/SNF-Chromatin-Umbauerproteinen, die Lineage-Treue wahren; experimentelle Manipulation von tRNA1Arg(UCU) restauriert Androgenrezeptor-Sensitivität.</w:t>
      </w:r>
    </w:p>
    <w:p>
      <w:r>
        <w:rPr>
          <w:b/>
          <w:sz w:val="19"/>
        </w:rPr>
        <w:t xml:space="preserve">Übertragbarkeit: </w:t>
      </w:r>
      <w:r>
        <w:rPr>
          <w:sz w:val="19"/>
        </w:rPr>
        <w:t>USA-Grundlagenarbeit mit translationalem Ansatz zur Überwindung Androgenrezeptor-Inhibitor-Resistenz</w:t>
      </w:r>
    </w:p>
    <w:p>
      <w:r>
        <w:rPr>
          <w:color w:val="5A7D3A"/>
          <w:sz w:val="18"/>
        </w:rPr>
        <w:t>https://pubmed.ncbi.nlm.nih.gov/42844465/</w:t>
      </w:r>
    </w:p>
    <w:p>
      <w:pPr>
        <w:pStyle w:val="Heading2"/>
      </w:pPr>
      <w:r>
        <w:t>Globale Ungleichheit in Verfügbarkeit und Kostenübernahme von Nierenzellkarzinom-Therapien</w:t>
      </w:r>
    </w:p>
    <w:p>
      <w:r>
        <w:rPr>
          <w:i/>
          <w:color w:val="666666"/>
          <w:sz w:val="18"/>
        </w:rPr>
        <w:t>Urun Y et al.  ·  Oncologist  ·  06.10.2026  ·  PMID 42836687</w:t>
      </w:r>
    </w:p>
    <w:p>
      <w:r>
        <w:t>Internationale Querschnittsstudie von 144 Klinikern aus 58 Ländern zur Verfügbarkeit und Erstattung von 20 innovativen systemischen Therapien für Nierenzellkarzinom.</w:t>
      </w:r>
    </w:p>
    <w:p>
      <w:r>
        <w:rPr>
          <w:b/>
        </w:rPr>
        <w:t xml:space="preserve">Ergebnis: </w:t>
      </w:r>
      <w:r>
        <w:t>Nur 36% der Länder hatten mindestens 15 der 20 Therapien verfügbar; vollständige Erstattung für ≥15 Therapien in nur 6 Ländern (10%), für 1–9 Therapien in 13 Ländern (23%), keine Erstattung in 18 Ländern (31%). Höheres Nationaleinkommen korrelierte signifikant mit besserer Verfügbarkeit (Kruskal-Wallis p&lt;0,0001); Armenien, Griechenland und Israel zeigten höchste GDP-bereinigte Drug-Availability-Indizes.</w:t>
      </w:r>
    </w:p>
    <w:p>
      <w:r>
        <w:rPr>
          <w:b/>
          <w:sz w:val="19"/>
        </w:rPr>
        <w:t xml:space="preserve">Übertragbarkeit: </w:t>
      </w:r>
      <w:r>
        <w:rPr>
          <w:sz w:val="19"/>
        </w:rPr>
        <w:t>58 Länder weltweit; Transfer: Deutschland als mittleres Einkommsland mit hoher Verfügbarkeit</w:t>
      </w:r>
    </w:p>
    <w:p>
      <w:r>
        <w:rPr>
          <w:color w:val="5A7D3A"/>
          <w:sz w:val="18"/>
        </w:rPr>
        <w:t>https://pubmed.ncbi.nlm.nih.gov/42836687/</w:t>
      </w:r>
    </w:p>
    <w:p>
      <w:pPr>
        <w:pStyle w:val="Heading2"/>
      </w:pPr>
      <w:r>
        <w:t>Spätfolgen innovativer Kinderkrebs-Therapien: Übersicht für Langzeit-Follow-up</w:t>
      </w:r>
    </w:p>
    <w:p>
      <w:r>
        <w:rPr>
          <w:i/>
          <w:color w:val="666666"/>
          <w:sz w:val="18"/>
        </w:rPr>
        <w:t>Berkman AM et al.  ·  J Natl Cancer Inst  ·  06.10.2026  ·  PMID 42836651</w:t>
      </w:r>
    </w:p>
    <w:p>
      <w:r>
        <w:t>Narrativ-systematische Übersichtsarbeit zur erwarteten Langzeittoxizität neuer Wirkstoffe (Antikörper, ADC, Immune Checkpoint Inhibitor, CAR-T, targeted therapies) bei Kindern mit Krebs, um Langzeitüberwachung zu informieren.</w:t>
      </w:r>
    </w:p>
    <w:p>
      <w:r>
        <w:rPr>
          <w:b/>
        </w:rPr>
        <w:t xml:space="preserve">Ergebnis: </w:t>
      </w:r>
      <w:r>
        <w:t>Detaillierte Analyse von kardiovaskulären, neurologischen, endokrinen, gastrointestinalen und immunologischen Spätfolgen innovativer Therapien basierend auf Akuttoxizitätsprofilen, limitierten pädiatrischen Verlaufsdaten und emerging adult data. Kernaussage: Systematische Charakterisierung der Langzeittoxizität ist dringend erforderlich; etablierte Survivorship-Kohorten müssen erweitert und neue Nachweismethoden für bisher unerkannte Folgen entwickelt werden.</w:t>
      </w:r>
    </w:p>
    <w:p>
      <w:r>
        <w:rPr>
          <w:b/>
          <w:sz w:val="19"/>
        </w:rPr>
        <w:t xml:space="preserve">Übertragbarkeit: </w:t>
      </w:r>
      <w:r>
        <w:rPr>
          <w:sz w:val="19"/>
        </w:rPr>
        <w:t>USA-Fachstandard, methodisch auf deutsche Leitlinien (DKG) übertragbar</w:t>
      </w:r>
    </w:p>
    <w:p>
      <w:r>
        <w:rPr>
          <w:color w:val="5A7D3A"/>
          <w:sz w:val="18"/>
        </w:rPr>
        <w:t>https://pubmed.ncbi.nlm.nih.gov/42836651/</w:t>
      </w:r>
    </w:p>
    <w:p>
      <w:pPr>
        <w:pStyle w:val="Heading1"/>
      </w:pPr>
      <w:r>
        <w:t>Aufgenommen am 11.10.2026</w:t>
      </w:r>
    </w:p>
    <w:p>
      <w:pPr>
        <w:pStyle w:val="Heading2"/>
      </w:pPr>
      <w:r>
        <w:t>MRD-Negativität bei 0,01 % korreliert mit Overall Survival in akuter myeloischer Leukämie</w:t>
      </w:r>
    </w:p>
    <w:p>
      <w:r>
        <w:rPr>
          <w:i/>
          <w:color w:val="666666"/>
          <w:sz w:val="18"/>
        </w:rPr>
        <w:t>Paiva B et al.  ·  Leukemia  ·  08.10.2026  ·  PMID 42850349</w:t>
      </w:r>
    </w:p>
    <w:p>
      <w:r>
        <w:t>Die PETHEMA-Studie untersuchte an 2.623 AML-Patienten, ob Measurable Residual Disease (MRD) mittels Durchflusszytometrie ein prognostischer Marker für das Gesamtüberleben nach intensiver Therapie ist.</w:t>
      </w:r>
    </w:p>
    <w:p>
      <w:r>
        <w:rPr>
          <w:b/>
        </w:rPr>
        <w:t xml:space="preserve">Ergebnis: </w:t>
      </w:r>
      <w:r>
        <w:t>MRD-Negativität bei der 0,01%-Schwelle zeigte unabhängigen prognostischen Wert (globale Odds Ratio 1,23; 95%-KI 1,02–1,40; p &lt; 0,05). MRD-Nachweis bei ≥0,01–&lt;0,1 % assoziiert mit schlechterem Überleben. 68 % der CR-Patienten hatten MRD-Nachweis. Signifikanz variierte nach genetischem Risiko und Erhaltungstherapie.</w:t>
      </w:r>
    </w:p>
    <w:p>
      <w:r>
        <w:rPr>
          <w:b/>
          <w:sz w:val="19"/>
        </w:rPr>
        <w:t xml:space="preserve">Übertragbarkeit: </w:t>
      </w:r>
      <w:r>
        <w:rPr>
          <w:sz w:val="19"/>
        </w:rPr>
        <w:t>Spanische und portugiesische Kohorten, europäische Versorgungsstruktur, direkt auf deutsches Krebsregister-Setting übertragbar.</w:t>
      </w:r>
    </w:p>
    <w:p>
      <w:r>
        <w:rPr>
          <w:color w:val="5A7D3A"/>
          <w:sz w:val="18"/>
        </w:rPr>
        <w:t>https://pubmed.ncbi.nlm.nih.gov/42850349/</w:t>
      </w:r>
    </w:p>
    <w:p>
      <w:pPr>
        <w:pStyle w:val="Heading2"/>
      </w:pPr>
      <w:r>
        <w:t>Koloskopie-Screening reduziert kolorektales Krebssterben um 31 Prozent</w:t>
      </w:r>
    </w:p>
    <w:p>
      <w:r>
        <w:rPr>
          <w:i/>
          <w:color w:val="666666"/>
          <w:sz w:val="18"/>
        </w:rPr>
        <w:t>Brenner H et al.  ·  Lancet  ·  10.10.2026  ·  PMID 42849472</w:t>
      </w:r>
    </w:p>
    <w:p>
      <w:r>
        <w:t>Die NordICC-Studie untersuchte, ob gelegentliche Screening-Koloskopie bei Erwachsenen ab 55/60 Jahren die Sterblichkeit durch kolorektales Karzinom senkt.</w:t>
      </w:r>
    </w:p>
    <w:p>
      <w:r>
        <w:rPr>
          <w:b/>
        </w:rPr>
        <w:t xml:space="preserve">Ergebnis: </w:t>
      </w:r>
      <w:r>
        <w:t>Die Koloskopie reduzierte die krebsspezifische Mortalität um 31 % über 10 Jahre (relatives Risiko 0,69; 95%-KI 0,55–0,87). Die Zahl der Todesfälle pro 1.000 Screenings betrug 0,28. Incidenz sank um 21 %. Nebenwirkungen: schwerwiegende Blutungen &lt;0,1 %, Perforationen 0,7 pro 1.000.</w:t>
      </w:r>
    </w:p>
    <w:p>
      <w:r>
        <w:rPr>
          <w:b/>
          <w:sz w:val="19"/>
        </w:rPr>
        <w:t xml:space="preserve">Übertragbarkeit: </w:t>
      </w:r>
      <w:r>
        <w:rPr>
          <w:sz w:val="19"/>
        </w:rPr>
        <w:t>Europäischer Verbund (Skandinavien, Polen, Deutschland), publische Gesundheitssysteme mit ähnlicher Finanzierung wie Deutschland.</w:t>
      </w:r>
    </w:p>
    <w:p>
      <w:r>
        <w:rPr>
          <w:color w:val="5A7D3A"/>
          <w:sz w:val="18"/>
        </w:rPr>
        <w:t>https://pubmed.ncbi.nlm.nih.gov/42849472/</w:t>
      </w:r>
    </w:p>
    <w:p>
      <w:pPr>
        <w:pStyle w:val="Heading2"/>
      </w:pPr>
      <w:r>
        <w:t>BRCA2-Alteration vorhersagend für 12-Monate-Benefit unter PARP-Inhibitor Talazoparib</w:t>
      </w:r>
    </w:p>
    <w:p>
      <w:r>
        <w:rPr>
          <w:i/>
          <w:color w:val="666666"/>
          <w:sz w:val="18"/>
        </w:rPr>
        <w:t>Castro E et al.  ·  Eur J Cancer  ·  29.09.2026  ·  PMID 42849324</w:t>
      </w:r>
    </w:p>
    <w:p>
      <w:r>
        <w:t>Retrospektive Genomanalyse aus der Phase-2-Studie TALAPRO-1 zu Talazoparib-Monotherapie in 104 Patienten mit metastasiertem kastrationsresistentem Prostatakarzinom und HRR-Genalterationen.</w:t>
      </w:r>
    </w:p>
    <w:p>
      <w:r>
        <w:rPr>
          <w:b/>
        </w:rPr>
        <w:t xml:space="preserve">Ergebnis: </w:t>
      </w:r>
      <w:r>
        <w:t>94 % der Patienten mit radiographischem PFS ≥12 Monaten hatten BRCA2-Alterationen, vs. 22 % mit PFS &lt;2 Monaten (p &lt;0,00001). HRR-Gen-Reversionen (n=7) und PARP1-Varianten (n=5) zeigten emergente Resistenzmechanismen; beide prädiktiv für Therapieversagen nach initialem Ansprechen.</w:t>
      </w:r>
    </w:p>
    <w:p>
      <w:r>
        <w:rPr>
          <w:b/>
          <w:sz w:val="19"/>
        </w:rPr>
        <w:t xml:space="preserve">Übertragbarkeit: </w:t>
      </w:r>
      <w:r>
        <w:rPr>
          <w:sz w:val="19"/>
        </w:rPr>
        <w:t>US-amerikanische Studie, aber Genomik und BRCA2-Mutationen tumorunabhängig; Biomarker-Strategie auf deutsche Praxen übertragbar.</w:t>
      </w:r>
    </w:p>
    <w:p>
      <w:r>
        <w:rPr>
          <w:color w:val="5A7D3A"/>
          <w:sz w:val="18"/>
        </w:rPr>
        <w:t>https://pubmed.ncbi.nlm.nih.gov/42849324/</w:t>
      </w:r>
    </w:p>
    <w:p>
      <w:pPr>
        <w:pStyle w:val="Heading2"/>
      </w:pPr>
      <w:r>
        <w:t>Disitamab vedotin plus Tislelizumab: 73 % komplette Response bei nicht-resektablem high-grade Harnblasenkarzinom</w:t>
      </w:r>
    </w:p>
    <w:p>
      <w:r>
        <w:rPr>
          <w:i/>
          <w:color w:val="666666"/>
          <w:sz w:val="18"/>
        </w:rPr>
        <w:t>Qie Y et al.  ·  JAMA Oncol  ·  08.10.2026  ·  PMID 42848391</w:t>
      </w:r>
    </w:p>
    <w:p>
      <w:r>
        <w:t>Phase-2-Studie mit 28 Patienten zu resektionsunfähigem ERBB2-positiven high-risk nicht-Muskel-invasivem Blasenkarzinom unter Kombinationstherapie mit dem Antikörper-Wirkstoff-Konjugat Disitamab vedotin und dem PD-1-Inhibitor Tislelizumab.</w:t>
      </w:r>
    </w:p>
    <w:p>
      <w:r>
        <w:rPr>
          <w:b/>
        </w:rPr>
        <w:t xml:space="preserve">Ergebnis: </w:t>
      </w:r>
      <w:r>
        <w:t>Komplette Response der high-risk-Erkrankung in 19/26 Patienten (73,1 %; 95%-KI 54,8–91,3 %), über Zielrate von 70 % hinaus. 24-Monate-Ansprechen-Dauerhaftigkeit 83,5 %; kein Übergang zu invasivem Karzinom oder Metastasierung. Therapiebedingte Nebenwirkungen bei 89 %, davon nur 14 % Grad 3–4; 2 Patienten Abbruch.</w:t>
      </w:r>
    </w:p>
    <w:p>
      <w:r>
        <w:rPr>
          <w:b/>
          <w:sz w:val="19"/>
        </w:rPr>
        <w:t xml:space="preserve">Übertragbarkeit: </w:t>
      </w:r>
      <w:r>
        <w:rPr>
          <w:sz w:val="19"/>
        </w:rPr>
        <w:t>Chinesische Kliniken, aber ERBB2-Screening und -Klassifizierung international standardisiert; Ergebnis relevant für deutsche Zentren mit Blasen-Expertise.</w:t>
      </w:r>
    </w:p>
    <w:p>
      <w:r>
        <w:rPr>
          <w:color w:val="5A7D3A"/>
          <w:sz w:val="18"/>
        </w:rPr>
        <w:t>https://pubmed.ncbi.nlm.nih.gov/42848391/</w:t>
      </w:r>
    </w:p>
    <w:p>
      <w:pPr>
        <w:pStyle w:val="Heading2"/>
      </w:pPr>
      <w:r>
        <w:t>Universelle Keimbahntest-Screening: 18,4 % Pathogene Varianten in früh-onset Karzinomen, altersbasierte Limits übersehen 72 % aller Träger</w:t>
      </w:r>
    </w:p>
    <w:p>
      <w:r>
        <w:rPr>
          <w:i/>
          <w:color w:val="666666"/>
          <w:sz w:val="18"/>
        </w:rPr>
        <w:t>Stadler ZK et al.  ·  Cancer Discov  ·  08.10.2026  ·  PMID 42844684</w:t>
      </w:r>
    </w:p>
    <w:p>
      <w:r>
        <w:t>Keimbahnsequenzierung von 39.184 Patienten mit soliden Malignomen über 32 Tumortypen hinweg; Vergleich der Pathogenen-Variantenprävalenz nach Alter bei Diagnose.</w:t>
      </w:r>
    </w:p>
    <w:p>
      <w:r>
        <w:rPr>
          <w:b/>
        </w:rPr>
        <w:t xml:space="preserve">Ergebnis: </w:t>
      </w:r>
      <w:r>
        <w:t>Pathogene Varianten in 18,4 % der früh-onset, 15,6 % der durchschnittlich-onset und 12,3 % der spät-onset Fälle (p &lt;0,001). High-/Moderate-Penetranz-Gene: 12,4 % vs. 8,9 % vs. 5,1 %. Altersgrenze 50 Jahre übersieht 4.601 Träger (72 % aller detektierten Varianten). Universelles Screening empfohlen.</w:t>
      </w:r>
    </w:p>
    <w:p>
      <w:r>
        <w:rPr>
          <w:b/>
          <w:sz w:val="19"/>
        </w:rPr>
        <w:t xml:space="preserve">Übertragbarkeit: </w:t>
      </w:r>
      <w:r>
        <w:rPr>
          <w:sz w:val="19"/>
        </w:rPr>
        <w:t>USA-Studie, aber Genetik und Mutationsspektrum tumorunabhängig; Screening-Empfehlung relevant für deutsche AMNOG- und Leitlinien-Adaptationen.</w:t>
      </w:r>
    </w:p>
    <w:p>
      <w:r>
        <w:rPr>
          <w:color w:val="5A7D3A"/>
          <w:sz w:val="18"/>
        </w:rPr>
        <w:t>https://pubmed.ncbi.nlm.nih.gov/42844684/</w:t>
      </w:r>
    </w:p>
    <w:p>
      <w:pPr>
        <w:pStyle w:val="Heading2"/>
      </w:pPr>
      <w:r>
        <w:t>Venetoclax-basierte Therapie versus HMA-Monotherapie: OS-Vorteil 11,4 vs. 8,2 Monate bei unfittem neudiagnostiziertem AML</w:t>
      </w:r>
    </w:p>
    <w:p>
      <w:r>
        <w:rPr>
          <w:i/>
          <w:color w:val="666666"/>
          <w:sz w:val="18"/>
        </w:rPr>
        <w:t>Aspas Requena G et al.  ·  Leukemia  ·  06.10.2026  ·  PMID 42839073</w:t>
      </w:r>
    </w:p>
    <w:p>
      <w:r>
        <w:t>Real-World-Vergleich von 929 Patienten unter Venetoclax-Kombination mit 1.681 unter Hypomethylierungsmitteln allein aus der spanischen PETHEMA-Registry; mediane Nachverfolgung im Routinebetrieb.</w:t>
      </w:r>
    </w:p>
    <w:p>
      <w:r>
        <w:rPr>
          <w:b/>
        </w:rPr>
        <w:t xml:space="preserve">Ergebnis: </w:t>
      </w:r>
      <w:r>
        <w:t>Medianes Gesamtüberleben unter Venetoclax 11,4 Monate vs. 8,2 Monate (HR 0,66; 95%-KI 0,60–0,73; p &lt;0,001); konsistent mit VIALE-A-Trial (HR 0,66). Composite Complete Remission 64,4 % vs. 20,0 %; 30-Tage-Mortalität 4,8 % vs. 7,5 %. Benefit bei IDH2, NPM1, FLT3-ITD; minimal bei TP53-mutierten und MDS-evolved AML.</w:t>
      </w:r>
    </w:p>
    <w:p>
      <w:r>
        <w:rPr>
          <w:b/>
          <w:sz w:val="19"/>
        </w:rPr>
        <w:t xml:space="preserve">Übertragbarkeit: </w:t>
      </w:r>
      <w:r>
        <w:rPr>
          <w:sz w:val="19"/>
        </w:rPr>
        <w:t>Spanische und südamerikanische öffentliche Kliniken, europäische Dokumentationspflichten; direkter Vergleich zu deutschen AML-Zentren.</w:t>
      </w:r>
    </w:p>
    <w:p>
      <w:r>
        <w:rPr>
          <w:color w:val="5A7D3A"/>
          <w:sz w:val="18"/>
        </w:rPr>
        <w:t>https://pubmed.ncbi.nlm.nih.gov/42839073/</w:t>
      </w:r>
    </w:p>
    <w:p>
      <w:pPr>
        <w:pStyle w:val="Heading1"/>
      </w:pPr>
      <w:r>
        <w:t>Aufgenommen am 10.10.2026</w:t>
      </w:r>
    </w:p>
    <w:p>
      <w:pPr>
        <w:pStyle w:val="Heading2"/>
      </w:pPr>
      <w:r>
        <w:t>Digital Breast Tomosynthesis senkt Intervallkrebsrate um etwa 24 Prozent</w:t>
      </w:r>
    </w:p>
    <w:p>
      <w:r>
        <w:rPr>
          <w:i/>
          <w:color w:val="666666"/>
          <w:sz w:val="18"/>
        </w:rPr>
        <w:t>Weigel S et al.  ·  Lancet Oncol  ·  09.10.2026  ·  PMID 42854706</w:t>
      </w:r>
    </w:p>
    <w:p>
      <w:r>
        <w:t>Randomisierte Studie verglich Digital Breast Tomosynthesis plus synthetisierte Mammographie versus digitale Mammographie im Screening bei 99.558 Frauen (50-70 Jahre) in Deutschland mit 24 Monaten Nachverfolgung.</w:t>
      </w:r>
    </w:p>
    <w:p>
      <w:r>
        <w:rPr>
          <w:b/>
        </w:rPr>
        <w:t xml:space="preserve">Ergebnis: </w:t>
      </w:r>
      <w:r>
        <w:t>Invasive Intervallkrebsrate 14,2 pro 10.000 (DBT-Gruppe) versus 18,6 pro 10.000 (digitale Mammographie); OR 0,76 (95% KI 0,55-1,06; p=0,11). Bei 12 Monaten signifikant: 4,5 versus 6,3 pro 10.000 (OR 0,71; p&lt;0,05). Etwa ein Viertel der Intervallkrebse könnte vermieden werden.</w:t>
      </w:r>
    </w:p>
    <w:p>
      <w:r>
        <w:rPr>
          <w:b/>
          <w:sz w:val="19"/>
        </w:rPr>
        <w:t xml:space="preserve">Übertragbarkeit: </w:t>
      </w:r>
      <w:r>
        <w:rPr>
          <w:sz w:val="19"/>
        </w:rPr>
        <w:t>Deutsche Multicenterstudie, deutsche Gesundheitsdaten direkt übertragbar</w:t>
      </w:r>
    </w:p>
    <w:p>
      <w:r>
        <w:rPr>
          <w:color w:val="5A7D3A"/>
          <w:sz w:val="18"/>
        </w:rPr>
        <w:t>https://pubmed.ncbi.nlm.nih.gov/42854706/</w:t>
      </w:r>
    </w:p>
    <w:p>
      <w:pPr>
        <w:pStyle w:val="Heading2"/>
      </w:pPr>
      <w:r>
        <w:t>Toripalimab mit Chemotherapie bei B3-Thymom und Thymuskarziom: Progression-freies Überleben 19,3 Monate</w:t>
      </w:r>
    </w:p>
    <w:p>
      <w:r>
        <w:rPr>
          <w:i/>
          <w:color w:val="666666"/>
          <w:sz w:val="18"/>
        </w:rPr>
        <w:t>Zhu K et al.  ·  ESMO Open  ·  08.10.2026  ·  PMID 42854640</w:t>
      </w:r>
    </w:p>
    <w:p>
      <w:r>
        <w:t>Phase-II-Studie (24 Patienten mit nicht resezierbarem B3-Thymom oder Thymuskarziom) mit Paclitaxel, Carboplatin plus Toripalimab (PD-L1-Inhibitor) in bis zu 6 Zyklen, dann Toripalimab-Erhaltung bis Progression.</w:t>
      </w:r>
    </w:p>
    <w:p>
      <w:r>
        <w:rPr>
          <w:b/>
        </w:rPr>
        <w:t xml:space="preserve">Ergebnis: </w:t>
      </w:r>
      <w:r>
        <w:t>Medianes Progression-freies Überleben 19,3 Monate (95% KI 12,8-25,8). Objektive Ansprechrate 37,5% (KI 18,8-59,4%), komplette Krankheitskontrolle 100%. Grad 3-4 behandlungsbedingte Nebenwirkungen bei 50,0%; Grad ≥3 immunbedingte unerwünschte Ereignisse bei 4,2%. Höhere PD-L1-Expression und spezifische Tumor-Mikroumgebungsmuster assoziiert mit besserem Outcome.</w:t>
      </w:r>
    </w:p>
    <w:p>
      <w:r>
        <w:rPr>
          <w:b/>
          <w:sz w:val="19"/>
        </w:rPr>
        <w:t xml:space="preserve">Übertragbarkeit: </w:t>
      </w:r>
      <w:r>
        <w:rPr>
          <w:sz w:val="19"/>
        </w:rPr>
        <w:t>China; Phase-II-Daten erfordern randomisierte Bestätigung vor deutschem Einsatz</w:t>
      </w:r>
    </w:p>
    <w:p>
      <w:r>
        <w:rPr>
          <w:color w:val="5A7D3A"/>
          <w:sz w:val="18"/>
        </w:rPr>
        <w:t>https://pubmed.ncbi.nlm.nih.gov/42854640/</w:t>
      </w:r>
    </w:p>
    <w:p>
      <w:pPr>
        <w:pStyle w:val="Heading2"/>
      </w:pPr>
      <w:r>
        <w:t>Früherkennung von Bauchspeicheldrüsenkrebs – gleiche Überlebenschancen trotz fortgeschrittener Erkrankung</w:t>
      </w:r>
    </w:p>
    <w:p>
      <w:r>
        <w:rPr>
          <w:i/>
          <w:color w:val="666666"/>
          <w:sz w:val="18"/>
        </w:rPr>
        <w:t>Ruze R et al.  ·  J Natl Cancer Inst  ·  09.10.2026  ·  PMID 42853071</w:t>
      </w:r>
    </w:p>
    <w:p>
      <w:r>
        <w:t>Systematische Übersichtsarbeit und Metaanalyse von 48 Studien (1.659.432 Patienten, davon 695.936 ohne Überschneidung) verglich früh auftretenden Pankreaskrebs (EOPC) mit altersgruppenüblichem Krebs (AOPC).</w:t>
      </w:r>
    </w:p>
    <w:p>
      <w:r>
        <w:rPr>
          <w:b/>
        </w:rPr>
        <w:t xml:space="preserve">Ergebnis: </w:t>
      </w:r>
      <w:r>
        <w:t>EOPC-Patienten: niedrigere Diabetesrate (OR 0,39; 95% KI 0,21-0,72), fortgeschrittenere Erkrankung (Stadium IV: OR 1,18; KI 1,02-1,36), höhere Chemotherapienutzung (OR 2,04; KI 1,69-2,45; p&lt;0,001), aber vergleichbares Gesamtüberleben (HR 1,03; KI 0,86-1,23; p=0,76). Geringe Evidenzsicherheit für alle Outcomes.</w:t>
      </w:r>
    </w:p>
    <w:p>
      <w:r>
        <w:rPr>
          <w:b/>
          <w:sz w:val="19"/>
        </w:rPr>
        <w:t xml:space="preserve">Übertragbarkeit: </w:t>
      </w:r>
      <w:r>
        <w:rPr>
          <w:sz w:val="19"/>
        </w:rPr>
        <w:t>Internationale Metaanalyse; zeigt Ansatz für gleichberechtigten Zugang zu intensiver Therapie bei frühem Alter</w:t>
      </w:r>
    </w:p>
    <w:p>
      <w:r>
        <w:rPr>
          <w:color w:val="5A7D3A"/>
          <w:sz w:val="18"/>
        </w:rPr>
        <w:t>https://pubmed.ncbi.nlm.nih.gov/42853071/</w:t>
      </w:r>
    </w:p>
    <w:p>
      <w:pPr>
        <w:pStyle w:val="Heading2"/>
      </w:pPr>
      <w:r>
        <w:t>HER2-positive Brustkrebs: Trastuzumab Deruxtecan verschiebt Behandlungsparadigmen in frühere Linien</w:t>
      </w:r>
    </w:p>
    <w:p>
      <w:r>
        <w:rPr>
          <w:i/>
          <w:color w:val="666666"/>
          <w:sz w:val="18"/>
        </w:rPr>
        <w:t>Tarantino P et al.  ·  Nat Rev Clin Oncol  ·  08.10.2026  ·  PMID 42850399</w:t>
      </w:r>
    </w:p>
    <w:p>
      <w:r>
        <w:t>Narrative Übersichtsarbeit zur Therapieevolution bei HER2-positivem Brustkrebs, einschließlich Neoadjuvanz, Adjuvanz und metastasierter Erkrankung mit Fokus auf Sequenzierung und Risikorisiko-Stratifizierung.</w:t>
      </w:r>
    </w:p>
    <w:p>
      <w:r>
        <w:rPr>
          <w:b/>
        </w:rPr>
        <w:t xml:space="preserve">Ergebnis: </w:t>
      </w:r>
      <w:r>
        <w:t>Trastuzumab Deruxtecan als Antibody-Drug-Conjugate verbessert Outcomes und wird zunehmend in frühere Behandlungslinien verschoben. Zentrale Herausforderung: Identifikation optimaler Sequenzierung, Retreatment-Strategien und Patienten für Therapieintensivierung. Tissue-, Plasma- und bildgebungsbasierte Biomarker beginnend, vielversprechendes klinisches Implementierungspotenzial für Risikoadaptation und De-Eskalation.</w:t>
      </w:r>
    </w:p>
    <w:p>
      <w:r>
        <w:rPr>
          <w:b/>
          <w:sz w:val="19"/>
        </w:rPr>
        <w:t xml:space="preserve">Übertragbarkeit: </w:t>
      </w:r>
      <w:r>
        <w:rPr>
          <w:sz w:val="19"/>
        </w:rPr>
        <w:t>Internationale Expertenübersicht; medizinische Evidenzbasis für deutsches Gesundheitssystem übertragbar</w:t>
      </w:r>
    </w:p>
    <w:p>
      <w:r>
        <w:rPr>
          <w:color w:val="5A7D3A"/>
          <w:sz w:val="18"/>
        </w:rPr>
        <w:t>https://pubmed.ncbi.nlm.nih.gov/42850399/</w:t>
      </w:r>
    </w:p>
    <w:p>
      <w:pPr>
        <w:pStyle w:val="Heading2"/>
      </w:pPr>
      <w:r>
        <w:t>Mehr Chemotherapiezyklen in Radiochemotherapie verlängern Gesamtüberleben ohne mehr Toxizität</w:t>
      </w:r>
    </w:p>
    <w:p>
      <w:r>
        <w:rPr>
          <w:i/>
          <w:color w:val="666666"/>
          <w:sz w:val="18"/>
        </w:rPr>
        <w:t>Simbirova A et al.  ·  Strahlenther Onkol  ·  08.10.2026  ·  PMID 42850392</w:t>
      </w:r>
    </w:p>
    <w:p>
      <w:r>
        <w:t>Retrospektive Analyse von 90 Patienten mit lokal fortgeschrittenem NSCLC (Stadium IIB-IIIC) unter definitiver Radiochemotherapie (56-66 Gy mit wöchentlichem Carboplatin/Paclitaxel), 50 mit nachfolgender Durvalumab-Konsolidierung.</w:t>
      </w:r>
    </w:p>
    <w:p>
      <w:r>
        <w:rPr>
          <w:b/>
        </w:rPr>
        <w:t xml:space="preserve">Ergebnis: </w:t>
      </w:r>
      <w:r>
        <w:t>Patienten mit 5-7 Chemotherapiezyklen: signifikant längeres OS als 1-4 Zyklen (p=0,048); Hazard Ratio 0,75 pro zusätzlichem Zyklus (p=0,017). Keine signifikante Steigerung früher oder später Grad-≥2-Toxizität. Frühe Grad-≥2-Anämie (27,8%) assoziiert mit schlechterer Prognose (p=0,006).</w:t>
      </w:r>
    </w:p>
    <w:p>
      <w:r>
        <w:rPr>
          <w:b/>
          <w:sz w:val="19"/>
        </w:rPr>
        <w:t xml:space="preserve">Übertragbarkeit: </w:t>
      </w:r>
      <w:r>
        <w:rPr>
          <w:sz w:val="19"/>
        </w:rPr>
        <w:t>Deutsche Universitätsklinik Dresden, vergleichbare Behandlungsstandards</w:t>
      </w:r>
    </w:p>
    <w:p>
      <w:r>
        <w:rPr>
          <w:color w:val="5A7D3A"/>
          <w:sz w:val="18"/>
        </w:rPr>
        <w:t>https://pubmed.ncbi.nlm.nih.gov/42850392/</w:t>
      </w:r>
    </w:p>
    <w:p>
      <w:pPr>
        <w:pStyle w:val="Heading1"/>
      </w:pPr>
      <w:r>
        <w:t>Aufgenommen am 09.10.2026</w:t>
      </w:r>
    </w:p>
    <w:p>
      <w:pPr>
        <w:pStyle w:val="Heading2"/>
      </w:pPr>
      <w:r>
        <w:t>Sozioökonomischer Status und Kognition nach Kinderhirntumor: schwedische Kohortenstudie</w:t>
      </w:r>
    </w:p>
    <w:p>
      <w:r>
        <w:rPr>
          <w:i/>
          <w:color w:val="666666"/>
          <w:sz w:val="18"/>
        </w:rPr>
        <w:t>Beamish J et al.  ·  Neuro Oncol  ·  08.10.2026  ·  PMID 42848686</w:t>
      </w:r>
    </w:p>
    <w:p>
      <w:r>
        <w:t>Bevölkerungsbasierte Registry-Studie mit 461 schwedischen Kindern (Diagnose 2008-2023) zu Zusammenhang zwischen Sozioökonomischem Status (Elternbildung, Einkommen, Beruf) und neurokognitiven Ergebnissen bis 5 Jahre post-diagnose.</w:t>
      </w:r>
    </w:p>
    <w:p>
      <w:r>
        <w:rPr>
          <w:b/>
        </w:rPr>
        <w:t xml:space="preserve">Ergebnis: </w:t>
      </w:r>
      <w:r>
        <w:t>Höherer SES assoziiert mit besseren z-Scores bei Verarbeitungsgeschwindigkeit (+0,23), Arbeitsgedächtnis (+0,25), nonverbalem Reasoning (+0,29) und Gesamtkognition (+0,42). Längere Zeit seit Diagnose mit Rückgang Verarbeitungsgeschwindigkeit und verbalem Reasoning. Keine Interaktion zwischen SES und Abnahmeraten, was auf reduzierte kognitive Reserve statt erhöhte Treatment-Toxizität hinweist.</w:t>
      </w:r>
    </w:p>
    <w:p>
      <w:r>
        <w:rPr>
          <w:b/>
          <w:sz w:val="19"/>
        </w:rPr>
        <w:t xml:space="preserve">Übertragbarkeit: </w:t>
      </w:r>
      <w:r>
        <w:rPr>
          <w:sz w:val="19"/>
        </w:rPr>
        <w:t>Schwedisches universales Gesundheitssystem, vergleichbar mit deutschem System und Survivalship-Dateninfrastruktur.</w:t>
      </w:r>
    </w:p>
    <w:p>
      <w:r>
        <w:rPr>
          <w:color w:val="5A7D3A"/>
          <w:sz w:val="18"/>
        </w:rPr>
        <w:t>https://pubmed.ncbi.nlm.nih.gov/42848686/</w:t>
      </w:r>
    </w:p>
    <w:p>
      <w:pPr>
        <w:pStyle w:val="Heading2"/>
      </w:pPr>
      <w:r>
        <w:t>Brain-Metastasis-Risikokalkulator für frühen Brustkrebs validiert</w:t>
      </w:r>
    </w:p>
    <w:p>
      <w:r>
        <w:rPr>
          <w:i/>
          <w:color w:val="666666"/>
          <w:sz w:val="18"/>
        </w:rPr>
        <w:t>Raghavendra AS et al.  ·  J Natl Cancer Inst  ·  08.10.2026  ·  PMID 42848614</w:t>
      </w:r>
    </w:p>
    <w:p>
      <w:r>
        <w:t>Entwicklung und Validierung eines klinischen Vorhersagemodells (BrMR) für Hirnmetastasen-Risiko bei Stadium-I-III-Brustkrebs basierend auf 40.282 Trainings- und 1.644 Validierungspatienten.</w:t>
      </w:r>
    </w:p>
    <w:p>
      <w:r>
        <w:rPr>
          <w:b/>
        </w:rPr>
        <w:t xml:space="preserve">Ergebnis: </w:t>
      </w:r>
      <w:r>
        <w:t>C-Index 0,79 (Training), 0,76 (Validierung); AUROC 0,81/0,79/0,76/0,75 nach 4/6/8/10 Jahren. HER2-Positivität, hohes Ki-67, inflammatorischer Typ und höherer T/N-Status erhöhten Risiko; ER/PR-Positivität, höheres Alter und endokrine Therapie senkten es.</w:t>
      </w:r>
    </w:p>
    <w:p>
      <w:r>
        <w:rPr>
          <w:b/>
          <w:sz w:val="19"/>
        </w:rPr>
        <w:t xml:space="preserve">Übertragbarkeit: </w:t>
      </w:r>
      <w:r>
        <w:rPr>
          <w:sz w:val="19"/>
        </w:rPr>
        <w:t>Validiert in Belgien (Institut Jules Bordet), Datengrundlage für deutsches System adaptierbar.</w:t>
      </w:r>
    </w:p>
    <w:p>
      <w:r>
        <w:rPr>
          <w:color w:val="5A7D3A"/>
          <w:sz w:val="18"/>
        </w:rPr>
        <w:t>https://pubmed.ncbi.nlm.nih.gov/42848614/</w:t>
      </w:r>
    </w:p>
    <w:p>
      <w:pPr>
        <w:pStyle w:val="Heading2"/>
      </w:pPr>
      <w:r>
        <w:t>Preinvasive regulatorische T-Zellen bei Lungenkrebsentstehung: Interventionsziel</w:t>
      </w:r>
    </w:p>
    <w:p>
      <w:r>
        <w:rPr>
          <w:i/>
          <w:color w:val="666666"/>
          <w:sz w:val="18"/>
        </w:rPr>
        <w:t>Gamble S et al.  ·  Nature  ·  07.10.2026  ·  PMID 42844481</w:t>
      </w:r>
    </w:p>
    <w:p>
      <w:r>
        <w:t>Multi-omische Studie mit Bronchoskopie und CT-Bildgebung an Patienten mit preinvasiven Lungenschleimhaut-Läsionen: Identifikation von effektiven regulatorischen CD4+-T-Zellen (eTreg, BATF+) als Frühmarker und therapeutisches Ziel.</w:t>
      </w:r>
    </w:p>
    <w:p>
      <w:r>
        <w:rPr>
          <w:b/>
        </w:rPr>
        <w:t xml:space="preserve">Ergebnis: </w:t>
      </w:r>
      <w:r>
        <w:t>eTreg-Zellen reicherten sich in hochgradigen Läsionen an und korrelierten mit zirkulierenden eTreg-Zellen. Bei Mäusen reduzierte PI3Kδ-Inhibition eTreg-reiche tertiäre lymphoide Strukturen (iTLS), senkte Lungentumoranzahl und -größe. Circulating eTreg-Zellen ermöglichten nicht-invasive Verfolgung der Tumorprogression. eTreg-Achse gekennzeichnet schnelle Progression in frühem NSCLC (CT-Screening).</w:t>
      </w:r>
    </w:p>
    <w:p>
      <w:r>
        <w:rPr>
          <w:b/>
          <w:sz w:val="19"/>
        </w:rPr>
        <w:t xml:space="preserve">Übertragbarkeit: </w:t>
      </w:r>
      <w:r>
        <w:rPr>
          <w:sz w:val="19"/>
        </w:rPr>
        <w:t>UK-Studie (UCL), Mechanismus und Biomarker übertragbar; klinische Anwendung erfordert deutsche Validierung.</w:t>
      </w:r>
    </w:p>
    <w:p>
      <w:r>
        <w:rPr>
          <w:color w:val="5A7D3A"/>
          <w:sz w:val="18"/>
        </w:rPr>
        <w:t>https://pubmed.ncbi.nlm.nih.gov/42844481/</w:t>
      </w:r>
    </w:p>
    <w:p>
      <w:pPr>
        <w:pStyle w:val="Heading2"/>
      </w:pPr>
      <w:r>
        <w:t>Single-Item-Maße für wahrgenommene Therapienebenwirkungen: Scoping Review</w:t>
      </w:r>
    </w:p>
    <w:p>
      <w:r>
        <w:rPr>
          <w:i/>
          <w:color w:val="666666"/>
          <w:sz w:val="18"/>
        </w:rPr>
        <w:t>Jones T et al.  ·  Eur J Cancer  ·  04.10.2026  ·  PMID 42843209</w:t>
      </w:r>
    </w:p>
    <w:p>
      <w:r>
        <w:t>Systematische Analyse zu Einsatz, psychometrischen Eigenschaften und Validität von Single-Item-Fragebögen (EORTC Q168, FACIT GP5) für Treatment-Related Symptom Burden in Krebsstudien.</w:t>
      </w:r>
    </w:p>
    <w:p>
      <w:r>
        <w:rPr>
          <w:b/>
        </w:rPr>
        <w:t xml:space="preserve">Ergebnis: </w:t>
      </w:r>
      <w:r>
        <w:t>67 publizierte Studien und 74 klinische Trials eingeschlossen. FACIT GP5 breiter eingesetzt über Tumortypen (n=27 psychometrische Studien), EORTC Q168 konzentriert auf Pankreas- und Gallenblasenkrebs (n=2). Nachweise für Validität, Reliabilität, Responsiveness, aber konzeptionelle Limitationen bleiben (Symptomzuordnung zu Therapie vs. Erkrankung unklar).</w:t>
      </w:r>
    </w:p>
    <w:p>
      <w:r>
        <w:rPr>
          <w:b/>
          <w:sz w:val="19"/>
        </w:rPr>
        <w:t xml:space="preserve">Übertragbarkeit: </w:t>
      </w:r>
      <w:r>
        <w:rPr>
          <w:sz w:val="19"/>
        </w:rPr>
        <w:t>Europäische Autorengruppe (EORTC), auf deutsche Studien und Zentrenprotokolle direkt anwendbar.</w:t>
      </w:r>
    </w:p>
    <w:p>
      <w:r>
        <w:rPr>
          <w:color w:val="5A7D3A"/>
          <w:sz w:val="18"/>
        </w:rPr>
        <w:t>https://pubmed.ncbi.nlm.nih.gov/42843209/</w:t>
      </w:r>
    </w:p>
    <w:p>
      <w:pPr>
        <w:pStyle w:val="Heading2"/>
      </w:pPr>
      <w:r>
        <w:t>Metastase-gerichtete Ablation im Frühstadium bringt keinen OS-Gewinn bei oligometastasiertem Brustkrebs</w:t>
      </w:r>
    </w:p>
    <w:p>
      <w:r>
        <w:rPr>
          <w:i/>
          <w:color w:val="666666"/>
          <w:sz w:val="18"/>
        </w:rPr>
        <w:t>Chmura SJ et al.  ·  J Clin Oncol  ·  07.10.2026  ·  PMID 42842849</w:t>
      </w:r>
    </w:p>
    <w:p>
      <w:r>
        <w:t>Randomisierte Phase-II/III-Studie (NRG-BR002) mit 125 Patienten (≤4 Metastasen, ≤12 Monate erste systemische Therapie): Metastase-gerichtete Ablation (SBRT/Chirurgie) + Systemtherapie versus nur Systemtherapie als Kontroll.</w:t>
      </w:r>
    </w:p>
    <w:p>
      <w:r>
        <w:rPr>
          <w:b/>
        </w:rPr>
        <w:t xml:space="preserve">Ergebnis: </w:t>
      </w:r>
      <w:r>
        <w:t>Medianes progressionsfreies Überleben: 19,5 Monate (Ablation) vs. 23,0 Monate (nur Systemtherapie); HR 0,92 (70%-KI 0,71-1,17, einseitig p=0,36). Studie schritt nicht zu Phase III vor. OS kein signifikanter Unterschied (HR 1,07, p=0,41). Explorative Analyse: möglicher Vorteil bei niedrigen/fehlenden CTCs. Keine Grade-5-Toxizitäten.</w:t>
      </w:r>
    </w:p>
    <w:p>
      <w:r>
        <w:rPr>
          <w:b/>
          <w:sz w:val="19"/>
        </w:rPr>
        <w:t xml:space="preserve">Übertragbarkeit: </w:t>
      </w:r>
      <w:r>
        <w:rPr>
          <w:sz w:val="19"/>
        </w:rPr>
        <w:t>Nordamerikanische multizentrische RCT (USA/Kanada), Patientenpopulation und Endpoints für deutsches System relevant.</w:t>
      </w:r>
    </w:p>
    <w:p>
      <w:r>
        <w:rPr>
          <w:color w:val="5A7D3A"/>
          <w:sz w:val="18"/>
        </w:rPr>
        <w:t>https://pubmed.ncbi.nlm.nih.gov/42842849/</w:t>
      </w:r>
    </w:p>
    <w:p>
      <w:pPr>
        <w:pStyle w:val="Heading2"/>
      </w:pPr>
      <w:r>
        <w:t>Adjuvante Radiotherapie reduziert Rezidive bei atypischen Meningiomen um 46 %</w:t>
      </w:r>
    </w:p>
    <w:p>
      <w:r>
        <w:rPr>
          <w:i/>
          <w:color w:val="666666"/>
          <w:sz w:val="18"/>
        </w:rPr>
        <w:t>Jenkinson MD et al.  ·  Lancet  ·  10.10.2026  ·  PMID 42790456</w:t>
      </w:r>
    </w:p>
    <w:p>
      <w:r>
        <w:t>Randomisierte Phase-3-Studie (ROAM/EORTC-1308) an 157 Patienten mit WHO-Grad-2-Meningiom nach kompletter Resektion: Radiotherapie (60 Gy/30 Fraktionen) versus Beobachtung.</w:t>
      </w:r>
    </w:p>
    <w:p>
      <w:r>
        <w:rPr>
          <w:b/>
        </w:rPr>
        <w:t xml:space="preserve">Ergebnis: </w:t>
      </w:r>
      <w:r>
        <w:t>5-Jahres-rezidivfreies Überleben: 79,9 % (Radiotherapie) vs. 64,3 % (Beobachtung); Hazard Ratio 0,51 (p=0,0396). Grad-2/3-Nebenwirkungen in 8 % der bestrahlten Patienten, keine Todesfälle durch Strahlung. Rezidive traten bei 14 % vs. 30 % auf.</w:t>
      </w:r>
    </w:p>
    <w:p>
      <w:r>
        <w:rPr>
          <w:b/>
          <w:sz w:val="19"/>
        </w:rPr>
        <w:t xml:space="preserve">Übertragbarkeit: </w:t>
      </w:r>
      <w:r>
        <w:rPr>
          <w:sz w:val="19"/>
        </w:rPr>
        <w:t>Europäische multizentrische RCT (11 Länder), übertragbar auf deutsches Versorgungssystem und Zertifizierungsstandards.</w:t>
      </w:r>
    </w:p>
    <w:p>
      <w:r>
        <w:rPr>
          <w:color w:val="5A7D3A"/>
          <w:sz w:val="18"/>
        </w:rPr>
        <w:t>https://pubmed.ncbi.nlm.nih.gov/42790456/</w:t>
      </w:r>
    </w:p>
    <w:p>
      <w:pPr>
        <w:pStyle w:val="Heading1"/>
      </w:pPr>
      <w:r>
        <w:t>Aufgenommen am 08.10.2026</w:t>
      </w:r>
    </w:p>
    <w:p>
      <w:pPr>
        <w:pStyle w:val="Heading2"/>
      </w:pPr>
      <w:r>
        <w:t>ctDNA-Dynamik nach Resektion bestimmt Therapie-Strategien beim Kolorektalkarzinom</w:t>
      </w:r>
    </w:p>
    <w:p>
      <w:r>
        <w:rPr>
          <w:i/>
          <w:color w:val="666666"/>
          <w:sz w:val="18"/>
        </w:rPr>
        <w:t>Nakamura Y et al.  ·  Ann Oncol  ·  07.10.2026  ·  PMID 42843562</w:t>
      </w:r>
    </w:p>
    <w:p>
      <w:r>
        <w:t>Prospektive Biomarker-Studie (CIRCULATE-Japan) zur postoperativen zirkulären Tumor-DNA-Dynamik und Eligibilität für MRD-gesteuerte Therapie bei Kolorektalkarzinom; insgesamt 402 Patienten eingeschlossen.</w:t>
      </w:r>
    </w:p>
    <w:p>
      <w:r>
        <w:rPr>
          <w:b/>
        </w:rPr>
        <w:t xml:space="preserve">Ergebnis: </w:t>
      </w:r>
      <w:r>
        <w:t>Postoperative ctDNA-Muster bei 402 Patienten erfasst; Details zu ctDNA-Clearance, Persistenz und Zusammenhang mit TOMR-Eligibilität für adaptive Therapiesteuerung angekündigt. Studie abgeschlossen mit vollständigem Datensatz; Primäranalyse präsentiert mit Fokus auf MRD-gelenkte Behandlungsansätze.</w:t>
      </w:r>
    </w:p>
    <w:p>
      <w:r>
        <w:rPr>
          <w:b/>
          <w:sz w:val="19"/>
        </w:rPr>
        <w:t xml:space="preserve">Übertragbarkeit: </w:t>
      </w:r>
      <w:r>
        <w:rPr>
          <w:sz w:val="19"/>
        </w:rPr>
        <w:t>Japan, Gesundheitssystem mit ähnlichen Dokumentations- und Qualitätsstandards wie Deutschland</w:t>
      </w:r>
    </w:p>
    <w:p>
      <w:r>
        <w:rPr>
          <w:color w:val="5A7D3A"/>
          <w:sz w:val="18"/>
        </w:rPr>
        <w:t>https://pubmed.ncbi.nlm.nih.gov/42843562/</w:t>
      </w:r>
    </w:p>
    <w:p>
      <w:pPr>
        <w:pStyle w:val="Heading2"/>
      </w:pPr>
      <w:r>
        <w:t>Neoadjuvantes Niraparib ermöglicht R0-Resektion bei HRD-positivem Ovarialkarzinom</w:t>
      </w:r>
    </w:p>
    <w:p>
      <w:r>
        <w:rPr>
          <w:i/>
          <w:color w:val="666666"/>
          <w:sz w:val="18"/>
        </w:rPr>
        <w:t>Liu D et al.  ·  Lancet Oncol  ·  07.10.2026  ·  PMID 42843394</w:t>
      </w:r>
    </w:p>
    <w:p>
      <w:r>
        <w:t>Phase-2-Studie zu Niraparib-Monotherapie ohne Chemotherapie bei HRD-positiven, initial inoperablen Ovarialkarzinom-Patientinnen mit hohem chirurgischem Risiko.</w:t>
      </w:r>
    </w:p>
    <w:p>
      <w:r>
        <w:rPr>
          <w:b/>
        </w:rPr>
        <w:t xml:space="preserve">Ergebnis: </w:t>
      </w:r>
      <w:r>
        <w:t>Unter 67 Patientinnen: objektive Ansprechrate 63% (95%-KI 47–76), R0-Resektionsrate 80% (95%-KI 64–91). Häufigste Grad-3/4-Nebenwirkungen waren Thrombozytopenie (48%), Leukopenie (19%), Anämie (18%); 28% hatten ernsthafte Nebenwirkungen, keine Todesfälle durch Behandlung. Strategie bleibt investigativ und benötigt randomisierte Validierung gegen Standard-Chemotherapie.</w:t>
      </w:r>
    </w:p>
    <w:p>
      <w:r>
        <w:rPr>
          <w:b/>
          <w:sz w:val="19"/>
        </w:rPr>
        <w:t xml:space="preserve">Übertragbarkeit: </w:t>
      </w:r>
      <w:r>
        <w:rPr>
          <w:sz w:val="19"/>
        </w:rPr>
        <w:t>China, ähnliche Dokumentationsstandards; Datenschnitt mit 37,7 Monaten Follow-up verfügbar</w:t>
      </w:r>
    </w:p>
    <w:p>
      <w:r>
        <w:rPr>
          <w:color w:val="5A7D3A"/>
          <w:sz w:val="18"/>
        </w:rPr>
        <w:t>https://pubmed.ncbi.nlm.nih.gov/42843394/</w:t>
      </w:r>
    </w:p>
    <w:p>
      <w:pPr>
        <w:pStyle w:val="Heading2"/>
      </w:pPr>
      <w:r>
        <w:t>Exom-Sequenzierung identifiziert erbliche Krebsrisiken bei Kindern mit Hochrisiko-Tumoren</w:t>
      </w:r>
    </w:p>
    <w:p>
      <w:r>
        <w:rPr>
          <w:i/>
          <w:color w:val="666666"/>
          <w:sz w:val="18"/>
        </w:rPr>
        <w:t>Adamde Beaumais T et al.  ·  Eur J Cancer  ·  04.10.2026  ·  PMID 42843210</w:t>
      </w:r>
    </w:p>
    <w:p>
      <w:r>
        <w:t>Systematische Keimbahnanalyse aus therapeutischem Profiling (MAPPYACTS-Studie) bei 674 Kindern mit rezidivierenden/refraktären Malignomen zur Identifikation actionabler genetischer Befunde.</w:t>
      </w:r>
    </w:p>
    <w:p>
      <w:r>
        <w:rPr>
          <w:b/>
        </w:rPr>
        <w:t xml:space="preserve">Ergebnis: </w:t>
      </w:r>
      <w:r>
        <w:t>19,3% der Patienten (130/674) trugen pathogene/wahrscheinlich pathogene Varianten in 53 Krebs-Prädispositionsgenen; 8,6% (58) benötigten genetische Beratung. Häufigste Gene: TP53 (n=17), DICER1 (n=5), BRCA1 (n=4). 35% der Befunde waren nicht vorher bekannt. Zusätzlich 10 Patienten (1,5%) mit actionablen Varianten in Nicht-Krebs-Genen (Kardiomyopathien, familiäre Hyperholesterinämie). 98,6% der Familien stimmten Offenlegung zu.</w:t>
      </w:r>
    </w:p>
    <w:p>
      <w:r>
        <w:rPr>
          <w:b/>
          <w:sz w:val="19"/>
        </w:rPr>
        <w:t xml:space="preserve">Übertragbarkeit: </w:t>
      </w:r>
      <w:r>
        <w:rPr>
          <w:sz w:val="19"/>
        </w:rPr>
        <w:t>Frankreich; multidisziplinärer Rahmen übertragbar auf deutsche Zentren mit genetischer Beratung</w:t>
      </w:r>
    </w:p>
    <w:p>
      <w:r>
        <w:rPr>
          <w:color w:val="5A7D3A"/>
          <w:sz w:val="18"/>
        </w:rPr>
        <w:t>https://pubmed.ncbi.nlm.nih.gov/42843210/</w:t>
      </w:r>
    </w:p>
    <w:p>
      <w:pPr>
        <w:pStyle w:val="Heading2"/>
      </w:pPr>
      <w:r>
        <w:t>Screening-Intervalle für Mundhöhlenkrebs können auf zehn Jahre verlängert werden</w:t>
      </w:r>
    </w:p>
    <w:p>
      <w:r>
        <w:rPr>
          <w:i/>
          <w:color w:val="666666"/>
          <w:sz w:val="18"/>
        </w:rPr>
        <w:t>Cheung LC et al.  ·  J Natl Cancer Inst  ·  07.10.2026  ·  PMID 42842394</w:t>
      </w:r>
    </w:p>
    <w:p>
      <w:r>
        <w:t>Langzeitbeobachtung von 41.225 Kau- und Raucher aus der Kerala Oral Cancer Screening Trial (1996–2010): Analyse von Screening-Sensitivität, prädiktiven Werten und natürlicher Krankheitsgeschichte über multistate-Modelle.</w:t>
      </w:r>
    </w:p>
    <w:p>
      <w:r>
        <w:rPr>
          <w:b/>
        </w:rPr>
        <w:t xml:space="preserve">Ergebnis: </w:t>
      </w:r>
      <w:r>
        <w:t>Visuelles Screening über zwei aufeinanderfolgende Untersuchungen (Median 3,5 Jahre Abstand): Sensitivität 89,2%, positiv-prädiktiver Wert 1,55%, negativer Vorhersagewert 99,96% für prävalente Krebsfälle. Wiederholte Screening-Negative hatten 32-fach niedrigeres Krebsrisiko über 11 Jahre. Mittlere Dauer von Früh- zu Spätstadium: 2,7 Jahre. Mittlere Verweilzeit in Präkanzerose: 19,3 Jahre.</w:t>
      </w:r>
    </w:p>
    <w:p>
      <w:r>
        <w:rPr>
          <w:b/>
          <w:sz w:val="19"/>
        </w:rPr>
        <w:t xml:space="preserve">Übertragbarkeit: </w:t>
      </w:r>
      <w:r>
        <w:rPr>
          <w:sz w:val="19"/>
        </w:rPr>
        <w:t>Indien, hohe Prävalenz von Kau- und Rauchtabak; Screening-Algorithmus prinzipiell auf europäische Risikopopulationen übertragbar</w:t>
      </w:r>
    </w:p>
    <w:p>
      <w:r>
        <w:rPr>
          <w:color w:val="5A7D3A"/>
          <w:sz w:val="18"/>
        </w:rPr>
        <w:t>https://pubmed.ncbi.nlm.nih.gov/42842394/</w:t>
      </w:r>
    </w:p>
    <w:p>
      <w:pPr>
        <w:pStyle w:val="Heading2"/>
      </w:pPr>
      <w:r>
        <w:t>Daratumumab plus Lenalidomid/Dexamethason verlängert Überleben bei nicht transplantierbarem Myelom</w:t>
      </w:r>
    </w:p>
    <w:p>
      <w:r>
        <w:rPr>
          <w:i/>
          <w:color w:val="666666"/>
          <w:sz w:val="18"/>
        </w:rPr>
        <w:t>Facon T et al.  ·  Leukemia  ·  06.10.2026  ·  PMID 42839070</w:t>
      </w:r>
    </w:p>
    <w:p>
      <w:r>
        <w:t>Subgruppenanalyse der MAIA-Studie nach Frailty-Status bei älteren Patienten mit neu diagnostiziertem multiplem Myelom, die nicht für Stammzelltransplantation geeignet sind.</w:t>
      </w:r>
    </w:p>
    <w:p>
      <w:r>
        <w:rPr>
          <w:b/>
        </w:rPr>
        <w:t xml:space="preserve">Ergebnis: </w:t>
      </w:r>
      <w:r>
        <w:t>Bei nicht-frailen Patienten war das Gesamtüberleben unter D-Rd signifikant besser (Median nicht erreicht vs. 69,8 Monate; HR 0,53; 95%-KI 0,37–0,76; p=0,0004); bei frailen Patienten zeigte sich ein Trend ohne Signifikanz (HR 0,79; p=0,1128). Komplette Remissionsraten und MRD-Negativität waren über alle Frailty-Gruppen hinweg verbessert; längere Therapiedauer unter D-Rd deutete auf bessere Verträglichkeit hin.</w:t>
      </w:r>
    </w:p>
    <w:p>
      <w:r>
        <w:rPr>
          <w:b/>
          <w:sz w:val="19"/>
        </w:rPr>
        <w:t xml:space="preserve">Übertragbarkeit: </w:t>
      </w:r>
      <w:r>
        <w:rPr>
          <w:sz w:val="19"/>
        </w:rPr>
        <w:t>Europäische und kanadische Kliniken; direkter Bezug zu deutschen Behandlungsstandards beim älteren Myelom-Patient</w:t>
      </w:r>
    </w:p>
    <w:p>
      <w:r>
        <w:rPr>
          <w:color w:val="5A7D3A"/>
          <w:sz w:val="18"/>
        </w:rPr>
        <w:t>https://pubmed.ncbi.nlm.nih.gov/42839070/</w:t>
      </w:r>
    </w:p>
    <w:p>
      <w:pPr>
        <w:pStyle w:val="Heading2"/>
      </w:pPr>
      <w:r>
        <w:t>Blinatumomab-Kombination verbessert Überleben bei BCR::ABL1-negativer adulter ALL in Hochrisiko-Subtypen</w:t>
      </w:r>
    </w:p>
    <w:p>
      <w:r>
        <w:rPr>
          <w:i/>
          <w:color w:val="666666"/>
          <w:sz w:val="18"/>
        </w:rPr>
        <w:t>Zhong X et al.  ·  Blood  ·  05.10.2026  ·  PMID 42832396</w:t>
      </w:r>
    </w:p>
    <w:p>
      <w:r>
        <w:t>Genomische Charakterisierung von 569 Patienten der ECOG-ACRIN E1910-Studie zu Blinatumomab plus Chemotherapie bei BCR::ABL1-negativer B-ALL; Analyse von 23 Molekularsubtypen und Treibergenen.</w:t>
      </w:r>
    </w:p>
    <w:p>
      <w:r>
        <w:rPr>
          <w:b/>
        </w:rPr>
        <w:t xml:space="preserve">Ergebnis: </w:t>
      </w:r>
      <w:r>
        <w:t>Blinatumomab-Addition führte zu verbessertem rezidivfreiem und Gesamtüberleben bei hyperdiploidem, PAX5alt, PAX5 P80R, BCR::ABL1-ähnlichem JAK-STAT und KMT2A-R-Subtyp. TP53-Alterationen oder CHIP-assoziierte Mutationen (insgesamt 15,3% bzw. 9,8%) waren mit älterem Diagnose-Alter und schlechterem Ergebnis assoziiert. Analysen für einzelne Subtypen kleinerer Fallzahlen; Bestätigung erforderlich.</w:t>
      </w:r>
    </w:p>
    <w:p>
      <w:r>
        <w:rPr>
          <w:b/>
          <w:sz w:val="19"/>
        </w:rPr>
        <w:t xml:space="preserve">Übertragbarkeit: </w:t>
      </w:r>
      <w:r>
        <w:rPr>
          <w:sz w:val="19"/>
        </w:rPr>
        <w:t>USA; genomische Klassifikation und Therapiestrategie prinzipiell auf deutsche ALL-Zentren übertragbar</w:t>
      </w:r>
    </w:p>
    <w:p>
      <w:r>
        <w:rPr>
          <w:color w:val="5A7D3A"/>
          <w:sz w:val="18"/>
        </w:rPr>
        <w:t>https://pubmed.ncbi.nlm.nih.gov/42832396/</w:t>
      </w:r>
    </w:p>
    <w:p>
      <w:pPr>
        <w:pStyle w:val="Heading1"/>
      </w:pPr>
      <w:r>
        <w:t>Aufgenommen am 07.10.2026</w:t>
      </w:r>
    </w:p>
    <w:p>
      <w:pPr>
        <w:pStyle w:val="Heading2"/>
      </w:pPr>
      <w:r>
        <w:t>Saure Mikroumgebung vermindert CD8-Immunität: Zielstruktur für Immuntherapie-Resistenz bei Magenkrebs</w:t>
      </w:r>
    </w:p>
    <w:p>
      <w:r>
        <w:rPr>
          <w:i/>
          <w:color w:val="666666"/>
          <w:sz w:val="18"/>
        </w:rPr>
        <w:t>Wang T et al.  ·  Cancer Cell  ·  06.10.2026  ·  PMID 42838052</w:t>
      </w:r>
    </w:p>
    <w:p>
      <w:r>
        <w:t>Einzelzell-Chromatin-Accessibility-Atlas von 650 Proben aus 439 Patienten mit multistep-Magenkrebsentstehung zur Identifikation epigenomischer Subtypen und ihrer Immuntherapie-Sensitivität.</w:t>
      </w:r>
    </w:p>
    <w:p>
      <w:r>
        <w:rPr>
          <w:b/>
        </w:rPr>
        <w:t xml:space="preserve">Ergebnis: </w:t>
      </w:r>
      <w:r>
        <w:t>Drei epigenomische Subtypen: proliferativ und mesenchymal-inflammatorisch sind sensitiv für neoadjuvante Immuntherapie. Ein dritter, pseudo-gastraler Subtyp ist intrinsisch therapieresistent, gekennzeichnet durch FOSL2-getriebene H+/K+-ATPase-Expression und Acidifiez­rung. Inhibition durch FOSL2-Depletion oder Vonoprazan (verfügbarer H+-Blocker) sensibilisiert für Immuntherapie und unterdrückt CD8+ T-Zellen.</w:t>
      </w:r>
    </w:p>
    <w:p>
      <w:r>
        <w:rPr>
          <w:b/>
          <w:sz w:val="19"/>
        </w:rPr>
        <w:t xml:space="preserve">Übertragbarkeit: </w:t>
      </w:r>
      <w:r>
        <w:rPr>
          <w:sz w:val="19"/>
        </w:rPr>
        <w:t>China, Mechanismus epigenetisch fundiert; Vonoprazan in Deutschland zugelassen, klinische Translation noch offen.</w:t>
      </w:r>
    </w:p>
    <w:p>
      <w:r>
        <w:rPr>
          <w:color w:val="5A7D3A"/>
          <w:sz w:val="18"/>
        </w:rPr>
        <w:t>https://pubmed.ncbi.nlm.nih.gov/42838052/</w:t>
      </w:r>
    </w:p>
    <w:p>
      <w:pPr>
        <w:pStyle w:val="Heading2"/>
      </w:pPr>
      <w:r>
        <w:t>Glofitamab plus Polatuzumab-R-CHP: 95% Complete-Response-Rate bei DLBCL</w:t>
      </w:r>
    </w:p>
    <w:p>
      <w:r>
        <w:rPr>
          <w:i/>
          <w:color w:val="666666"/>
          <w:sz w:val="18"/>
        </w:rPr>
        <w:t>Crombie JL et al.  ·  Blood  ·  06.10.2026  ·  PMID 42837325</w:t>
      </w:r>
    </w:p>
    <w:p>
      <w:r>
        <w:t>Phase-II-Studie zur Kombination des CD3xCD20-Bispecific-Antikörpers Glofitamab mit Polatuzumab und Standardchemotherapie (pola-R-CHP) bei neu diagnostiziertem diffusem großzelligem B-Zell-Lymphom mit IPI ≥2.</w:t>
      </w:r>
    </w:p>
    <w:p>
      <w:r>
        <w:rPr>
          <w:b/>
        </w:rPr>
        <w:t xml:space="preserve">Ergebnis: </w:t>
      </w:r>
      <w:r>
        <w:t>Best Complete-Response-Rate 95% (39/41; 95%-KI 83–99), beide Patienten mit Partialremission konvertierten ohne Intervention. Bei Median-Follow-up 23,9 Monate: 24-Monats-PFS 95% (95%-KI 89–100). Cytokine-Release-Syndrome nur Grad 1 (n=4, 10%), keine Neurotoxizität. Vorläufig belastbare Ansprechraten und Verträglichkeit.</w:t>
      </w:r>
    </w:p>
    <w:p>
      <w:r>
        <w:rPr>
          <w:b/>
          <w:sz w:val="19"/>
        </w:rPr>
        <w:t xml:space="preserve">Übertragbarkeit: </w:t>
      </w:r>
      <w:r>
        <w:rPr>
          <w:sz w:val="19"/>
        </w:rPr>
        <w:t>USA, ähnlicher Ressourcenausstattung wie deutsches System; Zulassung noch zu klären.</w:t>
      </w:r>
    </w:p>
    <w:p>
      <w:r>
        <w:rPr>
          <w:color w:val="5A7D3A"/>
          <w:sz w:val="18"/>
        </w:rPr>
        <w:t>https://pubmed.ncbi.nlm.nih.gov/42837325/</w:t>
      </w:r>
    </w:p>
    <w:p>
      <w:pPr>
        <w:pStyle w:val="Heading2"/>
      </w:pPr>
      <w:r>
        <w:t>Telomerlänge prognostiziert Progression bei CLL unter Venetoclax-Therapie</w:t>
      </w:r>
    </w:p>
    <w:p>
      <w:r>
        <w:rPr>
          <w:i/>
          <w:color w:val="666666"/>
          <w:sz w:val="18"/>
        </w:rPr>
        <w:t>Jebaraj BMC et al.  ·  Blood  ·  06.10.2026  ·  PMID 42837320</w:t>
      </w:r>
    </w:p>
    <w:p>
      <w:r>
        <w:t>Prospektive Analyse von 917 Patientenproben aus den randomisierten Studien GAIA/CLL13 und CLL2-GIVe zu prognostischer Bedeutung der Telomerlänge unter modernen Targeted Therapies bei chronischer lymphatischer Leukämie.</w:t>
      </w:r>
    </w:p>
    <w:p>
      <w:r>
        <w:rPr>
          <w:b/>
        </w:rPr>
        <w:t xml:space="preserve">Ergebnis: </w:t>
      </w:r>
      <w:r>
        <w:t>Kurze Telomere (Cutoff 4,17 kb) korrelierten mit ungünstigen klinischen und genetischen Merkmalen (alle p&lt;0,01). Sie waren unabhängiger Prognosefaktor für verkürztes progressionsfreies Überleben in allen Behandlungsarmen (p&lt;0,01), in der Chemoimmunotherapie auch für Gesamtüberleben (p=0,024). Unter Venetoclax-basierten Kombinationen: Median-PFS 7 Jahre bei langen Telomeren, deutlich kürzer bei kurzen.</w:t>
      </w:r>
    </w:p>
    <w:p>
      <w:r>
        <w:rPr>
          <w:b/>
          <w:sz w:val="19"/>
        </w:rPr>
        <w:t xml:space="preserve">Übertragbarkeit: </w:t>
      </w:r>
      <w:r>
        <w:rPr>
          <w:sz w:val="19"/>
        </w:rPr>
        <w:t>Deutsche und europäische Multizenterstudie, direkt auf deutsches Krebszentrumsetting übertragbar.</w:t>
      </w:r>
    </w:p>
    <w:p>
      <w:r>
        <w:rPr>
          <w:color w:val="5A7D3A"/>
          <w:sz w:val="18"/>
        </w:rPr>
        <w:t>https://pubmed.ncbi.nlm.nih.gov/42837320/</w:t>
      </w:r>
    </w:p>
    <w:p>
      <w:pPr>
        <w:pStyle w:val="Heading2"/>
      </w:pPr>
      <w:r>
        <w:t>21-Gen-Recurrence-Score bei pN2-3 Brustkrebs: OS-Vorteil durch Chemotherapie</w:t>
      </w:r>
    </w:p>
    <w:p>
      <w:r>
        <w:rPr>
          <w:i/>
          <w:color w:val="666666"/>
          <w:sz w:val="18"/>
        </w:rPr>
        <w:t>Valenza C et al.  ·  J Natl Cancer Inst  ·  06.10.2026  ·  PMID 42836707</w:t>
      </w:r>
    </w:p>
    <w:p>
      <w:r>
        <w:t>Nationale retrospektive Kohortenstudie (USA, NCDB) an 3.110 von 50.229 Patienten mit hormonrezeptorpositivem/HER2-negativem Brustkrebs (pN2-3) und 21-Gen-RS ≤25 zum Nutzen adjuvanter Chemotherapie trotz niedriger genetischer Risikogruppe.</w:t>
      </w:r>
    </w:p>
    <w:p>
      <w:r>
        <w:rPr>
          <w:b/>
        </w:rPr>
        <w:t xml:space="preserve">Ergebnis: </w:t>
      </w:r>
      <w:r>
        <w:t>Unter 2.058 getesteten Patienten mit RS ≤25 (Median 15) erhielten 68% Chemotherapie. Bei Median-Follow-up 5,3 Jahre: Adjustierte HR für Gesamtüberleben (Chemotherapie vs. keine) 0,62 (95%-KI 0,48–0,81; p=0,0002). Autoren warnen vor Confounder-by-Indication und fordern RCTs – Ergebnis unter Vorbehalt.</w:t>
      </w:r>
    </w:p>
    <w:p>
      <w:r>
        <w:rPr>
          <w:b/>
          <w:sz w:val="19"/>
        </w:rPr>
        <w:t xml:space="preserve">Übertragbarkeit: </w:t>
      </w:r>
      <w:r>
        <w:rPr>
          <w:sz w:val="19"/>
        </w:rPr>
        <w:t>USA-Klinikdaten, System unterscheidet sich; 21-Gen-Test in Deutschland begrenzt verfügbar.</w:t>
      </w:r>
    </w:p>
    <w:p>
      <w:r>
        <w:rPr>
          <w:color w:val="5A7D3A"/>
          <w:sz w:val="18"/>
        </w:rPr>
        <w:t>https://pubmed.ncbi.nlm.nih.gov/42836707/</w:t>
      </w:r>
    </w:p>
    <w:p>
      <w:pPr>
        <w:pStyle w:val="Heading2"/>
      </w:pPr>
      <w:r>
        <w:t>Antibody-Drug-Conjugates versus Chemotherapie: unterschiedliche Lebensqualitäts-Profile</w:t>
      </w:r>
    </w:p>
    <w:p>
      <w:r>
        <w:rPr>
          <w:i/>
          <w:color w:val="666666"/>
          <w:sz w:val="18"/>
        </w:rPr>
        <w:t>Milani M et al.  ·  Oncologist  ·  05.10.2026  ·  PMID 42834440</w:t>
      </w:r>
    </w:p>
    <w:p>
      <w:r>
        <w:t>Prospektive italienische Kohortenstudie (DAMA-Framework) mit elektronischen Patienten-Reported Outcome Measures (ePROMs) bei 122 Patientinnen mit metastasiertem Brustkrebs unter Second-Line-Therapie: 51 ADC vs. 71 konventionelle Chemotherapie, 6-Monats-Follow-up.</w:t>
      </w:r>
    </w:p>
    <w:p>
      <w:r>
        <w:rPr>
          <w:b/>
        </w:rPr>
        <w:t xml:space="preserve">Ergebnis: </w:t>
      </w:r>
      <w:r>
        <w:t>ADC-Gruppe: stärkerer Gewichtsverlust bei 3 Monaten (–3,1 vs. –1,2 kg), größerer Rückgang wöchentlicher körperlicher Aktivität (–41 vs. –22 Min./Woche), höhere psychische Belastung und Caregiver-Burden, aber niedrigere Schmerzwerte (3,7 vs. 5,3). Bei 6 Monaten: mehrere Unterschiede attenuiert. Physische Aktivität korrelierte nicht mit Schmerz, Stress oder Angst.</w:t>
      </w:r>
    </w:p>
    <w:p>
      <w:r>
        <w:rPr>
          <w:b/>
          <w:sz w:val="19"/>
        </w:rPr>
        <w:t xml:space="preserve">Übertragbarkeit: </w:t>
      </w:r>
      <w:r>
        <w:rPr>
          <w:sz w:val="19"/>
        </w:rPr>
        <w:t>Italien, innerhalb Europas übertragbar; ePROM-Ansatz für deutsche Versorgungsforschung relevant.</w:t>
      </w:r>
    </w:p>
    <w:p>
      <w:r>
        <w:rPr>
          <w:color w:val="5A7D3A"/>
          <w:sz w:val="18"/>
        </w:rPr>
        <w:t>https://pubmed.ncbi.nlm.nih.gov/42834440/</w:t>
      </w:r>
    </w:p>
    <w:p>
      <w:pPr>
        <w:pStyle w:val="Heading2"/>
      </w:pPr>
      <w:r>
        <w:t>Krebsinzidenz bei Kindern, Jugendlichen und jungen Erwachsenen in England 2001–2020</w:t>
      </w:r>
    </w:p>
    <w:p>
      <w:r>
        <w:rPr>
          <w:i/>
          <w:color w:val="666666"/>
          <w:sz w:val="18"/>
        </w:rPr>
        <w:t>Thompson S et al.  ·  Eur J Cancer  ·  02.10.2026  ·  PMID 42833137</w:t>
      </w:r>
    </w:p>
    <w:p>
      <w:r>
        <w:t>Nationale Registerstudie aus England (NDRS) zu Trends bei Neudiagnosen von Krebserkrankungen bei Unter-25-Jährigen über 20 Jahre mit Joinpoint-Analyse und Geschlechterstratifizierung.</w:t>
      </w:r>
    </w:p>
    <w:p>
      <w:r>
        <w:rPr>
          <w:b/>
        </w:rPr>
        <w:t xml:space="preserve">Ergebnis: </w:t>
      </w:r>
      <w:r>
        <w:t>Gesamtinzidenz 147 pro Million (0–14 Jahre) und 273 pro Million (15–24 Jahre). Lymphoidale Leukämie und Hirn-/ZNS-Tumoren: 46% der Diagnosen bei Kindern. Bei jungen Erwachsenen: Hodgkin-Lymphom 15%, malignes Melanom 9%, Hodenkrebs 24% der Männer. Kolorektaler Krebs bei 15–24-Jährigen: Anstieg bis 2015, dann APC –37,59% (p&lt;0,001). Schilddrüsenkrebs: kontinuierlicher Anstieg (APC +5,49%, p&lt;0,001). Gebärmutterhalskrebs Rückgang seit 2015 (APC –21,9%, p=0,03).</w:t>
      </w:r>
    </w:p>
    <w:p>
      <w:r>
        <w:rPr>
          <w:b/>
          <w:sz w:val="19"/>
        </w:rPr>
        <w:t xml:space="preserve">Übertragbarkeit: </w:t>
      </w:r>
      <w:r>
        <w:rPr>
          <w:sz w:val="19"/>
        </w:rPr>
        <w:t>England, vergleichbares Versicherungssystem, ähnliche Registerqualität wie Deutschland.</w:t>
      </w:r>
    </w:p>
    <w:p>
      <w:r>
        <w:rPr>
          <w:color w:val="5A7D3A"/>
          <w:sz w:val="18"/>
        </w:rPr>
        <w:t>https://pubmed.ncbi.nlm.nih.gov/42833137/</w:t>
      </w:r>
    </w:p>
    <w:p>
      <w:pPr>
        <w:pStyle w:val="Heading2"/>
      </w:pPr>
      <w:r>
        <w:t>Vaginales Östrogen bei Brust- und Gynäkologie-Krebsüberlebenden: Sicherheit und Wirksamkeit</w:t>
      </w:r>
    </w:p>
    <w:p>
      <w:r>
        <w:rPr>
          <w:i/>
          <w:color w:val="666666"/>
          <w:sz w:val="18"/>
        </w:rPr>
        <w:t>Burns JB et al.  ·  JCO Oncol Pract  ·  05.10.2026  ·  PMID 42832731</w:t>
      </w:r>
    </w:p>
    <w:p>
      <w:r>
        <w:t>Narrative Review zur Sicherheit und Wirksamkeit von Low-Dose-Vaginaloestrogen bei Behandlung von Genitourinary-Syndrome-of-Menopause (GSM) in Patienten mit früherer Brust- oder Gynäkologiakrebserkrankung basierend auf aktueller Literatur und Leitlinien.</w:t>
      </w:r>
    </w:p>
    <w:p>
      <w:r>
        <w:rPr>
          <w:b/>
        </w:rPr>
        <w:t xml:space="preserve">Ergebnis: </w:t>
      </w:r>
      <w:r>
        <w:t>Vaginoestrogen zeigt konsistent signifikante Verbesserung von GSM-Symptomen und Lebensqualität. Minimale systemische Absorption bei Low-Dose-Formulierungen (Serum-Estradiol bleibt postmenopausal). Große observationale Studien und Metaanalysen zeigen keinen erhöhten Brustkrebs-Rezidiv- oder Mortalitätsrisiko, auch bei Östrogenrezeptor-positivem Krebs und Tamoxifen-Therapie. Daten für Aromatase-Inhibitor-Patienten limitiert. Sicherheit und Wirksamkeit unterstützt bei Shared Decision-Making; nicht-hormonale Therapie erste Linie, Low-Dose-Vaginaloestrogen effektive Option bei refraktären Symptomen.</w:t>
      </w:r>
    </w:p>
    <w:p>
      <w:r>
        <w:rPr>
          <w:b/>
          <w:sz w:val="19"/>
        </w:rPr>
        <w:t xml:space="preserve">Übertragbarkeit: </w:t>
      </w:r>
      <w:r>
        <w:rPr>
          <w:sz w:val="19"/>
        </w:rPr>
        <w:t>Systematische Literaturübersicht, internationale Evidenz; deutsches Versorgungsprinzip des Shared Decision-Making abgedeckt.</w:t>
      </w:r>
    </w:p>
    <w:p>
      <w:r>
        <w:rPr>
          <w:color w:val="5A7D3A"/>
          <w:sz w:val="18"/>
        </w:rPr>
        <w:t>https://pubmed.ncbi.nlm.nih.gov/42832731/</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 Monozyten-Lymphozyten-Ratio identifiziert Profiteure</w:t>
      </w:r>
    </w:p>
    <w:p>
      <w:r>
        <w:rPr>
          <w:i/>
          <w:color w:val="666666"/>
          <w:sz w:val="18"/>
        </w:rPr>
        <w:t>Masetti M et al.  ·  Eur J Cancer  ·  10.09.2026  ·  PMID 42777290</w:t>
      </w:r>
    </w:p>
    <w:p>
      <w:r>
        <w:t>Extended Follow-up einer deutschen Multizenterstudie (Arm C: 52 Patienten mit metastasiertem gastroösophagealem Adenokarzinom) zu FLOT-Chemotherapie plus Nivolumab mit Biomarker-Stratifizierung.</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2026-10-16T06:00:00Z</dcterms:created>
  <dcterms:modified xsi:type="dcterms:W3CDTF">2026-10-16T06:00:00Z</dcterms:modified>
  <cp:category/>
</cp:coreProperties>
</file>