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22.10.2026  |  6 Studien  |  onkologie.m-vf.de</w:t>
      </w:r>
    </w:p>
    <w:p>
      <w:pPr>
        <w:pStyle w:val="Heading1"/>
      </w:pPr>
      <w:r>
        <w:t>Aufgenommen am 22.10.2026</w:t>
      </w:r>
    </w:p>
    <w:p>
      <w:pPr>
        <w:pStyle w:val="Heading2"/>
      </w:pPr>
      <w:r>
        <w:t>Eosinophile im Blut prognostizieren Rezidivrisiko bei HR+/HER2- Brustkrebs</w:t>
      </w:r>
    </w:p>
    <w:p>
      <w:r>
        <w:rPr>
          <w:i/>
          <w:color w:val="666666"/>
          <w:sz w:val="18"/>
        </w:rPr>
        <w:t>Li ZQ et al.  ·  J Clin Oncol  ·  20.10.2026  ·  PMID 42900864</w:t>
      </w:r>
    </w:p>
    <w:p>
      <w:r>
        <w:t>Studie bei 472 Patienten mit HR+/HER2- Brustkrebs zu Assoziation erhöhter zirkulierender Eosinophilen mit Therapieergebnis.</w:t>
      </w:r>
    </w:p>
    <w:p>
      <w:r>
        <w:rPr>
          <w:b/>
        </w:rPr>
        <w:t xml:space="preserve">Ergebnis: </w:t>
      </w:r>
      <w:r>
        <w:t>Höhere präoperative Eosinophilenzahl korrelierte mit signifikant verbessertem rezidivfreiem Überleben (gemessen an fernmetastasenfreiem Überleben). Erhöhte Eosinophilen zeigten additive prognostische Wertigkeit über den 21-Gen-Recurrence-Score hinaus und ließen in der hochriskanten Subgruppe bessere CDK4/6-Inhibitor-Response vorhersagen. In Validierungskohorten (N=23.170) und Tiermodellen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Multiomik-Daten transferierbar auf deutsche Praxiskonzepte zur Risikoschichtung</w:t>
      </w:r>
    </w:p>
    <w:p>
      <w:r>
        <w:rPr>
          <w:color w:val="5A7D3A"/>
          <w:sz w:val="18"/>
        </w:rPr>
        <w:t>https://pubmed.ncbi.nlm.nih.gov/42900864/</w:t>
      </w:r>
    </w:p>
    <w:p>
      <w:pPr>
        <w:pStyle w:val="Heading2"/>
      </w:pPr>
      <w:r>
        <w:t>Lokal ablative Therapie bei HR+/HER2- oligometastasiertem Brustkrebs verbessert Überleben</w:t>
      </w:r>
    </w:p>
    <w:p>
      <w:r>
        <w:rPr>
          <w:i/>
          <w:color w:val="666666"/>
          <w:sz w:val="18"/>
        </w:rPr>
        <w:t>Lacaze JL et al.  ·  Oncologist  ·  19.10.2026  ·  PMID 42898011</w:t>
      </w:r>
    </w:p>
    <w:p>
      <w:r>
        <w:t>Retrospektive Kohorte (2012–2020) mit 145 Patienten mit HR+/HER2- oligometastasiertem Brustkrebs (≤5 Metastasen) zur Frage, wann lokal ablative Therapie (LAT) das Überleben verbessert.</w:t>
      </w:r>
    </w:p>
    <w:p>
      <w:r>
        <w:rPr>
          <w:b/>
        </w:rPr>
        <w:t xml:space="preserve">Ergebnis: </w:t>
      </w:r>
      <w:r>
        <w:t>Mediane OS 81,1 Monate, mediane PFS 26,5 Monate. LAT verbesserte PFS (HR=0,52; 95%-KI 0,29–0,91; p=0,023). Bei Staging mit moderner Bildgebung (18F-FDG-PET/CT oder WB-MRI) zeigte LAT signifikante Verbesserung von OS (HR=0,29; 95%-KI 0,12–0,73; p=0,008) und PFS. Nur 18% entwickelten polymetastatische Progression nach First-line-Therapie.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Französische Spezialistklinik, Therapieentscheidungen übertragbar auf deutsche Tumorzentren</w:t>
      </w:r>
    </w:p>
    <w:p>
      <w:r>
        <w:rPr>
          <w:color w:val="5A7D3A"/>
          <w:sz w:val="18"/>
        </w:rPr>
        <w:t>https://pubmed.ncbi.nlm.nih.gov/42898011/</w:t>
      </w:r>
    </w:p>
    <w:p>
      <w:pPr>
        <w:pStyle w:val="Heading2"/>
      </w:pPr>
      <w:r>
        <w:t>Real-World-PFS validiert als Surrogatendpunkt für Gesamtüberleben bei metastasiertem Brustkrebs</w:t>
      </w:r>
    </w:p>
    <w:p>
      <w:r>
        <w:rPr>
          <w:i/>
          <w:color w:val="666666"/>
          <w:sz w:val="18"/>
        </w:rPr>
        <w:t>Labaki C et al.  ·  J Natl Cancer Inst  ·  19.10.2026  ·  PMID 42898006</w:t>
      </w:r>
    </w:p>
    <w:p>
      <w:r>
        <w:t>Retrospektive US-Kohortenstudie (Flatiron Health) mit 19.164 Patienten mit metastasiertem Brustkrebs zur Validierung von Intermediate Clinical Endpoints als Surrogate für Overall Survival.</w:t>
      </w:r>
    </w:p>
    <w:p>
      <w:r>
        <w:rPr>
          <w:b/>
        </w:rPr>
        <w:t xml:space="preserve">Ergebnis: </w:t>
      </w:r>
      <w:r>
        <w:t>Mediane OS 36,3 Monate (95%-KI 35,6–37,2). Real-World-PFS, Time to Next Line und Time to Last Treatment Administration zeigten hohe Korrelation mit OS (Kendall's tau ≥0,5; R²≥0,7 bei 36-Monats-OS und 12-Monats-Raten). Nur rwPFS erfüllte beide Surrogacy-Bedingungen mit R²≥0,7 über alle Subgruppenvergleiche.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USA-Versorgungsdaten, Rahmenwerk übertragbar auf deutsche Real-World-Analysen</w:t>
      </w:r>
    </w:p>
    <w:p>
      <w:r>
        <w:rPr>
          <w:color w:val="5A7D3A"/>
          <w:sz w:val="18"/>
        </w:rPr>
        <w:t>https://pubmed.ncbi.nlm.nih.gov/42898006/</w:t>
      </w:r>
    </w:p>
    <w:p>
      <w:pPr>
        <w:pStyle w:val="Heading2"/>
      </w:pPr>
      <w:r>
        <w:t>Baseline-Lungenabnormitäten erhöhen Risiko für T-DXd-bedingte interstitielle Lungenerkrankung</w:t>
      </w:r>
    </w:p>
    <w:p>
      <w:r>
        <w:rPr>
          <w:i/>
          <w:color w:val="666666"/>
          <w:sz w:val="18"/>
        </w:rPr>
        <w:t>Nakamura T et al.  ·  Oncologist  ·  19.10.2026  ·  PMID 42897999</w:t>
      </w:r>
    </w:p>
    <w:p>
      <w:r>
        <w:t>Retrospektive Kohorte (156 Patienten, Juni 2020–Mai 2025) in Japan zu Baseline-CT-Befunden vor T-DXd-Therapie und deren Assoziation mit T-DXd-bedingter interstitieller Lungenerkrankung (ILD).</w:t>
      </w:r>
    </w:p>
    <w:p>
      <w:r>
        <w:rPr>
          <w:b/>
        </w:rPr>
        <w:t xml:space="preserve">Ergebnis: </w:t>
      </w:r>
      <w:r>
        <w:t>T-DXd-bedingte ILD trat in 31 Patienten auf (20%). Bei Baseline-ILAs waren es 19/50 (38%), ohne ILAs 12/106 (11%). Baseline-ILA-Status assoziiert mit erhöhter kumulativer ILD-Inzidenz (Subdistribution-Hazard-Ratio 3,56; 95%-KI 1,63–7,78; p=0,001). Kein signifikanter Unterschied zwischen equivokalen und definitiven ILAs. Kein Unterschied in PFS oder OS nach ILA-Status.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Sicherheitsmonitoring übertragbar auf deutsche Praxen mit T-DXd-Einsatz</w:t>
      </w:r>
    </w:p>
    <w:p>
      <w:r>
        <w:rPr>
          <w:color w:val="5A7D3A"/>
          <w:sz w:val="18"/>
        </w:rPr>
        <w:t>https://pubmed.ncbi.nlm.nih.gov/42897999/</w:t>
      </w:r>
    </w:p>
    <w:p>
      <w:pPr>
        <w:pStyle w:val="Heading2"/>
      </w:pPr>
      <w:r>
        <w:t>TACL-Konsensus: kardiotoxizitätsgerechte Dosisindividualisierung in pädiatrischen Relaps-Studien</w:t>
      </w:r>
    </w:p>
    <w:p>
      <w:r>
        <w:rPr>
          <w:i/>
          <w:color w:val="666666"/>
          <w:sz w:val="18"/>
        </w:rPr>
        <w:t>Colace SI et al.  ·  J Natl Cancer Inst  ·  19.10.2026  ·  PMID 42895291</w:t>
      </w:r>
    </w:p>
    <w:p>
      <w:r>
        <w:t>Konsensus-Task-Force des TACL-Konsortiums zu evidenzgestützten Empfehlungen für kardialen Screening, Monitoring und Cardioprotection bei Kindern mit rezidiviertem/refraktärem hämatologischem Malignom in Relaps-Studien.</w:t>
      </w:r>
    </w:p>
    <w:p>
      <w:r>
        <w:rPr>
          <w:b/>
        </w:rPr>
        <w:t xml:space="preserve">Ergebnis: </w:t>
      </w:r>
      <w:r>
        <w:t>Fünf Leitempfehlungen: (1) Therapieausschluss basierend auf individuellen Risikofaktoren und realtimem Cardiac Function statt historischen Anthrazyklin-Dosen; (2) umfassendes Monitoring vor, während und nach Therapie erforderlich; (3) liberale Cardioprotection empfohlen; (4) einheitliche, evidenzgestützte Managementprotokolle für kardiale Dysfunktion; (5) Korrelative Cardiac Aims sollten Protokolle mit kardiotoxischem Potenzial begleiten.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USA-Kinderkrebszentren, Ansätze übertragbar auf deutsche Zentren für pädiatrische Relaps-Behandlung</w:t>
      </w:r>
    </w:p>
    <w:p>
      <w:r>
        <w:rPr>
          <w:color w:val="5A7D3A"/>
          <w:sz w:val="18"/>
        </w:rPr>
        <w:t>https://pubmed.ncbi.nlm.nih.gov/42895291/</w:t>
      </w:r>
    </w:p>
    <w:p>
      <w:pPr>
        <w:pStyle w:val="Heading2"/>
      </w:pPr>
      <w:r>
        <w:t>Proteom-Biomarker unterscheiden präklinisch Kolon- von Rektumkarzinom-Risiko</w:t>
      </w:r>
    </w:p>
    <w:p>
      <w:r>
        <w:rPr>
          <w:i/>
          <w:color w:val="666666"/>
          <w:sz w:val="18"/>
        </w:rPr>
        <w:t>Zhang X et al.  ·  J Natl Cancer Inst  ·  19.10.2026  ·  PMID 42895287</w:t>
      </w:r>
    </w:p>
    <w:p>
      <w:r>
        <w:t>Prospektive Kohortenstudie (3 Kohorten, 851 KRK-Fälle, Median 7 Jahre Follow-up) zu prädiagnostischen Plasma-Proteinen 1–7 Jahre vor Krebsdiagnose mittels Olink-Panel.</w:t>
      </w:r>
    </w:p>
    <w:p>
      <w:r>
        <w:rPr>
          <w:b/>
        </w:rPr>
        <w:t xml:space="preserve">Ergebnis: </w:t>
      </w:r>
      <w:r>
        <w:t>12 Proteine zeigten signifikante gepaarte Unterschiede zwischen KRK-Fällen und Kontrollen (FDR&lt;0,1) mit moderaten Effektgrößen. Protein-Profile unterschieden sich signifikant zwischen Kolon- und Rektumkarzinom (p=0,005). Für Kolonkarzinom: 11/12 Proteine niedriger, BCAN-Assoziation OR 0,83 (95%-KI 0,74–0,94) mit hoher Kohärenz (I²&lt;0,01). Für Rektumkarzinom: 25/28 Proteine höher, HDGF OR 1,75 (95%-KI 1,15–2,66; I²&lt;0,01).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&amp; Australien, Proteom-Klassifizierung grundlagenorientiert, Validierung in EU-Kohorten pending</w:t>
      </w:r>
    </w:p>
    <w:p>
      <w:r>
        <w:rPr>
          <w:color w:val="5A7D3A"/>
          <w:sz w:val="18"/>
        </w:rPr>
        <w:t>https://pubmed.ncbi.nlm.nih.gov/42895287/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2026-10-22T06:00:00Z</dcterms:created>
  <dcterms:modified xsi:type="dcterms:W3CDTF">2026-10-22T06:00:00Z</dcterms:modified>
  <cp:category/>
</cp:coreProperties>
</file>