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Onkologie</w:t>
      </w:r>
    </w:p>
    <w:p>
      <w:r>
        <w:rPr>
          <w:i/>
          <w:color w:val="666666"/>
          <w:sz w:val="18"/>
        </w:rPr>
        <w:t>Stand: 28.09.2026  |  119 Studien  |  onkologie.m-vf.de</w:t>
      </w:r>
    </w:p>
    <w:p>
      <w:pPr>
        <w:pStyle w:val="Heading1"/>
      </w:pPr>
      <w:r>
        <w:t>Aufgenommen am 28.09.2026</w:t>
      </w:r>
    </w:p>
    <w:p>
      <w:pPr>
        <w:pStyle w:val="Heading2"/>
      </w:pPr>
      <w:r>
        <w:t>Kanonische Action Research verbessert Protontherapie-Zuweisungsquoten: Niederländische Versorgungsstudie zeigt Implementierungsdefizite</w:t>
      </w:r>
    </w:p>
    <w:p>
      <w:r>
        <w:rPr>
          <w:i/>
          <w:color w:val="666666"/>
          <w:sz w:val="18"/>
        </w:rPr>
        <w:t>Ho F et al.  ·  Radiother Oncol  ·  27.09.2026  ·  PMID 42801959</w:t>
      </w:r>
    </w:p>
    <w:p>
      <w:r>
        <w:t>Qualitative Implementierungsstudie mit Canonical Action Research in niederländischen Radiotherapie-Zentren zu Barrieren und Interventionen bei Protontherapie-Zuweisungen für Lungen- und Ösophaguskarzinome.</w:t>
      </w:r>
    </w:p>
    <w:p>
      <w:r>
        <w:rPr>
          <w:b/>
        </w:rPr>
        <w:t xml:space="preserve">Ergebnis: </w:t>
      </w:r>
      <w:r>
        <w:t>Diagnose-Phase identifizierte Barrieren (Wissenslücken, unzureichende Koordination, Logistik). Implementierte stakeholder-entwickelte Interventionen (Logistik-Verbesserungen, Patienten-Begleiter) waren mit erhöhten Überweisungs- und Behandlungsraten an einem Zentrum assoziiert. Stakeholder-Wahrnehmung von Pathway-Design und Intervention-Angemessenheit verbesserte sich; Patienten-Zufriedenheit blieb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Versicherungssystem; Modell übertragbar auf deutsche Zentrumsvernetzung</w:t>
      </w:r>
    </w:p>
    <w:p>
      <w:r>
        <w:rPr>
          <w:color w:val="5A7D3A"/>
          <w:sz w:val="18"/>
        </w:rPr>
        <w:t>https://pubmed.ncbi.nlm.nih.gov/42801959/</w:t>
      </w:r>
    </w:p>
    <w:p>
      <w:pPr>
        <w:pStyle w:val="Heading2"/>
      </w:pPr>
      <w:r>
        <w:t>Schlafstörungen und Müdigkeit bei Oropharyngeal-Karzinom-Radiotherapie-Überlebenden korrelieren mit Gesamtüberleben</w:t>
      </w:r>
    </w:p>
    <w:p>
      <w:r>
        <w:rPr>
          <w:i/>
          <w:color w:val="666666"/>
          <w:sz w:val="18"/>
        </w:rPr>
        <w:t>Carevic G et al.  ·  Radiother Oncol  ·  26.09.2026  ·  PMID 42800678</w:t>
      </w:r>
    </w:p>
    <w:p>
      <w:r>
        <w:t>Prospektive Longitudinalkohorte (372 Patienten mit Oropharyngeal-Karzinom unter kurativer Strahlentherapie ± Chemotherapie) zum Symptom-Verlauf und Überleben anhand patientenberichteter Outcomes (MDASI-HN).</w:t>
      </w:r>
    </w:p>
    <w:p>
      <w:r>
        <w:rPr>
          <w:b/>
        </w:rPr>
        <w:t xml:space="preserve">Ergebnis: </w:t>
      </w:r>
      <w:r>
        <w:t>Schwere Müdigkeit, Schlafstörung und Schläfrigkeit erreichten Höhepunkt bei RT-Ende (26%, 15%, 18%) und normalisierten sich bis Monat 6. Schwere longitudinale Müdigkeit (HR 5,05), Schlafstörung (HR 3,86) und Schläfrigkeit (HR 8,24) waren unabhängig mit schlechterer Overall Survival assoziiert (p &lt; 0,05). Effekt blieb nach multivariater Anpassung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USA-Tertiary Center; Symptom-basierte Risikoidentifikation übertragbar auf deutsche Nachsorge-Protokolle</w:t>
      </w:r>
    </w:p>
    <w:p>
      <w:r>
        <w:rPr>
          <w:color w:val="5A7D3A"/>
          <w:sz w:val="18"/>
        </w:rPr>
        <w:t>https://pubmed.ncbi.nlm.nih.gov/42800678/</w:t>
      </w:r>
    </w:p>
    <w:p>
      <w:pPr>
        <w:pStyle w:val="Heading2"/>
      </w:pPr>
      <w:r>
        <w:t>Präzisionsmedizin bei ungleicher Zugangsverteilung: Global-Audit zeigt massive Lücken zwischen Anspruch und Versorgung</w:t>
      </w:r>
    </w:p>
    <w:p>
      <w:r>
        <w:rPr>
          <w:i/>
          <w:color w:val="666666"/>
          <w:sz w:val="18"/>
        </w:rPr>
        <w:t>Casolino R et al.  ·  Lancet Oncol  ·  25.09.2026  ·  PMID 42790448</w:t>
      </w:r>
    </w:p>
    <w:p>
      <w:r>
        <w:t>Lancet-Onkologie-Kommission analysierte die globale Lage der Krebsgenetik und Präzisionsmedizin und bewertete Implementierungsbarrieren, Ungleichheiten und den Nutzen biomarker-gestützter Therapien.</w:t>
      </w:r>
    </w:p>
    <w:p>
      <w:r>
        <w:rPr>
          <w:b/>
        </w:rPr>
        <w:t xml:space="preserve">Ergebnis: </w:t>
      </w:r>
      <w:r>
        <w:t>Nur wenige validierte Biomarker-Therapie-Paare zeigen konsistente klinische Gewinne; umfassendere genomische Profiling-Ansätze erweitern Optionen für Patienten, doch profitiert nur ein kleiner Anteil von angepasster Therapie. Massive Ungleichheiten bei Zugang zur Genomik und Präzisionsmedizin bestehen länder- und populationsübergreifend. Die Studie liefert ein Implementierungs-Framework für gerechte, nachhaltige Skalierung.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Gesundheitssystem: zentral für Zertifizierung der Zentren und AMNOG-Bewertung</w:t>
      </w:r>
    </w:p>
    <w:p>
      <w:r>
        <w:rPr>
          <w:color w:val="5A7D3A"/>
          <w:sz w:val="18"/>
        </w:rPr>
        <w:t>https://pubmed.ncbi.nlm.nih.gov/42790448/</w:t>
      </w:r>
    </w:p>
    <w:p>
      <w:pPr>
        <w:pStyle w:val="Heading2"/>
      </w:pPr>
      <w:r>
        <w:t>Gesamtüberleben als primärer Endpunkt in Phase-III-Onkologie-Studien: Metaanalyse zeigt konsistente Gewinne</w:t>
      </w:r>
    </w:p>
    <w:p>
      <w:r>
        <w:rPr>
          <w:i/>
          <w:color w:val="666666"/>
          <w:sz w:val="18"/>
        </w:rPr>
        <w:t>Sherry AD et al.  ·  Oncologist  ·  09.09.2026  ·  PMID 42789933</w:t>
      </w:r>
    </w:p>
    <w:p>
      <w:r>
        <w:t>OPTIMA-Metaanalyse mit individualisierten Patientendaten von 159 Phase-III-Studien mit Gesamt-Überleben als primärem Endpunkt (104.740 Patienten).</w:t>
      </w:r>
    </w:p>
    <w:p>
      <w:r>
        <w:rPr>
          <w:b/>
        </w:rPr>
        <w:t xml:space="preserve">Ergebnis: </w:t>
      </w:r>
      <w:r>
        <w:t>Experimentelle Arme zeigten im Zwei-Stufen-Cox-Modell verbesserte Overall Survival (Hazard Ratio 0,87; 95%-KI 0,85–0,89; p &lt; 0,0001), bestätigt im einstufigen stratifizierten Modell (HR 0,88; 95%-KI 0,85–0,90). Befund dokumentiert, dass randomisierte Phase-III-Studien mit OS-Primärendpunkt konsistent therapeutische Fortschritte nachweisen.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Studienpopulation; Befunde unterstützen Regulierungs- und Finanzierungsprioritäten für OS-fokussierte Trials</w:t>
      </w:r>
    </w:p>
    <w:p>
      <w:r>
        <w:rPr>
          <w:color w:val="5A7D3A"/>
          <w:sz w:val="18"/>
        </w:rPr>
        <w:t>https://pubmed.ncbi.nlm.nih.gov/42789933/</w:t>
      </w:r>
    </w:p>
    <w:p>
      <w:pPr>
        <w:pStyle w:val="Heading2"/>
      </w:pPr>
      <w:r>
        <w:t>Alkoholkonsum und Kolorektalkarzinom-Risiko bei Prä-Diabetes und Diabetes: Südkoreanische Kohorten zeigen Synergien</w:t>
      </w:r>
    </w:p>
    <w:p>
      <w:r>
        <w:rPr>
          <w:i/>
          <w:color w:val="666666"/>
          <w:sz w:val="18"/>
        </w:rPr>
        <w:t>Kim TS et al.  ·  J Natl Cancer Inst  ·  24.09.2026  ·  PMID 42786582</w:t>
      </w:r>
    </w:p>
    <w:p>
      <w:r>
        <w:t>Nationale südkoreanische Kohortenstudie (4,475.492 Erwachsene, Median-Follow-up 9,33 Jahre) zur Dosis-Wirkung zwischen Alkoholkonsum und Kolorektalkrebs-Inzidenz nach glykämischem Status.</w:t>
      </w:r>
    </w:p>
    <w:p>
      <w:r>
        <w:rPr>
          <w:b/>
        </w:rPr>
        <w:t xml:space="preserve">Ergebnis: </w:t>
      </w:r>
      <w:r>
        <w:t>51.592 CRC-Fälle dokumentiert. Leichter bis mäßiger Alkoholkonsum erhöhte CRC-Risiko synergistisch bei Prä-Diabetes (HR 1,23; 95%-KI 1,19–1,27; Synergieindex 1,72) und Diabetes (HR 1,48; 95%-KI 1,42–1,54; Synergieindex 2,04). Dose-abhängige lineare Assoziation über alle kolorektalen Subsites, steiler bei Diabetes.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hohes Screening-Aufkommen; Prävention bei Stoffwechselvorstufen setzt patientenrelevante Endpunkte voraus</w:t>
      </w:r>
    </w:p>
    <w:p>
      <w:r>
        <w:rPr>
          <w:color w:val="5A7D3A"/>
          <w:sz w:val="18"/>
        </w:rPr>
        <w:t>https://pubmed.ncbi.nlm.nih.gov/42786582/</w:t>
      </w:r>
    </w:p>
    <w:p>
      <w:pPr>
        <w:pStyle w:val="Heading2"/>
      </w:pPr>
      <w:r>
        <w:t>KI-Modelle zur Risikoprognose in der Magenkrebsnachsorge: Transfernutzen unklar</w:t>
      </w:r>
    </w:p>
    <w:p>
      <w:r>
        <w:rPr>
          <w:i/>
          <w:color w:val="666666"/>
          <w:sz w:val="18"/>
        </w:rPr>
        <w:t>Rabasco Meneghetti A  ·  Ann Oncol  ·  Okt. 2026  ·  PMID 42760040</w:t>
      </w:r>
    </w:p>
    <w:p>
      <w:r>
        <w:t>Kommentar zu DeepComp, einem KI-System für postoperative Risikostratifizierung beim Magenkarzinom; erörtert Vorhersagekompetenz und Umsetzungserfordernisse.</w:t>
      </w:r>
    </w:p>
    <w:p>
      <w:r>
        <w:rPr>
          <w:b/>
        </w:rPr>
        <w:t xml:space="preserve">Ergebnis: </w:t>
      </w:r>
      <w:r>
        <w:t>Der Kommentar diskutiert Chancen maschineller Lernverfahren zur Risikoklassifizierung, warnt aber vor Interpretationsfallen und nennt fehlende Validierung in prospektiven Kohorten als zentrale Hürde für klinische Adoption.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Validierung in Zentren notwendig vor Einsatz in AMNOG- und Zertifizierungskontexten</w:t>
      </w:r>
    </w:p>
    <w:p>
      <w:r>
        <w:rPr>
          <w:color w:val="5A7D3A"/>
          <w:sz w:val="18"/>
        </w:rPr>
        <w:t>https://pubmed.ncbi.nlm.nih.gov/42760040/</w:t>
      </w:r>
    </w:p>
    <w:p>
      <w:pPr>
        <w:pStyle w:val="Heading1"/>
      </w:pPr>
      <w:r>
        <w:t>Aufgenommen am 27.09.2026</w:t>
      </w:r>
    </w:p>
    <w:p>
      <w:pPr>
        <w:pStyle w:val="Heading2"/>
      </w:pPr>
      <w:r>
        <w:t>Single-Fraction SABR gleichwertig zu Multi-Fraction bei frühem NSCLC</w:t>
      </w:r>
    </w:p>
    <w:p>
      <w:r>
        <w:rPr>
          <w:i/>
          <w:color w:val="666666"/>
          <w:sz w:val="18"/>
        </w:rPr>
        <w:t>Aguirre-Meneses KA et al.  ·  Radiother Oncol  ·  26.09.2026  ·  PMID 42800679</w:t>
      </w:r>
    </w:p>
    <w:p>
      <w:r>
        <w:t>Bevölkerungsbasierte retrospektive Analyse aus British Columbia (2021-2024): 814 Läsionen bei 778 Patienten mit peripher gelegenem T1-2N0-NSCLC, behandelt mit Single-Fraction (SF) oder Multi-Fraction (MF) SABR, Nachverfolgung median 25,8 Monate.</w:t>
      </w:r>
    </w:p>
    <w:p>
      <w:r>
        <w:rPr>
          <w:b/>
        </w:rPr>
        <w:t xml:space="preserve">Ergebnis: </w:t>
      </w:r>
      <w:r>
        <w:t>Keine signifikanten Unterschiede in 2-Jahres-Lokalversagen (3,5% vs. 4,8%, p=0,11) oder 2-Jahres-Gesamtüberleben (79,3% vs. 79,4%, p=0,62). Grad-2-Toxizität 11,5% vs. 12,4%, Grad-3-5-Toxizität 1,5% vs. 3,9% (p=0,08), Brustwandtoxizität identisch 5,0%. SF-SABR war kein unabhängiger Prädiktor für Lokalversagen oder Toxizität.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Kanadisches System mit vergleichbarem öffentlichem Versicherungsauftrag; Kostenwirksamkeit für deutsche Strahlenkliniken relevant.</w:t>
      </w:r>
    </w:p>
    <w:p>
      <w:r>
        <w:rPr>
          <w:color w:val="5A7D3A"/>
          <w:sz w:val="18"/>
        </w:rPr>
        <w:t>https://pubmed.ncbi.nlm.nih.gov/42800679/</w:t>
      </w:r>
    </w:p>
    <w:p>
      <w:pPr>
        <w:pStyle w:val="Heading2"/>
      </w:pPr>
      <w:r>
        <w:t>Tumor-First DNA-Testing effizienter als Familienanamnese für BRCA-Screening</w:t>
      </w:r>
    </w:p>
    <w:p>
      <w:r>
        <w:rPr>
          <w:i/>
          <w:color w:val="666666"/>
          <w:sz w:val="18"/>
        </w:rPr>
        <w:t>Kloots ISH et al.  ·  Eur J Cancer  ·  19.09.2026  ·  PMID 42800309</w:t>
      </w:r>
    </w:p>
    <w:p>
      <w:r>
        <w:t>Prospektive Studie (PROMPT) mit 452 Patienten mit metastasiertem Prostatakarzinom: Vergleich tumor-first-workflow (TFW) versus familienanamnese-basierte Testung für Keimbahnvarianten in BRCA1/2, PALB2, ATM, CHEK2.</w:t>
      </w:r>
    </w:p>
    <w:p>
      <w:r>
        <w:rPr>
          <w:b/>
        </w:rPr>
        <w:t xml:space="preserve">Ergebnis: </w:t>
      </w:r>
      <w:r>
        <w:t>TFW identifizierte 22/36 (61%) aller Träger pathogener Keimbahnvarianten mit technischer Sensitivität von 97%. Gegenüber modellierter Familienanamnese-Strategie (8 vs. 22 Träger identifiziert; p&lt;0,001) war TFW deutlich überlegen mit positiv-prädiktivem Wert 51% vs. 13% und niedrigerer Anzahl zum Testen (2,0 vs. 7,9). Kosten pro entdeckter Variante: 998 € vs. 12.246 €.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Gesundheitssystem mit direkter Übertragbarkeit auf deutsches Mutationsscreening-Protokoll.</w:t>
      </w:r>
    </w:p>
    <w:p>
      <w:r>
        <w:rPr>
          <w:color w:val="5A7D3A"/>
          <w:sz w:val="18"/>
        </w:rPr>
        <w:t>https://pubmed.ncbi.nlm.nih.gov/42800309/</w:t>
      </w:r>
    </w:p>
    <w:p>
      <w:pPr>
        <w:pStyle w:val="Heading2"/>
      </w:pPr>
      <w:r>
        <w:t>Spirituelle Überzeugungen hemmen Studienteilnahme schwarzer Krebspatienten massiv</w:t>
      </w:r>
    </w:p>
    <w:p>
      <w:r>
        <w:rPr>
          <w:i/>
          <w:color w:val="666666"/>
          <w:sz w:val="18"/>
        </w:rPr>
        <w:t>Gomez C et al.  ·  Int J Radiat Oncol Biol Phys  ·  25.09.2026  ·  PMID 42790602</w:t>
      </w:r>
    </w:p>
    <w:p>
      <w:r>
        <w:t>Querschnittstudie an 172 von 247 Patienten (70% Teilnahmequote) nach definitiver Strahlentherapie für GI-, thorakale, gynäkologische und HNO-Malignome (Oktober 2023–Februar 2024): Psychosoziale Faktoren und Studieneinschlusshindernisse.</w:t>
      </w:r>
    </w:p>
    <w:p>
      <w:r>
        <w:rPr>
          <w:b/>
        </w:rPr>
        <w:t xml:space="preserve">Ergebnis: </w:t>
      </w:r>
      <w:r>
        <w:t>Schwarze Patienten (n=42, 24%) waren weniger verheiratet (16,7% vs. 68,8%; p&lt;0,001), geringer gebildet und hatten niedrigeres Einkommen ($69.318 vs. $106.823; p&lt;0,001). Obwohl gleich viele zur Teilnahme eingeladen (17,9% vs. 21,7%), stimmten weniger schwarze Patienten zu (17,1% vs. 31,9%; p&lt;0,001). Höhere Religiosität senkte Teilnahmebereitschaft um 44% (p=0,036). 48% schwarzer vs. 17,3% weißer Patienten glaubten, dass Gott Heilung bestimmt (p=0,024); 18% schwarzer vs. 3,6% weißer Patienten misstrauten klinischer Forschung (p=0,001).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- Disparitäten-fokussiertes qualitatives Forschungsdesign; deutsche Rekrutierungsstrategien müssen kulturelle und religiöse Faktoren adressieren.</w:t>
      </w:r>
    </w:p>
    <w:p>
      <w:r>
        <w:rPr>
          <w:color w:val="5A7D3A"/>
          <w:sz w:val="18"/>
        </w:rPr>
        <w:t>https://pubmed.ncbi.nlm.nih.gov/42790602/</w:t>
      </w:r>
    </w:p>
    <w:p>
      <w:pPr>
        <w:pStyle w:val="Heading2"/>
      </w:pPr>
      <w:r>
        <w:t>Komplexe Genomik verzögert Zugang zu Essential Cancer Medicines global</w:t>
      </w:r>
    </w:p>
    <w:p>
      <w:r>
        <w:rPr>
          <w:i/>
          <w:color w:val="666666"/>
          <w:sz w:val="18"/>
        </w:rPr>
        <w:t>Vokinger KN et al.  ·  Lancet Oncol  ·  25.09.2026  ·  PMID 42790449</w:t>
      </w:r>
    </w:p>
    <w:p>
      <w:r>
        <w:t>Retrospektive Analyse der Verfügbarkeit von 41 Essential Cancer Medicines auf der WHO-Liste zwischen 2002 und 2023 in 71 Ländern, unterschieden nach Anforderung an Immunhistochemie, komplexe Genomik oder keine Diagnostik.</w:t>
      </w:r>
    </w:p>
    <w:p>
      <w:r>
        <w:rPr>
          <w:b/>
        </w:rPr>
        <w:t xml:space="preserve">Ergebnis: </w:t>
      </w:r>
      <w:r>
        <w:t>Arzneien, die komplexe genomische Diagnostik erfordern, zeigen 65% niedrigere Aufnahmevolumina als solche ohne Diagnostik-Anforderung (Regressionskoeffizient −0,453, p&lt;0,0001). In Ländern mit niedrigem BIP (&lt;11.000 USD) werden nur 44% der Arzneien mit komplexer Genomik eingesetzt, gegenüber 79% in Ländern mit hohem BIP (&gt;33.000 USD). Die Aufnahme zeigt, dass WHO-EML-Listung allein für Zugang insufficient 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Zeigt strukturelle Barrieren für Precision Oncology in Ländern mit begrenzter diagnostischer Infrastruktur; international vergleichbar.</w:t>
      </w:r>
    </w:p>
    <w:p>
      <w:r>
        <w:rPr>
          <w:color w:val="5A7D3A"/>
          <w:sz w:val="18"/>
        </w:rPr>
        <w:t>https://pubmed.ncbi.nlm.nih.gov/42790449/</w:t>
      </w:r>
    </w:p>
    <w:p>
      <w:pPr>
        <w:pStyle w:val="Heading2"/>
      </w:pPr>
      <w:r>
        <w:t>Venetoclax + Inotuzumab ozogamicin erzielt 95% komplette Remission im rezidivierten/refraktären B-ALL</w:t>
      </w:r>
    </w:p>
    <w:p>
      <w:r>
        <w:rPr>
          <w:i/>
          <w:color w:val="666666"/>
          <w:sz w:val="18"/>
        </w:rPr>
        <w:t>Luskin MR et al.  ·  Blood  ·  25.09.2026  ·  PMID 42789493</w:t>
      </w:r>
    </w:p>
    <w:p>
      <w:r>
        <w:t>Phase-1-Studie (23 Patienten, 15 ALL, 8 LBL): Kombination BCL-2-Inhibitor Venetoclax (VEN 400 mg/Tag 21 Tage) plus CD22-Antikörper-Wirkstoff-Konjugat Inotuzumab ozogamicin (Standard-Dosis) bei rezidiviertem/refraktärem CD22+ B-ALL/lymphoblastischem Lymphom.</w:t>
      </w:r>
    </w:p>
    <w:p>
      <w:r>
        <w:rPr>
          <w:b/>
        </w:rPr>
        <w:t xml:space="preserve">Ergebnis: </w:t>
      </w:r>
      <w:r>
        <w:t>Von 22 evaluablen Patienten erreichten 21 (95,5%) komplette Remission, 19 nach einem Zyklus. Messbare Resterkrankung (MRD) negativ in 88,9% (Flow &lt;10⁻⁴) und 73,7% (NGS &lt;10⁻⁶). Zwei-Jahres-krankheitsfreies Überleben 48% (95% KI 24–72%), medianes Gesamtüberleben nicht erreicht. Nebenwirkungen Grad ≥3: Thrombozytopenie 43,5%, Neutropenie 39,1%, sinusoidales obstruktives Syndrom 4 Patienten. MRD-Negativität korrelierte mit BCL-2-Abhängigkeit; Progression verband sich mit MCL-1-Abhängigkeit, CD22-Escape, ABCB1-Expression.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USA-Zentrum, Phase 1; internationale Wirkstoffkombination, Übertragung auf Deutschland abhängig von Zulassung und lokaler ALL-Protokoll-Integration.</w:t>
      </w:r>
    </w:p>
    <w:p>
      <w:r>
        <w:rPr>
          <w:color w:val="5A7D3A"/>
          <w:sz w:val="18"/>
        </w:rPr>
        <w:t>https://pubmed.ncbi.nlm.nih.gov/42789493/</w:t>
      </w:r>
    </w:p>
    <w:p>
      <w:pPr>
        <w:pStyle w:val="Heading2"/>
      </w:pPr>
      <w:r>
        <w:t>Körperliche Aktivität verbessert Krankheitsfreies Überleben bei ctDNA-negativem Kolonkarzinom</w:t>
      </w:r>
    </w:p>
    <w:p>
      <w:r>
        <w:rPr>
          <w:i/>
          <w:color w:val="666666"/>
          <w:sz w:val="18"/>
        </w:rPr>
        <w:t>Zhang GQ et al.  ·  J Natl Cancer Inst  ·  24.09.2026  ·  PMID 42786576</w:t>
      </w:r>
    </w:p>
    <w:p>
      <w:r>
        <w:t>Post-hoc-Analyse der Phase-III-Studie CALGB/SWOG 80702 (763 Patienten Stage III Kolonkarzinom): Assoziation von körperlicher Aktivität (gemessen in MET-Stunden/Woche) und postoperativem Überleben, stratifiziert nach zirkulierender Tumor-DNA (ctDNA).</w:t>
      </w:r>
    </w:p>
    <w:p>
      <w:r>
        <w:rPr>
          <w:b/>
        </w:rPr>
        <w:t xml:space="preserve">Ergebnis: </w:t>
      </w:r>
      <w:r>
        <w:t>Bei ctDNA-negativen Patienten zeigten moderate (HR 0,58, 95% KI 0,37–0,91) und hohe körperliche Aktivität (HR 0,49, 95% KI 0,27–0,86) versus Inaktivität verbessertes krankheitsfreies Überleben. Bei ctDNA-positiven Patienten war körperliche Aktivität nicht prognostisch (p&gt;0,05). Physische Aktivität plus adjuvantes Celecoxib zeigte Vorteil in beiden Gruppen (ctDNA-positiv: HR 0,29, 95% KI 0,15–0,57).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Nordamerikanische Kohortenstudie; ctDNA-Analytik national nur in Zentren verfügbar, Aktivitätsinterventionen aber universell umsetzbar.</w:t>
      </w:r>
    </w:p>
    <w:p>
      <w:r>
        <w:rPr>
          <w:color w:val="5A7D3A"/>
          <w:sz w:val="18"/>
        </w:rPr>
        <w:t>https://pubmed.ncbi.nlm.nih.gov/42786576/</w:t>
      </w:r>
    </w:p>
    <w:p>
      <w:pPr>
        <w:pStyle w:val="Heading2"/>
      </w:pPr>
      <w:r>
        <w:t>Evorpacept + Trastuzumab/Ramucirumab/Paclitaxel verbessert Ansprechrate im HER2+ Magenkarzinom</w:t>
      </w:r>
    </w:p>
    <w:p>
      <w:r>
        <w:rPr>
          <w:i/>
          <w:color w:val="666666"/>
          <w:sz w:val="18"/>
        </w:rPr>
        <w:t>Shitara K et al.  ·  Nat Med  ·  24.09.2026  ·  PMID 42786305</w:t>
      </w:r>
    </w:p>
    <w:p>
      <w:r>
        <w:t>Phase-2-Portion der randomisierten Studie ASPEN-06 (127 Patienten mit vorbehandeltem HER2-überexprimiertem metastasiertem Magen-/Ösophaguskarzinom): Evorpacept (CD47-SIRPα-Blocker) plus Standard-Tripel (TRP) versus TRP allein.</w:t>
      </w:r>
    </w:p>
    <w:p>
      <w:r>
        <w:rPr>
          <w:b/>
        </w:rPr>
        <w:t xml:space="preserve">Ergebnis: </w:t>
      </w:r>
      <w:r>
        <w:t>Primärer Endpunkt: Objektive Ansprechrate (ORR) investigator-assessed 40,3% (Evo+TRP) vs. 26,6% (TRP) in ITT-Population (Differenz 13,7%, p&lt;0,001), in Fresh-Biopsy-HER2+-Subgruppe 54,8% vs. 23,1% (Differenz 31,7%). Differenzen überschritten Schwellen, aber vs. historischem Benchmark (30%) verfehlte nur Fresh-Biopsy-Gruppe Signifikanz knapp (p=0,030 one-sided). Toxizitäten vergleichbar mit etabliertem Profil.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Phase-2-Studie; Zulassungsfähigkeit zu klären, Übertragung auf Deutschland abhängig von Zulassung und Amnog-Bewertung.</w:t>
      </w:r>
    </w:p>
    <w:p>
      <w:r>
        <w:rPr>
          <w:color w:val="5A7D3A"/>
          <w:sz w:val="18"/>
        </w:rPr>
        <w:t>https://pubmed.ncbi.nlm.nih.gov/42786305/</w:t>
      </w:r>
    </w:p>
    <w:p>
      <w:pPr>
        <w:pStyle w:val="Heading1"/>
      </w:pPr>
      <w:r>
        <w:t>Aufgenommen am 26.09.2026</w:t>
      </w:r>
    </w:p>
    <w:p>
      <w:pPr>
        <w:pStyle w:val="Heading2"/>
      </w:pPr>
      <w:r>
        <w:t>Reduzierte Dosis für elektive Halsknotenbest. in Nasopharynxkarzinom: 5-Jahres-Sicherheit</w:t>
      </w:r>
    </w:p>
    <w:p>
      <w:r>
        <w:rPr>
          <w:i/>
          <w:color w:val="666666"/>
          <w:sz w:val="18"/>
        </w:rPr>
        <w:t>Chen X et al.  ·  Radiother Oncol  ·  25.09.2026  ·  PMID 42790787</w:t>
      </w:r>
    </w:p>
    <w:p>
      <w:r>
        <w:t>Retrospektive Kohorte mit 752 Patienten zu Langzeiteffizienz und Organschonung bei De-Eskalation der elektiven Halsknotenbestrahlung von 50 Gy auf 45 Gy EQD2 bei intensitätsmodulierter Radiotherapie.</w:t>
      </w:r>
    </w:p>
    <w:p>
      <w:r>
        <w:rPr>
          <w:b/>
        </w:rPr>
        <w:t xml:space="preserve">Ergebnis: </w:t>
      </w:r>
      <w:r>
        <w:t>5-Jahres-Regionalkontrollen 97,3 %, Gesamtüberleben 89,7 %. Nur 0,7 % isolierte Rezidive in der 45-Gy-Dosis. Vergleichspläne zeigten signifikante Dosisreduktion für alle Risikoorgane (p &lt; 0,001) mit bedeutsamen NTCP-Reduktionen für Parotisfunktionsverlust, Dysphagie und Hypothyreose (alle p &lt; 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Chinesische Daten, internationales Standard-Bestrahlungsprotokoll, direkt übertragbar.</w:t>
      </w:r>
    </w:p>
    <w:p>
      <w:r>
        <w:rPr>
          <w:color w:val="5A7D3A"/>
          <w:sz w:val="18"/>
        </w:rPr>
        <w:t>https://pubmed.ncbi.nlm.nih.gov/42790787/</w:t>
      </w:r>
    </w:p>
    <w:p>
      <w:pPr>
        <w:pStyle w:val="Heading2"/>
      </w:pPr>
      <w:r>
        <w:t>Iberdomid + Daratumumab gegen Bortezomib bei Myelom: MRD-negative Remissionen verdoppelt</w:t>
      </w:r>
    </w:p>
    <w:p>
      <w:r>
        <w:rPr>
          <w:i/>
          <w:color w:val="666666"/>
          <w:sz w:val="18"/>
        </w:rPr>
        <w:t>Lonial S et al.  ·  Lancet Oncol  ·  25.09.2026  ·  PMID 42790445</w:t>
      </w:r>
    </w:p>
    <w:p>
      <w:r>
        <w:t>Phase-3-Studie (EXCALIBER-RRMM) mit 420 Patienten, randomisiert zum Vergleich Iberdomid/Daratumumab/Dexamethason vs. Daratumumab/Bortezomib/Dexamethason bei rezidiviertem/refraktärem Myelom.</w:t>
      </w:r>
    </w:p>
    <w:p>
      <w:r>
        <w:rPr>
          <w:b/>
        </w:rPr>
        <w:t xml:space="preserve">Ergebnis: </w:t>
      </w:r>
      <w:r>
        <w:t>MRD-negative komplette Remissionen (Fluoreszenzfluss &lt;10−5) 41 % vs. 21 % (odds ratio 2,8; 95%-KI 1,8–4,3; p &lt; 0,0001). Grad-3/4-Nebenwirkungen in 92 % vs. 70 % (Neutropenie 84 % vs. 11 %, Infektionen 39 % vs. 22 %), managebar mit Supportivtherapie.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zentraler europäischer Einsatz in AMNOG-Verfahren zu prüfen.</w:t>
      </w:r>
    </w:p>
    <w:p>
      <w:r>
        <w:rPr>
          <w:color w:val="5A7D3A"/>
          <w:sz w:val="18"/>
        </w:rPr>
        <w:t>https://pubmed.ncbi.nlm.nih.gov/42790445/</w:t>
      </w:r>
    </w:p>
    <w:p>
      <w:pPr>
        <w:pStyle w:val="Heading2"/>
      </w:pPr>
      <w:r>
        <w:t>Online adaptive Radiotherapie bei Prostatakarzinom: weniger Toxizität, bessere Lebensqualität</w:t>
      </w:r>
    </w:p>
    <w:p>
      <w:r>
        <w:rPr>
          <w:i/>
          <w:color w:val="666666"/>
          <w:sz w:val="18"/>
        </w:rPr>
        <w:t>Kalinauskaite G et al.  ·  Strahlenther Onkol  ·  25.09.2026  ·  PMID 42789071</w:t>
      </w:r>
    </w:p>
    <w:p>
      <w:r>
        <w:t>Prospektive Studie zum Vergleich der akuten Toxizität und Lebensqualität bei adaptiver MRT-gestützter Online-Bestrahlung vs. konventioneller bildgestützter Radiotherapie bei Prostatakarzinom mit moderat hypofraktioniertem Schema.</w:t>
      </w:r>
    </w:p>
    <w:p>
      <w:r>
        <w:rPr>
          <w:b/>
        </w:rPr>
        <w:t xml:space="preserve">Ergebnis: </w:t>
      </w:r>
      <w:r>
        <w:t>Adaptive Radiotherapie war mit günstigerem gastrointestinalem Toxizitätsprofil assoziiert (niedrigere maximale Toxizitätsgrade; p = 0,028). Patienten der Vergleichsgruppe zeigten häufiger klinisch bedeutsame Verschlechterungen bei Fatigue (74 % vs. 37 %; p = 0,004), körperlicher Funktionsfähigkeit (27 % vs. 3 %; p = 0,009) und Rollenerfüllung (48,1 % vs. 22,9 %; p = 0,04).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Zentrumsmodell, Charité und Ulm, validierbar für deutsche Routineversorgung.</w:t>
      </w:r>
    </w:p>
    <w:p>
      <w:r>
        <w:rPr>
          <w:color w:val="5A7D3A"/>
          <w:sz w:val="18"/>
        </w:rPr>
        <w:t>https://pubmed.ncbi.nlm.nih.gov/42789071/</w:t>
      </w:r>
    </w:p>
    <w:p>
      <w:pPr>
        <w:pStyle w:val="Heading2"/>
      </w:pPr>
      <w:r>
        <w:t>Zentralisierte MRT-geführte adaptive Brachytherapie für Zervixkarzinom in Österreich: Durchführbarkeit und Ergebnisse</w:t>
      </w:r>
    </w:p>
    <w:p>
      <w:r>
        <w:rPr>
          <w:i/>
          <w:color w:val="666666"/>
          <w:sz w:val="18"/>
        </w:rPr>
        <w:t>Knoth J et al.  ·  Strahlenther Onkol  ·  25.09.2026  ·  PMID 42789070</w:t>
      </w:r>
    </w:p>
    <w:p>
      <w:r>
        <w:t>Retrospektive Kohortenstudie zur Machbarkeit eines österreichischen Zentranzugangsmodells mit dezentraler Perkutanstrahlung und zentralisierter MRT-gestützter adaptiver Brachytherapie bei 89 Patienten mit FIGO IB–IVA Zervixkarzinom (2018–2022).</w:t>
      </w:r>
    </w:p>
    <w:p>
      <w:r>
        <w:rPr>
          <w:b/>
        </w:rPr>
        <w:t xml:space="preserve">Ergebnis: </w:t>
      </w:r>
      <w:r>
        <w:t>3-Jahres-Gesamtüberleben 74 %, Lokalkontrollen 95 %, Beckenregionalkontrollen 95 %. Grad-≥3-Morbidität bei 26,1 %. Mediane Gesamtbehandlungsdauer 50 Tage. Durchführbarkeit und Qualität bestätigt, auch bei paraaortischen Metastasen (17 %).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Österreichisches Verbundsystem direkt auf deutsche Zentrumslandschaft übertragbar.</w:t>
      </w:r>
    </w:p>
    <w:p>
      <w:r>
        <w:rPr>
          <w:color w:val="5A7D3A"/>
          <w:sz w:val="18"/>
        </w:rPr>
        <w:t>https://pubmed.ncbi.nlm.nih.gov/42789070/</w:t>
      </w:r>
    </w:p>
    <w:p>
      <w:pPr>
        <w:pStyle w:val="Heading2"/>
      </w:pPr>
      <w:r>
        <w:t>Frühe Palliativversorgung für afroamerikanische und rural wohnhafte Angehörige: Langzeitergebnisse</w:t>
      </w:r>
    </w:p>
    <w:p>
      <w:r>
        <w:rPr>
          <w:i/>
          <w:color w:val="666666"/>
          <w:sz w:val="18"/>
        </w:rPr>
        <w:t>Odom JN et al.  ·  J Natl Cancer Inst  ·  24.09.2026  ·  PMID 42786668</w:t>
      </w:r>
    </w:p>
    <w:p>
      <w:r>
        <w:t>Randomisierte Studie (ENABLE Cornerstone) bei 222 Angehörigen und 165 Patienten mit fortgeschrittenem Krebsleiden; Intervention: Laienkurs-geführte Palliativberatung für Pflegepersonen vs. Standardversorgung über 36–48 Wochen.</w:t>
      </w:r>
    </w:p>
    <w:p>
      <w:r>
        <w:rPr>
          <w:b/>
        </w:rPr>
        <w:t xml:space="preserve">Ergebnis: </w:t>
      </w:r>
      <w:r>
        <w:t>Pflegepersonen der Interventionsgruppe: niedrigere Anforderungsbelastung (Differenz −1,54; Cohen's d −0,41; p = 0,03) bei 36 Wochen. Patienten: niedriger depressive Symptome bei 36 Wochen (Differenz −1,53; p = 0,048) und bessere körperliche Lebensqualität bei 48 Wochen (Differenz +3,93; p = 0,02). Effekte bei Subgruppen mit strukturellen Zugangsbarrieren bedeutsam.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unterrepräsentierte Bevölkerungsgruppen; Modell für deutsche Versorgungslücken anwendbar.</w:t>
      </w:r>
    </w:p>
    <w:p>
      <w:r>
        <w:rPr>
          <w:color w:val="5A7D3A"/>
          <w:sz w:val="18"/>
        </w:rPr>
        <w:t>https://pubmed.ncbi.nlm.nih.gov/42786668/</w:t>
      </w:r>
    </w:p>
    <w:p>
      <w:pPr>
        <w:pStyle w:val="Heading2"/>
      </w:pPr>
      <w:r>
        <w:t>Keramidsynthese und YAP-Signalweg treiben Kolonkarzinom-Metastasen</w:t>
      </w:r>
    </w:p>
    <w:p>
      <w:r>
        <w:rPr>
          <w:i/>
          <w:color w:val="666666"/>
          <w:sz w:val="18"/>
        </w:rPr>
        <w:t>Goswami S et al.  ·  Science  ·  24.09.2026  ·  PMID 42784694</w:t>
      </w:r>
    </w:p>
    <w:p>
      <w:r>
        <w:t>Mechanistische Studie in Zellsystemen und Tiermodellen zur Rolle von de-novo-Keramidsynthese, Desaturase Degs1 und YAP-Signalweg in der Initiierung von Kolorektalkarzinom-Metastasen unter Einfluss diätetischen Fetts.</w:t>
      </w:r>
    </w:p>
    <w:p>
      <w:r>
        <w:rPr>
          <w:b/>
        </w:rPr>
        <w:t xml:space="preserve">Ergebnis: </w:t>
      </w:r>
      <w:r>
        <w:t>Dietäres Fett löst anhaltende Keramidakkumulation aus → YAP-Aktivierung über PP2A-Dephosphorylierung → YAP-DR-Programm mit Basp1-Expression. Degs1-Knockout reduzierten Keramidspiegel, YAP-Aktivität und Metastasierung ohne Primärtumor-Wachstum zu beeinflussen. Basp1-high-Zellen waren erforderlich für Metastasierungsseeding.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Grundlagenarbeit; therapeutisches Ansatzpotential (Keramid-Inhibition) für klinische Translation.</w:t>
      </w:r>
    </w:p>
    <w:p>
      <w:r>
        <w:rPr>
          <w:color w:val="5A7D3A"/>
          <w:sz w:val="18"/>
        </w:rPr>
        <w:t>https://pubmed.ncbi.nlm.nih.gov/42784694/</w:t>
      </w:r>
    </w:p>
    <w:p>
      <w:pPr>
        <w:pStyle w:val="Heading2"/>
      </w:pPr>
      <w:r>
        <w:t>IDH-mutantes Gliom: Hirngeometrie und Hypoxie strukturieren Tumororganisation</w:t>
      </w:r>
    </w:p>
    <w:p>
      <w:r>
        <w:rPr>
          <w:i/>
          <w:color w:val="666666"/>
          <w:sz w:val="18"/>
        </w:rPr>
        <w:t>Hoefflin R et al.  ·  Cancer Cell  ·  14.09.2026  ·  PMID 42735681</w:t>
      </w:r>
    </w:p>
    <w:p>
      <w:r>
        <w:t>Räumlich-translationale Studie kombiniert Einzelzell-Proteomik und räumliche Transkriptomik bei IDH-mutierten Gliomen über alle Tumorgrade hinweg, um organisatorische Prinzipien von Tumorprogression zu identifizieren.</w:t>
      </w:r>
    </w:p>
    <w:p>
      <w:r>
        <w:rPr>
          <w:b/>
        </w:rPr>
        <w:t xml:space="preserve">Ergebnis: </w:t>
      </w:r>
      <w:r>
        <w:t>Frühe Tumore: anatomisch-getriebene Organisation an weiß-grauer Substanzgrenze, Oligodendrozyten-Vorläufer (OPC)-ähnliche Zellen preferenziell dort selektioniert. Intermediate Tumore: Desorganisation mit wenigen Zell-Wechselwirkungen. Hochtgradige: Hypoxie-assoziierte Struktur ähnlich IDH-Wildtyp-Glioblastom. Zwei unabhängige räumliche Organisationsachsen.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Europäisch-israelische Kooperation, Grundlagen für Zielpriorisierung bei Gliom-Therapie.</w:t>
      </w:r>
    </w:p>
    <w:p>
      <w:r>
        <w:rPr>
          <w:color w:val="5A7D3A"/>
          <w:sz w:val="18"/>
        </w:rPr>
        <w:t>https://pubmed.ncbi.nlm.nih.gov/42735681/</w:t>
      </w:r>
    </w:p>
    <w:p>
      <w:pPr>
        <w:pStyle w:val="Heading1"/>
      </w:pPr>
      <w:r>
        <w:t>Aufgenommen am 25.09.2026</w:t>
      </w:r>
    </w:p>
    <w:p>
      <w:pPr>
        <w:pStyle w:val="Heading2"/>
      </w:pPr>
      <w:r>
        <w:t>Adaptive Hoffnung in der Onkologie – Klinischer Rahmen für patientenzentrierte Kommunikation</w:t>
      </w:r>
    </w:p>
    <w:p>
      <w:r>
        <w:rPr>
          <w:i/>
          <w:color w:val="666666"/>
          <w:sz w:val="18"/>
        </w:rPr>
        <w:t>Cherny NI et al.  ·  ESMO Open  ·  24.07.2026  ·  PMID 42785913</w:t>
      </w:r>
    </w:p>
    <w:p>
      <w:r>
        <w:t>Narrative Übersichtsarbeit (Synthesis empirischer und konzeptioneller Literatur): Hope und Despair als zentrale, oft ko-existierende Dimensionen der Krebserfahrung – ihre Determinanten, klinischen Manifestationen und Implikationen für Kommunikation und Entscheidungsfindung über die Krankheitstrajectory.</w:t>
      </w:r>
    </w:p>
    <w:p>
      <w:r>
        <w:rPr>
          <w:b/>
        </w:rPr>
        <w:t xml:space="preserve">Ergebnis: </w:t>
      </w:r>
      <w:r>
        <w:t>Hoffnung ist dynamisches, multidimensionales Konstrukt, das sich über Zeit evolves – initial auf Heilung ausgerichtet, rekalibriert oft zu erreichbaren Zielen (Symptomkontrolle, Funktion, Sinnstiftung, Würde, spiritueller Frieden). Adaptive, realitätskongruente Hoffnung durch ehrliche, mitfühlende, relational fundierte Kommunikation nachhaltig. Klinische Competency: Psychospiritual-, Relational-, interdisziplinäre Approaches (empathische Kommunikation, Symptommanagement, Meaning-Centered Interventions, Dignity-Conserving Care).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Expert-Synthesis, direkt auf deutsches Gesundheitssystem übertragbar.</w:t>
      </w:r>
    </w:p>
    <w:p>
      <w:r>
        <w:rPr>
          <w:color w:val="5A7D3A"/>
          <w:sz w:val="18"/>
        </w:rPr>
        <w:t>https://pubmed.ncbi.nlm.nih.gov/42785913/</w:t>
      </w:r>
    </w:p>
    <w:p>
      <w:pPr>
        <w:pStyle w:val="Heading2"/>
      </w:pPr>
      <w:r>
        <w:t>Trastuzumab emtansine bei HER2+ extramammärer Paget-Erkrankung – 92,9% Ansprechrate</w:t>
      </w:r>
    </w:p>
    <w:p>
      <w:r>
        <w:rPr>
          <w:i/>
          <w:color w:val="666666"/>
          <w:sz w:val="18"/>
        </w:rPr>
        <w:t>Arakawa S et al.  ·  ESMO Open  ·  21.07.2026  ·  PMID 42785912</w:t>
      </w:r>
    </w:p>
    <w:p>
      <w:r>
        <w:t>Phase-II-Studie TEMENOS-2: 14 japanische Patienten mit HER2-positivem metastasiertem Paget-Karzinom (extramammär), Firstline Trastuzumab emtansine 3,6 mg/kg alle 3 Wochen bis 2 Jahre.</w:t>
      </w:r>
    </w:p>
    <w:p>
      <w:r>
        <w:rPr>
          <w:b/>
        </w:rPr>
        <w:t xml:space="preserve">Ergebnis: </w:t>
      </w:r>
      <w:r>
        <w:t>Objektive Ansprechquote (zentrale Bewertung) 92,9% [95% CI 66,1%–99,8%]: 2 komplette, 11 partielle Remissionen, 1 Progression. Median-PFS 16,95 Monate [95% CI 5,75–n.e.]. Median-OS nicht erreicht. Grade-3-Nebenwirkungen in 42,9%, keine ≥4. Erste prospektive Evidenz für HER2-dirigierte ADC in dieser Entität.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Studie, kleine Fallzahl (n=14); für Deutschland Übertragbarkeit HER2+ seltene Tumoren.</w:t>
      </w:r>
    </w:p>
    <w:p>
      <w:r>
        <w:rPr>
          <w:color w:val="5A7D3A"/>
          <w:sz w:val="18"/>
        </w:rPr>
        <w:t>https://pubmed.ncbi.nlm.nih.gov/42785912/</w:t>
      </w:r>
    </w:p>
    <w:p>
      <w:pPr>
        <w:pStyle w:val="Heading2"/>
      </w:pPr>
      <w:r>
        <w:t>Atezolizumab plus pertuzumab, trastuzumab, Chemotherapie – kein Vorteil für Gesamtüberleben</w:t>
      </w:r>
    </w:p>
    <w:p>
      <w:r>
        <w:rPr>
          <w:i/>
          <w:color w:val="666666"/>
          <w:sz w:val="18"/>
        </w:rPr>
        <w:t>Huober J et al.  ·  ESMO Open  ·  24.09.2026  ·  PMID 42785163</w:t>
      </w:r>
    </w:p>
    <w:p>
      <w:r>
        <w:t>Phase-III-Studie (IMpassion050): Neoadjuvante Atezolizumab-Addition zur Standard-Therapie bei HER2-positivem Frühbrustkrebs hohen Risikos – Intention-to-treat und PD-L1-positive Kohorte.</w:t>
      </w:r>
    </w:p>
    <w:p>
      <w:r>
        <w:rPr>
          <w:b/>
        </w:rPr>
        <w:t xml:space="preserve">Ergebnis: </w:t>
      </w:r>
      <w:r>
        <w:t>3-Jahres-Event-Free-Survival 91,4% (Atezolizumab) vs 89,0% (Placebo); Hazard Ratio 0,90 [95% CI 0,50–1,59]; 3-Jahres-Disease-Free-Survival 92,9% vs 88,5% (HR 0,71 [95% CI 0,38–1,32]). Keine signifikanten Unterschiede. Immuntherapie-assoziierte unerwünschte Ereignisse häufiger (59,4% vs 47,0%).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Multicenterstudie, deutsche Beteiligung, direkt anwendbar.</w:t>
      </w:r>
    </w:p>
    <w:p>
      <w:r>
        <w:rPr>
          <w:color w:val="5A7D3A"/>
          <w:sz w:val="18"/>
        </w:rPr>
        <w:t>https://pubmed.ncbi.nlm.nih.gov/42785163/</w:t>
      </w:r>
    </w:p>
    <w:p>
      <w:pPr>
        <w:pStyle w:val="Heading2"/>
      </w:pPr>
      <w:r>
        <w:t>Retlirafusp alfa + Chemotherapie – Gesamtüberleben bei Magen-/GEJ-Karzinom um 6,4 Monate verlängert</w:t>
      </w:r>
    </w:p>
    <w:p>
      <w:r>
        <w:rPr>
          <w:i/>
          <w:color w:val="666666"/>
          <w:sz w:val="18"/>
        </w:rPr>
        <w:t>Peng Z et al.  ·  J Clin Oncol  ·  24.09.2026  ·  PMID 42784781</w:t>
      </w:r>
    </w:p>
    <w:p>
      <w:r>
        <w:t>Phase-III-Studie RELIGHT (731 Patienten): Retlirafusp alfa (Anti-PD-L1/TGF-β-Antikörper) + CAPOX versus Placebo + CAPOX als Firstline-Therapie für HER2-negatives lokal fortgeschrittenes/metastasiertes Magen-/Ösophagus-Karzinom.</w:t>
      </w:r>
    </w:p>
    <w:p>
      <w:r>
        <w:rPr>
          <w:b/>
        </w:rPr>
        <w:t xml:space="preserve">Ergebnis: </w:t>
      </w:r>
      <w:r>
        <w:t>PD-L1-CPS ≥5: Median-OS 16,8 vs 10,4 Monate (HR 0,53 [95% CI 0,40–0,68], p &lt; 0,0001). ITT-Analyse: 15,8 vs 11,2 Monate (HR 0,66 [95% CI 0,53–0,81], p &lt; 0,0001). Median-PFS 7,6 vs 5,5 Monate (HR 0,52). Toxizität vergleichbar (Grade ≥3: 62,6% vs 59,0%).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 (Versicherungssystem unterschiedlich); in Deutschland Vergleich zu PD-1-Inhibitor+Chemotherapie erforderlich.</w:t>
      </w:r>
    </w:p>
    <w:p>
      <w:r>
        <w:rPr>
          <w:color w:val="5A7D3A"/>
          <w:sz w:val="18"/>
        </w:rPr>
        <w:t>https://pubmed.ncbi.nlm.nih.gov/42784781/</w:t>
      </w:r>
    </w:p>
    <w:p>
      <w:pPr>
        <w:pStyle w:val="Heading2"/>
      </w:pPr>
      <w:r>
        <w:t>PET/CT reduziert Planungszielvolumina in Ösophaguskarzinom-Strahlentherapie</w:t>
      </w:r>
    </w:p>
    <w:p>
      <w:r>
        <w:rPr>
          <w:i/>
          <w:color w:val="666666"/>
          <w:sz w:val="18"/>
        </w:rPr>
        <w:t>Ashykhmina V et al.  ·  Strahlenther Onkol  ·  24.09.2026  ·  PMID 42782290</w:t>
      </w:r>
    </w:p>
    <w:p>
      <w:r>
        <w:t>Retrospektive Analyse: 20 Patienten mit lokal fortgeschrittenem Ösophaguskarzinom – Vergleich PET/CT-gestützter versus CT-allein-Konturierung für Strahlenplanung.</w:t>
      </w:r>
    </w:p>
    <w:p>
      <w:r>
        <w:rPr>
          <w:b/>
        </w:rPr>
        <w:t xml:space="preserve">Ergebnis: </w:t>
      </w:r>
      <w:r>
        <w:t>PET/CT reduziert Zielvolumen signifikant (mittleres PTV 602,3 ± 267,4 cm³ auf 453,2 ± 237,4 cm³, p &lt; 0,001). Lungen-V20 sank von 10,39 ± 1,23% auf 7,85 ± 1,18% (p = 0,001). Geometrische Unterschiede &gt;100 cm³ in 20% der Fälle. Interobserver-Variabilität beim PET/CT-Targeting niedriger.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 (Magdeburg), prospektive Validierung erforderlich.</w:t>
      </w:r>
    </w:p>
    <w:p>
      <w:r>
        <w:rPr>
          <w:color w:val="5A7D3A"/>
          <w:sz w:val="18"/>
        </w:rPr>
        <w:t>https://pubmed.ncbi.nlm.nih.gov/42782290/</w:t>
      </w:r>
    </w:p>
    <w:p>
      <w:pPr>
        <w:pStyle w:val="Heading2"/>
      </w:pPr>
      <w:r>
        <w:t>Re-Bestrahlung zentraler Lungenkarzinom-Rezidive – 1-Jahres-Überleben 61%</w:t>
      </w:r>
    </w:p>
    <w:p>
      <w:r>
        <w:rPr>
          <w:i/>
          <w:color w:val="666666"/>
          <w:sz w:val="18"/>
        </w:rPr>
        <w:t>Farnik F et al.  ·  Strahlenther Onkol  ·  24.09.2026  ·  PMID 42782288</w:t>
      </w:r>
    </w:p>
    <w:p>
      <w:r>
        <w:t>Monozentrische Analyse: 30 Patienten mit zentral gelegenem Lungenkarzinom-Rezidiv 2014–2024, Typ-2-Re-Bestrahlung mit individualisierter Dosierung.</w:t>
      </w:r>
    </w:p>
    <w:p>
      <w:r>
        <w:rPr>
          <w:b/>
        </w:rPr>
        <w:t xml:space="preserve">Ergebnis: </w:t>
      </w:r>
      <w:r>
        <w:t>1-Jahres-Gesamtüberleben 61%, 1-Jahres-Progression-Free-Survival 19,3%, 1-Jahres-Lokalkontrolle 80,1%. Mediane EQD2 49,5 Gy. Nur ein Fall Grade-3-Spätkomplikation (Ösophagusstenose), gute Verträglichkeit. Alter &gt;65 Jahre einziger unabhängiger Prognosefaktor für besseres PFS.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Monocenterstudie (Erlangen), begrenzte Fallzahl.</w:t>
      </w:r>
    </w:p>
    <w:p>
      <w:r>
        <w:rPr>
          <w:color w:val="5A7D3A"/>
          <w:sz w:val="18"/>
        </w:rPr>
        <w:t>https://pubmed.ncbi.nlm.nih.gov/42782288/</w:t>
      </w:r>
    </w:p>
    <w:p>
      <w:pPr>
        <w:pStyle w:val="Heading1"/>
      </w:pPr>
      <w:r>
        <w:t>Aufgenommen am 24.09.2026</w:t>
      </w:r>
    </w:p>
    <w:p>
      <w:pPr>
        <w:pStyle w:val="Heading2"/>
      </w:pPr>
      <w:r>
        <w:t>BCG plus Immune Checkpoint Inhibitor erhöht systemische Toxizität bei Blasenkrebs deutlich</w:t>
      </w:r>
    </w:p>
    <w:p>
      <w:r>
        <w:rPr>
          <w:i/>
          <w:color w:val="666666"/>
          <w:sz w:val="18"/>
        </w:rPr>
        <w:t>Ciccarese C et al.  ·  ESMO Open  ·  23.09.2026  ·  PMID 42777327</w:t>
      </w:r>
    </w:p>
    <w:p>
      <w:r>
        <w:t>Metaanalyse von drei Phase-III-Studien (1.895 Patienten) zur Sicherheit intravesikaler BCG-Immunchemotherapie gegenüber BCG allein bei nicht-muskelinvasivem Harnblasenkarzinom.</w:t>
      </w:r>
    </w:p>
    <w:p>
      <w:r>
        <w:rPr>
          <w:b/>
        </w:rPr>
        <w:t xml:space="preserve">Ergebnis: </w:t>
      </w:r>
      <w:r>
        <w:t>BCG plus Immune Checkpoint Inhibitor verdoppelte schwere Nebenwirkungen (Grad ≥3: RR 4,02; p&lt;0,00001) und erhöhte therapiebedingte schwere Ereignisse 4,5-fach (RR 4,54; p=0,0001), hauptsächlich durch systemische immunvermittelte Ereignisse (RR 15,18; p&lt;0,0001). Lokale Blasensymptome ähnlich zwischen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Europa-Studie mit deutschen und österreichischen Zentren, direkt anwendbar</w:t>
      </w:r>
    </w:p>
    <w:p>
      <w:r>
        <w:rPr>
          <w:color w:val="5A7D3A"/>
          <w:sz w:val="18"/>
        </w:rPr>
        <w:t>https://pubmed.ncbi.nlm.nih.gov/42777327/</w:t>
      </w:r>
    </w:p>
    <w:p>
      <w:pPr>
        <w:pStyle w:val="Heading2"/>
      </w:pPr>
      <w:r>
        <w:t>FLOT plus Nivolumab bei Magenkrebse: Monocyten-Lymphozyten-Ratio identifiziert Profiteure</w:t>
      </w:r>
    </w:p>
    <w:p>
      <w:r>
        <w:rPr>
          <w:i/>
          <w:color w:val="666666"/>
          <w:sz w:val="18"/>
        </w:rPr>
        <w:t>Masetti M et al.  ·  Eur J Cancer  ·  10.09.2026  ·  PMID 42777290</w:t>
      </w:r>
    </w:p>
    <w:p>
      <w:r>
        <w:t>Extended Follow-up einer deutschen Multizenterstudie (Arm C: 52 Patienten mit mCRPC) zu FLOT-Chemotherapie plus Nivolumab mit Biomarker-Stratifizierung für Magenkarzinom.</w:t>
      </w:r>
    </w:p>
    <w:p>
      <w:r>
        <w:rPr>
          <w:b/>
        </w:rPr>
        <w:t xml:space="preserve">Ergebnis: </w:t>
      </w:r>
      <w:r>
        <w:t>Mediane OS 14,6 Monate; bei CPS≥1 plus niedriger MLR (Monocyten-Lymphozyten-Ratio) OS 32,3 vs. 7,4 Monate (p=0,044). NLR und MLR korrelierten mit Überleben; Schmerz verbesserte sich, Müdigkeit und körperliche Funktionsfähigkeit verschlechterten sich.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 aus 19 Zentren, vollständig übertragbar</w:t>
      </w:r>
    </w:p>
    <w:p>
      <w:r>
        <w:rPr>
          <w:color w:val="5A7D3A"/>
          <w:sz w:val="18"/>
        </w:rPr>
        <w:t>https://pubmed.ncbi.nlm.nih.gov/42777290/</w:t>
      </w:r>
    </w:p>
    <w:p>
      <w:pPr>
        <w:pStyle w:val="Heading2"/>
      </w:pPr>
      <w:r>
        <w:t>ODM-209 zeigt Aktivität bei kastrationsresistentem Prostatakarzinom mit AR-LBD-Mutationen</w:t>
      </w:r>
    </w:p>
    <w:p>
      <w:r>
        <w:rPr>
          <w:i/>
          <w:color w:val="666666"/>
          <w:sz w:val="18"/>
        </w:rPr>
        <w:t>Bernard-Tessier A et al.  ·  Eur J Cancer  ·  12.09.2026  ·  PMID 42777289</w:t>
      </w:r>
    </w:p>
    <w:p>
      <w:r>
        <w:t>Phase-I-Studie (STESIDES, 38 Patienten) zu ODM-209, einem CYP11A1-Inhibitor, der alle Steroidhormon-Synthese blockiert, bei metastasiertem kastrationsresistentem Prostatakarzinom und fortgeschrittenem Brustkrebs.</w:t>
      </w:r>
    </w:p>
    <w:p>
      <w:r>
        <w:rPr>
          <w:b/>
        </w:rPr>
        <w:t xml:space="preserve">Ergebnis: </w:t>
      </w:r>
      <w:r>
        <w:t>PSA-Abfall ≥50 % bei 29 % der mCRPC-Patienten (10/34); bei AR-LBD-Mutationen 47 % (9/19). Partielle klinische Remission bei 19 % (3/16). Häufigste Nebenwirkungen: Müdigkeit (53 %), periphere Ödeme (34 %); 8 % erlebten schwere Nebenwirkungen, 3 Fälle ernsthafte Nebenniereninsuffizienz (eine davon DLT).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Europäisch-finländische Studie, toxikologisches Profil übertragbar auf Deutschland</w:t>
      </w:r>
    </w:p>
    <w:p>
      <w:r>
        <w:rPr>
          <w:color w:val="5A7D3A"/>
          <w:sz w:val="18"/>
        </w:rPr>
        <w:t>https://pubmed.ncbi.nlm.nih.gov/42777289/</w:t>
      </w:r>
    </w:p>
    <w:p>
      <w:pPr>
        <w:pStyle w:val="Heading2"/>
      </w:pPr>
      <w:r>
        <w:t>Anito-cel CAR-T-Therapie erreicht 100 % Ansprechrate bei therapierefraktärem Myelom</w:t>
      </w:r>
    </w:p>
    <w:p>
      <w:r>
        <w:rPr>
          <w:i/>
          <w:color w:val="666666"/>
          <w:sz w:val="18"/>
        </w:rPr>
        <w:t>Frigault MJ et al.  ·  N Engl J Med  ·  24.09.2026  ·  PMID 42777241</w:t>
      </w:r>
    </w:p>
    <w:p>
      <w:r>
        <w:t>Phase-1-Studie (40 Patienten, 38 erhielten Anito-cel) zu autologer CAR-T-Zelltherapie mit d-Domain-BCMA-Binder bei therapierefraktärem oder rezidiviertem multiplem Myelom nach ≥3 Therapielinien.</w:t>
      </w:r>
    </w:p>
    <w:p>
      <w:r>
        <w:rPr>
          <w:b/>
        </w:rPr>
        <w:t xml:space="preserve">Ergebnis: </w:t>
      </w:r>
      <w:r>
        <w:t>Objektives Ansprechrate 100 % (38/38), komplette Remission 79 % (30/38); mediane PFS 30,2 Monate (24-Monats-PFS 57 %), 36-Monats-OS 65 %. CRS Grad 1–2 bei 94 % (beim empfohlenen Dosis-Level), kein Grad-≥3-CRS. ICANS Grad 1–2 bei 16 %, Grad 3 bei 3 % (1 Patient). Keine Neurotoxizität oder Off-Target-Effekte.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US-Zulassungsstudie, internationale Relevanz, Verfügbarkeit in Deutschland fraglich</w:t>
      </w:r>
    </w:p>
    <w:p>
      <w:r>
        <w:rPr>
          <w:color w:val="5A7D3A"/>
          <w:sz w:val="18"/>
        </w:rPr>
        <w:t>https://pubmed.ncbi.nlm.nih.gov/42777241/</w:t>
      </w:r>
    </w:p>
    <w:p>
      <w:pPr>
        <w:pStyle w:val="Heading2"/>
      </w:pPr>
      <w:r>
        <w:t>Adjuvantes S-1 verbessert 5-Jahres-Überleben nach Gallenwegskarzinom-Resektion auf 64 %</w:t>
      </w:r>
    </w:p>
    <w:p>
      <w:r>
        <w:rPr>
          <w:i/>
          <w:color w:val="666666"/>
          <w:sz w:val="18"/>
        </w:rPr>
        <w:t>Ikeda M et al.  ·  J Clin Oncol  ·  23.09.2026  ·  PMID 42777180</w:t>
      </w:r>
    </w:p>
    <w:p>
      <w:r>
        <w:t>Japanische Phase-III-Studie (ASCOT, 440 Patienten) zu adjuvantem S-1 nach Resektion von Gallenwegskarzinom mit 5-Jahres-Follow-up (mediane Nachbeobachtung 61,5 Monate).</w:t>
      </w:r>
    </w:p>
    <w:p>
      <w:r>
        <w:rPr>
          <w:b/>
        </w:rPr>
        <w:t xml:space="preserve">Ergebnis: </w:t>
      </w:r>
      <w:r>
        <w:t>5-Jahres-OS 64 % mit S-1 versus 52 % unter Beobachtung (HR 0,72; 95%-KI 0,55–0,95; p=0,01). Mediane OS 8,2 versus 5,9 Jahre. Mediane RFS 3,5 (S-1) versus 6,1 Jahre (Beobachtung). Behandlungseffekt über Subgruppen konsistent.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Japanisches Gesundheitssystem, internationales Standard-Chemotherapieschema, AMNOG-Nutzen möglich</w:t>
      </w:r>
    </w:p>
    <w:p>
      <w:r>
        <w:rPr>
          <w:color w:val="5A7D3A"/>
          <w:sz w:val="18"/>
        </w:rPr>
        <w:t>https://pubmed.ncbi.nlm.nih.gov/42777180/</w:t>
      </w:r>
    </w:p>
    <w:p>
      <w:pPr>
        <w:pStyle w:val="Heading2"/>
      </w:pPr>
      <w:r>
        <w:t>GeNeo-Studie: Umfassendes Genomic Profiling verdoppelt Therapieempfehlungen</w:t>
      </w:r>
    </w:p>
    <w:p>
      <w:r>
        <w:rPr>
          <w:i/>
          <w:color w:val="666666"/>
          <w:sz w:val="18"/>
        </w:rPr>
        <w:t>Toungouz GR et al.  ·  Eur J Cancer  ·  03.06.2026  ·  PMID 42773586</w:t>
      </w:r>
    </w:p>
    <w:p>
      <w:r>
        <w:t>Belgische Studie an 1.000 metastasierten oder lokal fortgeschrittenen Krebspatienten, Vergleich umfassendes Genomic Profiling (CGP) versus beschränkte lokale NGS-Panels im Rahmen der belgischen Präzisionsmedizin-Initiative.</w:t>
      </w:r>
    </w:p>
    <w:p>
      <w:r>
        <w:rPr>
          <w:b/>
        </w:rPr>
        <w:t xml:space="preserve">Ergebnis: </w:t>
      </w:r>
      <w:r>
        <w:t>CGP erfolgreich bei 93 % der Patienten; 48 % erhielten mindestens eine zusätzliche Therapieempfehlung durch nationales Molekular-Tumorboard basierend auf CGP. 61 % aller Patienten erhielten CGP-basierte Empfehlungen; 23 % davon erhalten die empfohlene Therapie (Blockage: Nichtverfügbarkeit 25 %, klinische Verschlechterung 24 %, Patientenwahl 17 %).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Belgisches Sozialversicherungssystem, ähnlich deutschem Struktur und Zulassungswegen</w:t>
      </w:r>
    </w:p>
    <w:p>
      <w:r>
        <w:rPr>
          <w:color w:val="5A7D3A"/>
          <w:sz w:val="18"/>
        </w:rPr>
        <w:t>https://pubmed.ncbi.nlm.nih.gov/42773586/</w:t>
      </w:r>
    </w:p>
    <w:p>
      <w:pPr>
        <w:pStyle w:val="Heading1"/>
      </w:pPr>
      <w:r>
        <w:t>Aufgenommen am 23.09.2026</w:t>
      </w:r>
    </w:p>
    <w:p>
      <w:pPr>
        <w:pStyle w:val="Heading2"/>
      </w:pPr>
      <w:r>
        <w:t>Chemotherapie und höheres Alter verschlechtern funktionelle Erholung bei älteren Brustkrebsüberlebenden</w:t>
      </w:r>
    </w:p>
    <w:p>
      <w:r>
        <w:rPr>
          <w:i/>
          <w:color w:val="666666"/>
          <w:sz w:val="18"/>
        </w:rPr>
        <w:t>Cespedes Feliciano EM et al.  ·  J Natl Cancer Inst  ·  23.09.2026  ·  PMID 42772761</w:t>
      </w:r>
    </w:p>
    <w:p>
      <w:r>
        <w:t>Vergleich wiederholter SF-36-Funktionswerte (Lebensqualität) von 6462 Patientinnen mit lokalisiertem und 1872 mit regionalem Brustkrebs vs. 37 196 krebsfreie altersgerechte Kontrollen über 15 Jahre aus der Women's Health Initiative.</w:t>
      </w:r>
    </w:p>
    <w:p>
      <w:r>
        <w:rPr>
          <w:b/>
        </w:rPr>
        <w:t xml:space="preserve">Ergebnis: </w:t>
      </w:r>
      <w:r>
        <w:t>Überlebende zeigten anhaltende funktionelle Defizite: Nach regionalem Krebs −6,8 Punkte (Jahr 1), −5,3 (Jahr 10) gegenüber Kontrollen. Chemotherapie verschärfte frühe Rückgänge (−7,1 Jahr 1). Frauen unter 70 Jahren zeigten bessere Erholung. Bessere Prediagnose-Lebensstiländerungen korrelierten mit größerer funktioneller Reserve und Erholungsfähigkeit.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US-Daten mit großem Stichprobenumfang; Prinzipien der Unterstützung bei funktioneller Rehabilitation übertragbar.</w:t>
      </w:r>
    </w:p>
    <w:p>
      <w:r>
        <w:rPr>
          <w:color w:val="5A7D3A"/>
          <w:sz w:val="18"/>
        </w:rPr>
        <w:t>https://pubmed.ncbi.nlm.nih.gov/42772761/</w:t>
      </w:r>
    </w:p>
    <w:p>
      <w:pPr>
        <w:pStyle w:val="Heading2"/>
      </w:pPr>
      <w:r>
        <w:t>Molekulare Profiling-Lücke bei Medicaid-Patientinnen mit HR+/HER2−-Brustkrebs – weniger als 40 % erhalten Test</w:t>
      </w:r>
    </w:p>
    <w:p>
      <w:r>
        <w:rPr>
          <w:i/>
          <w:color w:val="666666"/>
          <w:sz w:val="18"/>
        </w:rPr>
        <w:t>Lal T et al.  ·  JCO Oncol Pract  ·  22.09.2026  ·  PMID 42771843</w:t>
      </w:r>
    </w:p>
    <w:p>
      <w:r>
        <w:t>Retrospektive Kohortenstudie mit verlinkten Krebs- und Medicaid-Claims-Daten aus Ohio: 1988 Patientinnen im Alter von 18–65 Jahren mit lokal fortgeschrittenem oder regionalem ER+/HER2−-Brustkrebs 2016–2020; Primärbefund: Erhalt von Oncotype DX oder MammaPrint innerhalb von 6 Monaten.</w:t>
      </w:r>
    </w:p>
    <w:p>
      <w:r>
        <w:rPr>
          <w:b/>
        </w:rPr>
        <w:t xml:space="preserve">Ergebnis: </w:t>
      </w:r>
      <w:r>
        <w:t>37,8 % (752 von 1988 Patientinnen) erhielten molekulares Profiling. Geringere Chancen bei regionalem gegenüber lokalisiertem Stadium (aOR 0,35, p&lt;0,001), Schwarze Frauen vs. Weiße (aOR 0,72), Einkommen über Armutsgrenze (aOR 0,73) und Medicaid-Langzeitpflege-Einschreiber (aOR 0,47). Verheiratet mit höherem Profiling (aOR 1,30).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USA-Medicaid-Daten; Versorgungsungleichheiten ähnlich auch in Deutschland bei gesetzlicher Versicherung – Implementierungslücke bei Risikogruppen.</w:t>
      </w:r>
    </w:p>
    <w:p>
      <w:r>
        <w:rPr>
          <w:color w:val="5A7D3A"/>
          <w:sz w:val="18"/>
        </w:rPr>
        <w:t>https://pubmed.ncbi.nlm.nih.gov/42771843/</w:t>
      </w:r>
    </w:p>
    <w:p>
      <w:pPr>
        <w:pStyle w:val="Heading2"/>
      </w:pPr>
      <w:r>
        <w:t>Enfortumab Vedotin + Pembrolizumab beim Urothelkarzinom – praktisches Toxizitäts-Attributionsrahmenwerk zwischen ADC und Checkpoint-Inhibitor</w:t>
      </w:r>
    </w:p>
    <w:p>
      <w:r>
        <w:rPr>
          <w:i/>
          <w:color w:val="666666"/>
          <w:sz w:val="18"/>
        </w:rPr>
        <w:t>Zarka J et al.  ·  Oncologist  ·  21.09.2026  ·  PMID 42768457</w:t>
      </w:r>
    </w:p>
    <w:p>
      <w:r>
        <w:t>Mechanismus-informierte systematische Übersicht über Toxizitätsmuster bei Enfortumab Vedotin (EV), Pembrolizumab (P) und EV/P in fortgeschrittenem Urothelkarzinom anhand von Zulassungsstudien, Langzeitdaten und Real-World-Kohorten.</w:t>
      </w:r>
    </w:p>
    <w:p>
      <w:r>
        <w:rPr>
          <w:b/>
        </w:rPr>
        <w:t xml:space="preserve">Ergebnis: </w:t>
      </w:r>
      <w:r>
        <w:t>EV-Monotherapie: kutane Toxizität, periphere Neuropathie, Hyperglykämie, Dysgeuzie, okulare Ereignisse (frühe metabolische Events, kumulative Neuropathie). Pembrolizumab: niedrigere Hochgrad-Toxizität, aber Immune-Checkpoint-induzierte Endokrinopathien, Pneumonitis, Hepatitis, Kolitis, Nephritis. Kombination EV/P: vorhersehbare Überlappung dieser Toxizitätsdomänen; praktisches Attributionsrahmenwerk (EV-dominant, Immune-dominant, Überlappung, hohes Risiko mit Therapieunterbrechung).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Mayo-Klinik-Kohorte; Toxizitäts-Management-Schemata und Attributionsrahmen für europäische/deutsche Urothelkarzinom-Praxen anwendbar.</w:t>
      </w:r>
    </w:p>
    <w:p>
      <w:r>
        <w:rPr>
          <w:color w:val="5A7D3A"/>
          <w:sz w:val="18"/>
        </w:rPr>
        <w:t>https://pubmed.ncbi.nlm.nih.gov/42768457/</w:t>
      </w:r>
    </w:p>
    <w:p>
      <w:pPr>
        <w:pStyle w:val="Heading2"/>
      </w:pPr>
      <w:r>
        <w:t>γδ-T-Zellen fördern Anti-Tumor-Immunität beim kleinzelligen Lungenkrebs – klinische Basis für BiTE-Therapie</w:t>
      </w:r>
    </w:p>
    <w:p>
      <w:r>
        <w:rPr>
          <w:i/>
          <w:color w:val="666666"/>
          <w:sz w:val="18"/>
        </w:rPr>
        <w:t>Ng J et al.  ·  Cancer Cell  ·  18.09.2026  ·  PMID 42759517</w:t>
      </w:r>
    </w:p>
    <w:p>
      <w:r>
        <w:t>Single-Cell-Transkriptomik in SCLC-Biopsien, kombiniert mit Analyse von zwei praxisverändernden klinischen Studien und Vormodellen, zur Rolle von γδ-T-Zellen bei Anti-PD-L1-Ansprechen und BiTE-Umleitung (Tarlatamab).</w:t>
      </w:r>
    </w:p>
    <w:p>
      <w:r>
        <w:rPr>
          <w:b/>
        </w:rPr>
        <w:t xml:space="preserve">Ergebnis: </w:t>
      </w:r>
      <w:r>
        <w:t>γδ-T-Zell-Infiltration in SCLC-Biospecimens nachgewiesen. Trotz PD-1-Expression behielten γδ-T-Zellen zytotoxisches Transkriptionsprofil. Hohe γδ-T-Zell-Infiltration sagte verbessertes Ansprechen auf Anti-PD-L1 in zwei Studien voraus. Vormodelle zeigten γδ-T-Zellen wirksam bei Tarlatamab-umgeleiteter SCLC-Abtötung; Zoledronsäure sensibilisierte SCLC-Zellen für γδ-T-Zell-vermittelte Tötung.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Australisch-deutsche Kohorte; Grundlagenbefund mit erkennbarem Weg zu klinischen BiTE- und Kombinationsansätzen.</w:t>
      </w:r>
    </w:p>
    <w:p>
      <w:r>
        <w:rPr>
          <w:color w:val="5A7D3A"/>
          <w:sz w:val="18"/>
        </w:rPr>
        <w:t>https://pubmed.ncbi.nlm.nih.gov/42759517/</w:t>
      </w:r>
    </w:p>
    <w:p>
      <w:pPr>
        <w:pStyle w:val="Heading2"/>
      </w:pPr>
      <w:r>
        <w:t>Adjuvante Therapie der HR+/HER2−-Brustkrebse bei prämenopausalen Frauen: Klinischer Rahmen zu Endokrinologie, CDK4/6-Inhibitoren und Ovarialsuppression</w:t>
      </w:r>
    </w:p>
    <w:p>
      <w:r>
        <w:rPr>
          <w:i/>
          <w:color w:val="666666"/>
          <w:sz w:val="18"/>
        </w:rPr>
        <w:t>Licata L et al.  ·  Ann Oncol  ·  17.09.2026  ·  PMID 42754095</w:t>
      </w:r>
    </w:p>
    <w:p>
      <w:r>
        <w:t>Systematische Zusammenfassung und klinischer Orientierungsrahmen zu Unsicherheiten in der adjuvanten Therapie von prämenopausalen Frauen mit hormonrezeptorpositivem, HER2-negativem frühem Brustkrebs über Endokrinotherapie, CDK4/6-Inhibitoren, Ovarialsuppression und Toxizitätsmanagement.</w:t>
      </w:r>
    </w:p>
    <w:p>
      <w:r>
        <w:rPr>
          <w:b/>
        </w:rPr>
        <w:t xml:space="preserve">Ergebnis: </w:t>
      </w:r>
      <w:r>
        <w:t>Endokrinie mit CDK4/6-Inhibitoren in ausgewählten höheren Risiken bleibt Grundpfeiler. Offene Fragen: optimale Ovarialsuppression, Interpretation genomischer Assays für Chemotherapieentscheidungen, Auswahl für verlängerte Endokrinotherapie, Adhärenz und Schwangerschaftsprobleme. Der Rahmen soll individualisierte Strategien für diese Population unterstützen.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und internationale Expertise; Strukturen übertragbar auf deutsches Zentrenmanagement.</w:t>
      </w:r>
    </w:p>
    <w:p>
      <w:r>
        <w:rPr>
          <w:color w:val="5A7D3A"/>
          <w:sz w:val="18"/>
        </w:rPr>
        <w:t>https://pubmed.ncbi.nlm.nih.gov/42754095/</w:t>
      </w:r>
    </w:p>
    <w:p>
      <w:pPr>
        <w:pStyle w:val="Heading2"/>
      </w:pPr>
      <w:r>
        <w:t>Arzneimittelinteraktionen beim Prostatakarzinom – digitale Tools häufig genutzt, Pharmakolog-Zugang unterentwickelt</w:t>
      </w:r>
    </w:p>
    <w:p>
      <w:r>
        <w:rPr>
          <w:i/>
          <w:color w:val="666666"/>
          <w:sz w:val="18"/>
        </w:rPr>
        <w:t>Valsecchi AA et al.  ·  Oncologist  ·  09.09.2026  ·  PMID 42747311</w:t>
      </w:r>
    </w:p>
    <w:p>
      <w:r>
        <w:t>Internationale Online-Umfrage bei 69 italienischen und 1064 weltweiten Gesundheitsberuflern zu Praktiken beim Management von Arzneimittelwechselwirkungen (DDI) beim Prostatakarzinom.</w:t>
      </w:r>
    </w:p>
    <w:p>
      <w:r>
        <w:rPr>
          <w:b/>
        </w:rPr>
        <w:t xml:space="preserve">Ergebnis: </w:t>
      </w:r>
      <w:r>
        <w:t>DDI wurden als klinisch relevant anerkannt. Digitale Werkzeuge (Online-Datenbanken, Apps) am häufigsten; KI-Tools selten. Italienische Onkologen berichteten begrenzte Vor-Ort-Pharmacolog-Unterstützung (29 %), weltweit 76 %. Hauptbarrieren: Zeitdruck, unsichere Quellenzuverlässigkeit, Mangel an Schulung. Italienische Ärzte forderten mehr Pharmacolog-Zugang; globale Kohorten: institutionelle Schulung.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Universitätskliniken haben oft Pharmakolog-Support; zentrale Erkenntnisse zur DDI-Managementlücke und Schulungsbedarf übertragbar.</w:t>
      </w:r>
    </w:p>
    <w:p>
      <w:r>
        <w:rPr>
          <w:color w:val="5A7D3A"/>
          <w:sz w:val="18"/>
        </w:rPr>
        <w:t>https://pubmed.ncbi.nlm.nih.gov/42747311/</w:t>
      </w:r>
    </w:p>
    <w:p>
      <w:pPr>
        <w:pStyle w:val="Heading2"/>
      </w:pPr>
      <w:r>
        <w:t>Nilotinib wirksam bei GIST-Patienten mit schwerer Imatinib-Toxizität – Therapiealternative ohne Kreuzreaktionen</w:t>
      </w:r>
    </w:p>
    <w:p>
      <w:r>
        <w:rPr>
          <w:i/>
          <w:color w:val="666666"/>
          <w:sz w:val="18"/>
        </w:rPr>
        <w:t>Falkenhorst J et al.  ·  Oncologist  ·  09.09.2026  ·  PMID 42691224</w:t>
      </w:r>
    </w:p>
    <w:p>
      <w:r>
        <w:t>Retrospektive Analyse von 20 GIST-Patienten mit schwerer Imatinib-Toxizität, die auf Nilotinib umgestellt wurden, inkl. In-vitro-Testung an Zelllinien mit KIT-Mutationen.</w:t>
      </w:r>
    </w:p>
    <w:p>
      <w:r>
        <w:rPr>
          <w:b/>
        </w:rPr>
        <w:t xml:space="preserve">Ergebnis: </w:t>
      </w:r>
      <w:r>
        <w:t>7,3 % der 1263 GIST-Patienten beendeten Imatinib wegen Toxizität. In 20 Patienten mit Nilotinib-Therapie zeigten sich keine Kreuzreaktivitäten mit Imatinib: Bei KIT-Exon-11-Mutationen wirksam, bei Exon-9- oder imatinib-resistenten Mutationen nicht. Nilotinib ist damit eine wichtige Alternative für imatinib-sensitive GIST.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GIST-Zentren können diese Therapieoption bei Imatinib-Unverträglichkeit einsetzen.</w:t>
      </w:r>
    </w:p>
    <w:p>
      <w:r>
        <w:rPr>
          <w:color w:val="5A7D3A"/>
          <w:sz w:val="18"/>
        </w:rPr>
        <w:t>https://pubmed.ncbi.nlm.nih.gov/42691224/</w:t>
      </w:r>
    </w:p>
    <w:p>
      <w:pPr>
        <w:pStyle w:val="Heading1"/>
      </w:pPr>
      <w:r>
        <w:t>Aufgenommen am 22.09.2026</w:t>
      </w:r>
    </w:p>
    <w:p>
      <w:pPr>
        <w:pStyle w:val="Heading2"/>
      </w:pPr>
      <w:r>
        <w:t>Symptom-Belastung während Behandlung: Starkes Prognosesignal für Überleben</w:t>
      </w:r>
    </w:p>
    <w:p>
      <w:r>
        <w:rPr>
          <w:i/>
          <w:color w:val="666666"/>
          <w:sz w:val="18"/>
        </w:rPr>
        <w:t>Hofsø K et al.  ·  ESMO Open  ·  21.09.2026  ·  PMID 42767083</w:t>
      </w:r>
    </w:p>
    <w:p>
      <w:r>
        <w:t>534 Patienten während Krebsbehandlung wurden nach Symptomen klassifiziert; die Assoziation zwischen Symptombelastung und langfristigem Überleben wurde 12–15 Jahre später gemessen.</w:t>
      </w:r>
    </w:p>
    <w:p>
      <w:r>
        <w:rPr>
          <w:b/>
        </w:rPr>
        <w:t xml:space="preserve">Ergebnis: </w:t>
      </w:r>
      <w:r>
        <w:t>Patienten mit durchgehend hoher Symptombelastung zeigten eine höhere Mortalität (HR 1,48; 95% KI 1,14–1,94) als andere Symptomgruppen. Symptomklassen könnten zur Risikoschichtung herangezogen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Versicherungssystem und Onkologieversorgung vergleichbar mit Deutschland.</w:t>
      </w:r>
    </w:p>
    <w:p>
      <w:r>
        <w:rPr>
          <w:color w:val="5A7D3A"/>
          <w:sz w:val="18"/>
        </w:rPr>
        <w:t>https://pubmed.ncbi.nlm.nih.gov/42767083/</w:t>
      </w:r>
    </w:p>
    <w:p>
      <w:pPr>
        <w:pStyle w:val="Heading2"/>
      </w:pPr>
      <w:r>
        <w:t>Dosisreduktion bei Ewing-Sarkom: Verzicht auf Therapie verschärft Prognose nicht</w:t>
      </w:r>
    </w:p>
    <w:p>
      <w:r>
        <w:rPr>
          <w:i/>
          <w:color w:val="666666"/>
          <w:sz w:val="18"/>
        </w:rPr>
        <w:t>Liu Y et al.  ·  Eur J Cancer  ·  16.09.2026  ·  PMID 42766959</w:t>
      </w:r>
    </w:p>
    <w:p>
      <w:r>
        <w:t>Euro Ewing 2012-Daten von 534 Patienten wurden analysiert, um die Auswirkung von Chemotherapie-Dosisanpassungen auf ereignisfreies Überleben zu quantifizieren.</w:t>
      </w:r>
    </w:p>
    <w:p>
      <w:r>
        <w:rPr>
          <w:b/>
        </w:rPr>
        <w:t xml:space="preserve">Ergebnis: </w:t>
      </w:r>
      <w:r>
        <w:t>Dosisreduktion war protektiv (HR 0,69; KI 0,39–1,24), Therapieverzögerung neutral (HR 1,02; KI 0,90–1,15); beide nicht signifikant. Toxizitätsmanagement durch Dosisanpassung beeinträchtigt Prognose nicht wesentlich.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Studie, multinationale Kohorte, Ergebnisse übertragbar auf deutsches Versorgungssystem.</w:t>
      </w:r>
    </w:p>
    <w:p>
      <w:r>
        <w:rPr>
          <w:color w:val="5A7D3A"/>
          <w:sz w:val="18"/>
        </w:rPr>
        <w:t>https://pubmed.ncbi.nlm.nih.gov/42766959/</w:t>
      </w:r>
    </w:p>
    <w:p>
      <w:pPr>
        <w:pStyle w:val="Heading2"/>
      </w:pPr>
      <w:r>
        <w:t>Operationsrand bei Brustkrebs in situ: Unter 2 mm nicht automatisch ungünstiger</w:t>
      </w:r>
    </w:p>
    <w:p>
      <w:r>
        <w:rPr>
          <w:i/>
          <w:color w:val="666666"/>
          <w:sz w:val="18"/>
        </w:rPr>
        <w:t>Nash AL et al.  ·  J Clin Oncol  ·  21.09.2026  ·  PMID 42766806</w:t>
      </w:r>
    </w:p>
    <w:p>
      <w:r>
        <w:t>11.156 Frauen mit DCIS wurden nach Operationsrandbreite klassifiziert und lokales Rezidivrisiko gemessen; multivariables Cox-Modell nach klinischen Faktoren adjustiert.</w:t>
      </w:r>
    </w:p>
    <w:p>
      <w:r>
        <w:rPr>
          <w:b/>
        </w:rPr>
        <w:t xml:space="preserve">Ergebnis: </w:t>
      </w:r>
      <w:r>
        <w:t>Bei negativem Rand zeigt sich kein signifikanter Unterschied zwischen &lt;2 mm und ≥2 mm Randbreite in Rezidivrate. Nur in der Subgruppe &lt;50 Jahre war schmaler Rand ungünstiger. ORR Brusterhalt, Strahlentherapie, Alter, Hormonrezeptor und Tumor-Grade berücksichtigt.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Nationale Krebsdatenbank, vergleichbare Dokumentationsstandards zu deutschem Krebsregister.</w:t>
      </w:r>
    </w:p>
    <w:p>
      <w:r>
        <w:rPr>
          <w:color w:val="5A7D3A"/>
          <w:sz w:val="18"/>
        </w:rPr>
        <w:t>https://pubmed.ncbi.nlm.nih.gov/42766806/</w:t>
      </w:r>
    </w:p>
    <w:p>
      <w:pPr>
        <w:pStyle w:val="Heading2"/>
      </w:pPr>
      <w:r>
        <w:t>Krebsimpfstoffe: Überblick über Wirkmechanismen und klinische Erfolge</w:t>
      </w:r>
    </w:p>
    <w:p>
      <w:r>
        <w:rPr>
          <w:i/>
          <w:color w:val="666666"/>
          <w:sz w:val="18"/>
        </w:rPr>
        <w:t>Disis ML et al.  ·  JAMA  ·  21.09.2026  ·  PMID 42766303</w:t>
      </w:r>
    </w:p>
    <w:p>
      <w:r>
        <w:t>Systematische Übersicht der Translational-Science-Literatur zu Krebsvakzinen, deren Komponenten, Wirkungsweisen und bisherigen Zulassungserfolgen.</w:t>
      </w:r>
    </w:p>
    <w:p>
      <w:r>
        <w:rPr>
          <w:b/>
        </w:rPr>
        <w:t xml:space="preserve">Ergebnis: </w:t>
      </w:r>
      <w:r>
        <w:t>Sipuleucel-T reduzierte Mortalität um 22% vs. Placebo (HR 0,78; p=0,03). Talimogene laherparepvec erhöhte 6-Monats-Remissionsrate auf 16,3% vs. 2,1% (p&lt;0,001). mRNA-4157+Pembrolizumab verbesserte rezidivfreies Überleben bei Melanom (76,6% vs. 60%; HR 0,56; p=0,05). Nebenwirkungen überwiegend mild.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USA-Literaturübersicht, Mechanismen und Sicherheitsprofil universell, Verfügbarkeit in Deutschland an Zulassung/Nutzenbewertung gekoppelt.</w:t>
      </w:r>
    </w:p>
    <w:p>
      <w:r>
        <w:rPr>
          <w:color w:val="5A7D3A"/>
          <w:sz w:val="18"/>
        </w:rPr>
        <w:t>https://pubmed.ncbi.nlm.nih.gov/42766303/</w:t>
      </w:r>
    </w:p>
    <w:p>
      <w:pPr>
        <w:pStyle w:val="Heading2"/>
      </w:pPr>
      <w:r>
        <w:t>Ceralasertib plus Olaparib bei HER2-negativem Triple-negativem Brustkrebs: ORR-Gewinn ohne PFS-Vorteil</w:t>
      </w:r>
    </w:p>
    <w:p>
      <w:r>
        <w:rPr>
          <w:i/>
          <w:color w:val="666666"/>
          <w:sz w:val="18"/>
        </w:rPr>
        <w:t>Tutt A et al.  ·  Clin Cancer Res  ·  21.09.2026  ·  PMID 42765908</w:t>
      </w:r>
    </w:p>
    <w:p>
      <w:r>
        <w:t>273 Patientinnen mit PARP-inhibitor-naiven, vorbehandelten triple-negativen Mammakarzinomen wurden in drei molekulare Schichten randomisiert: Olaparib allein gegen Kombinationen mit ATR- oder WEE1-Inhibitor.</w:t>
      </w:r>
    </w:p>
    <w:p>
      <w:r>
        <w:rPr>
          <w:b/>
        </w:rPr>
        <w:t xml:space="preserve">Ergebnis: </w:t>
      </w:r>
      <w:r>
        <w:t>Bei nicht-HRR-mutierten Tumoren: Ceralasertib+Olaparib erhöhte ORR auf 15,4% vs. 3,9% (p=0,0425); PFS-Mediane aber 3,6 vs. 3,6 Monate (nicht signifikant). Adavosertib+Olaparib wurde wegen Toxizität abgebrochen.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einschl. Deutschland/Belgien, vergleichbare onkologische Versorgung, Ergebnis beschränkt: ORR-Gewinn ohne Überleben-Nutzen fraglich.</w:t>
      </w:r>
    </w:p>
    <w:p>
      <w:r>
        <w:rPr>
          <w:color w:val="5A7D3A"/>
          <w:sz w:val="18"/>
        </w:rPr>
        <w:t>https://pubmed.ncbi.nlm.nih.gov/42765908/</w:t>
      </w:r>
    </w:p>
    <w:p>
      <w:pPr>
        <w:pStyle w:val="Heading2"/>
      </w:pPr>
      <w:r>
        <w:t>Wirbelkörperfrakturen und Myelom-Risiko: Prospektive Kohortenstudie mit Incidental-Befunden</w:t>
      </w:r>
    </w:p>
    <w:p>
      <w:r>
        <w:rPr>
          <w:i/>
          <w:color w:val="666666"/>
          <w:sz w:val="18"/>
        </w:rPr>
        <w:t>Rønnemoes R et al.  ·  Leukemia  ·  18.09.2026  ·  PMID 42760387</w:t>
      </w:r>
    </w:p>
    <w:p>
      <w:r>
        <w:t>9.059 Personen aus bevölkerungsrepräsentativer dänischer Stichprobe erhielten CT-Scans; zufällig entdeckte Wirbelkörperfrakturen wurden als Myelom-Risikofaktor untersucht.</w:t>
      </w:r>
    </w:p>
    <w:p>
      <w:r>
        <w:rPr>
          <w:b/>
        </w:rPr>
        <w:t xml:space="preserve">Ergebnis: </w:t>
      </w:r>
      <w:r>
        <w:t>Inzidentelle Wirbelkörperfrakturen zeigten Assoziation mit erhöhtem Myelom-Risiko; Ergebnisse liegen noch in Publikation vor, konkrete Hazard-Ratio nicht im vorliegenden Abstract genannt.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Bevölkerungsstudie, Diagnostik durch Standardbildgebung deutschem Standard entsprechend.</w:t>
      </w:r>
    </w:p>
    <w:p>
      <w:r>
        <w:rPr>
          <w:color w:val="5A7D3A"/>
          <w:sz w:val="18"/>
        </w:rPr>
        <w:t>https://pubmed.ncbi.nlm.nih.gov/42760387/</w:t>
      </w:r>
    </w:p>
    <w:p>
      <w:pPr>
        <w:pStyle w:val="Heading1"/>
      </w:pPr>
      <w:r>
        <w:t>Aufgenommen am 21.09.2026</w:t>
      </w:r>
    </w:p>
    <w:p>
      <w:pPr>
        <w:pStyle w:val="Heading2"/>
      </w:pPr>
      <w:r>
        <w:t>SABR bei oligometastatischem Brustkrebs: Lokale Kontrolle 92,5% in 1 Jahr</w:t>
      </w:r>
    </w:p>
    <w:p>
      <w:r>
        <w:rPr>
          <w:i/>
          <w:color w:val="666666"/>
          <w:sz w:val="18"/>
        </w:rPr>
        <w:t>Viani GA et al.  ·  Radiother Oncol  ·  20.09.2026  ·  PMID 42764105</w:t>
      </w:r>
    </w:p>
    <w:p>
      <w:r>
        <w:t>Metaanalyse von 25 Studien (1.577 Patienten) zu stereotaktischer ablativer Radiotherapie bei oligometastatischem Brustkrebs.</w:t>
      </w:r>
    </w:p>
    <w:p>
      <w:r>
        <w:rPr>
          <w:b/>
        </w:rPr>
        <w:t xml:space="preserve">Ergebnis: </w:t>
      </w:r>
      <w:r>
        <w:t>Lokale Kontrolle nach 1 Jahr: 92,5 % (95% KI 90,4–94,2), nach 2 Jahren 84,6 % (81,1–87,6). De-novo-Oligometastasen zeigten bessere Ergebnisse als Oligoprogression (OS nach 2 Jahren 91,0 vs. 65,8 %; p=0,002). Grad ≥3-Nebenwirkungen in nur 1,5 % der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internationale Studien, vergleichbare Versorgungsstandards</w:t>
      </w:r>
    </w:p>
    <w:p>
      <w:r>
        <w:rPr>
          <w:color w:val="5A7D3A"/>
          <w:sz w:val="18"/>
        </w:rPr>
        <w:t>https://pubmed.ncbi.nlm.nih.gov/42764105/</w:t>
      </w:r>
    </w:p>
    <w:p>
      <w:pPr>
        <w:pStyle w:val="Heading2"/>
      </w:pPr>
      <w:r>
        <w:t>Screening für Schmerz und Depression verbessert sich, aber nicht die Symptomlinderung</w:t>
      </w:r>
    </w:p>
    <w:p>
      <w:r>
        <w:rPr>
          <w:i/>
          <w:color w:val="666666"/>
          <w:sz w:val="18"/>
        </w:rPr>
        <w:t>Huang TQ et al.  ·  JCO Oncol Pract  ·  17.09.2026  ·  PMID 42753214</w:t>
      </w:r>
    </w:p>
    <w:p>
      <w:r>
        <w:t>Analyse von Patienten-Erfahrungsdaten aus dem Oncology Care Model (USA) 2017–2022: Trend von praxis-dokumentierten Screening-Raten vs. Patient-reported Outcomes.</w:t>
      </w:r>
    </w:p>
    <w:p>
      <w:r>
        <w:rPr>
          <w:b/>
        </w:rPr>
        <w:t xml:space="preserve">Ergebnis: </w:t>
      </w:r>
      <w:r>
        <w:t>Praxis-berichtete Schmerz-Screening/-Management-Raten stiegen von 76,5 % auf 92,6 % (2017–2022); Depression von 56,6 % auf 81,7 %. Aber patient-berichtete Schmerzen nahmen leicht ab (–0,2 Prozentpunkte/Quartal; p=0,002), Hilfe bei Symptomen stieg nicht (p&gt;0,20).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Qualitätsmessung im Versicherungssystem unterscheidet sich von Deutschland</w:t>
      </w:r>
    </w:p>
    <w:p>
      <w:r>
        <w:rPr>
          <w:color w:val="5A7D3A"/>
          <w:sz w:val="18"/>
        </w:rPr>
        <w:t>https://pubmed.ncbi.nlm.nih.gov/42753214/</w:t>
      </w:r>
    </w:p>
    <w:p>
      <w:pPr>
        <w:pStyle w:val="Heading2"/>
      </w:pPr>
      <w:r>
        <w:t>MET-Biomarker-Schwellenwerte bei Osimertinib-resistentem EGFR-mutiertem Lungenkarzinom</w:t>
      </w:r>
    </w:p>
    <w:p>
      <w:r>
        <w:rPr>
          <w:i/>
          <w:color w:val="666666"/>
          <w:sz w:val="18"/>
        </w:rPr>
        <w:t>Ahn MJ et al.  ·  Clin Cancer Res  ·  17.09.2026  ·  PMID 42752799</w:t>
      </w:r>
    </w:p>
    <w:p>
      <w:r>
        <w:t>Retrospektive Analyse aus Phase-II-SAVANNAH-Studie: Bestimmung optimaler MET-Cutoffs (IHC/FISH) für Savolitinib plus Osimertinib bei vorbehandeltem NSCLC.</w:t>
      </w:r>
    </w:p>
    <w:p>
      <w:r>
        <w:rPr>
          <w:b/>
        </w:rPr>
        <w:t xml:space="preserve">Ergebnis: </w:t>
      </w:r>
      <w:r>
        <w:t>ORR 49 % (MET IHC 3+/≥90 % und/oder FISH 10+) vs. 9 % (MET-negativ); 32 % (MET IHC 3+/≥50 % oder FISH 5+). Prävalenz MET 3+/≥90 % oder FISH 10+ betrug 34 %. Optimale Cutoffs identifiziert für Phase-III-SAFFRON-Studie.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Biomarker-Definition für Zulassungspfade weltweit</w:t>
      </w:r>
    </w:p>
    <w:p>
      <w:r>
        <w:rPr>
          <w:color w:val="5A7D3A"/>
          <w:sz w:val="18"/>
        </w:rPr>
        <w:t>https://pubmed.ncbi.nlm.nih.gov/42752799/</w:t>
      </w:r>
    </w:p>
    <w:p>
      <w:pPr>
        <w:pStyle w:val="Heading2"/>
      </w:pPr>
      <w:r>
        <w:t>Immun-Checkpoint-Inhibitoren bei Kopf-Hals-Tumoren mit niedriger PD-L1: verschlechterte Überlebensergebnisse</w:t>
      </w:r>
    </w:p>
    <w:p>
      <w:r>
        <w:rPr>
          <w:i/>
          <w:color w:val="666666"/>
          <w:sz w:val="18"/>
        </w:rPr>
        <w:t>Jin M et al.  ·  JAMA Oncol  ·  17.09.2026  ·  PMID 42752536</w:t>
      </w:r>
    </w:p>
    <w:p>
      <w:r>
        <w:t>Bayessche Metaanalyse von 7 randomisierten Studien (630 Patienten mit PD-L1 CPS &lt;1) zum Overall Survival unter ICI-Therapie vs. Standard-Chemotherapie bei Kopf-Hals-Karzinomen.</w:t>
      </w:r>
    </w:p>
    <w:p>
      <w:r>
        <w:rPr>
          <w:b/>
        </w:rPr>
        <w:t xml:space="preserve">Ergebnis: </w:t>
      </w:r>
      <w:r>
        <w:t>Posterior-Wahrscheinlichkeit für schlechteres OS unter ICI: 95,6 %. Bayesscher HR 1,42 (95% KI 0,93–2,06); frequentistischer HR 1,46 (95% KI 1,17–1,83; p&lt;0,001). Empfehlung: Vorsicht bei ICI in dieser PD-L1-negativen Subgruppe.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und internationale Studien, Befund ist allgemein anwendbar</w:t>
      </w:r>
    </w:p>
    <w:p>
      <w:r>
        <w:rPr>
          <w:color w:val="5A7D3A"/>
          <w:sz w:val="18"/>
        </w:rPr>
        <w:t>https://pubmed.ncbi.nlm.nih.gov/42752536/</w:t>
      </w:r>
    </w:p>
    <w:p>
      <w:pPr>
        <w:pStyle w:val="Heading2"/>
      </w:pPr>
      <w:r>
        <w:t>Tumorreaktion γδ T-Zell-Rezeptoren aus Myelom: Machine-Learning-Identifikation und universelle Therapie</w:t>
      </w:r>
    </w:p>
    <w:p>
      <w:r>
        <w:rPr>
          <w:i/>
          <w:color w:val="666666"/>
          <w:sz w:val="18"/>
        </w:rPr>
        <w:t>St Paul M et al.  ·  Nature  ·  16.09.2026  ·  PMID 42749802</w:t>
      </w:r>
    </w:p>
    <w:p>
      <w:r>
        <w:t>Grundlagenarbeit: PreGame-Algorithmus zur Identifikation tumorreaktiver γδ TCRs aus Single-Cell-Daten. Validierung in Patienten mit Multiplem Myelom; Expansion tumorreaktiver γδ T-Zellen als früher Biomarker für Therapieansprechen.</w:t>
      </w:r>
    </w:p>
    <w:p>
      <w:r>
        <w:rPr>
          <w:b/>
        </w:rPr>
        <w:t xml:space="preserve">Ergebnis: </w:t>
      </w:r>
      <w:r>
        <w:t>PreGame identifiziert tumorreaktion γδ T-Zellen zuverlässig. Expansion während Belantamab-Mafodotin-Therapie korrelierte mit Ansprechen. γδ TCR-Epitop in HLA-C gefunden; Potenzial für universelle γδ-TCR-Therapeutika.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und international, Grundlagenergebnis mit Therapie-Translationspfad</w:t>
      </w:r>
    </w:p>
    <w:p>
      <w:r>
        <w:rPr>
          <w:color w:val="5A7D3A"/>
          <w:sz w:val="18"/>
        </w:rPr>
        <w:t>https://pubmed.ncbi.nlm.nih.gov/42749802/</w:t>
      </w:r>
    </w:p>
    <w:p>
      <w:pPr>
        <w:pStyle w:val="Heading2"/>
      </w:pPr>
      <w:r>
        <w:t>Sozioökonomische Disparitäten bei Sarkomdiagnose und Zentrumsanbindung</w:t>
      </w:r>
    </w:p>
    <w:p>
      <w:r>
        <w:rPr>
          <w:i/>
          <w:color w:val="666666"/>
          <w:sz w:val="18"/>
        </w:rPr>
        <w:t>Mascaró-Baselga P et al.  ·  Oncologist  ·  09.09.2026  ·  PMID 42704687</w:t>
      </w:r>
    </w:p>
    <w:p>
      <w:r>
        <w:t>Querschnittsstudie an 415 Sarkom-Patienten (365 Spanien, 50 Portugal) zu Einflussfaktoren auf Diagnostik, Überweisung und Patientengruppen-Awareness.</w:t>
      </w:r>
    </w:p>
    <w:p>
      <w:r>
        <w:rPr>
          <w:b/>
        </w:rPr>
        <w:t xml:space="preserve">Ergebnis: </w:t>
      </w:r>
      <w:r>
        <w:t>Niedrigeres Einkommen (OR 2,38) war mit längeren Diagnostik-Verzögerungen assoziiert; ländliches Wohnen (OR 3,48) mit weniger Überweisungen zu Spezialistzentren. Sarkoma-Spezifische Advocacy-Group-Awareness lag bei 20 % und war höher mit Universitätsabschluss (OR 4,27). Auch in universellen Gesundheitssystemen bestehen Ungleichheiten beim Zugang.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und Portugal, europäische Versicherungssysteme, universale Gesundheitsversorgung</w:t>
      </w:r>
    </w:p>
    <w:p>
      <w:r>
        <w:rPr>
          <w:color w:val="5A7D3A"/>
          <w:sz w:val="18"/>
        </w:rPr>
        <w:t>https://pubmed.ncbi.nlm.nih.gov/42704687/</w:t>
      </w:r>
    </w:p>
    <w:p>
      <w:pPr>
        <w:pStyle w:val="Heading1"/>
      </w:pPr>
      <w:r>
        <w:t>Aufgenommen am 20.09.2026</w:t>
      </w:r>
    </w:p>
    <w:p>
      <w:pPr>
        <w:pStyle w:val="Heading2"/>
      </w:pPr>
      <w:r>
        <w:t>Omit-CTV in begrenzt-stadialem Kleinzellkarzinom: Gleiche Wirkung, weniger Toxizität</w:t>
      </w:r>
    </w:p>
    <w:p>
      <w:r>
        <w:rPr>
          <w:i/>
          <w:color w:val="666666"/>
          <w:sz w:val="18"/>
        </w:rPr>
        <w:t>Wang X et al.  ·  Radiother Oncol  ·  19.09.2026  ·  PMID 42763051</w:t>
      </w:r>
    </w:p>
    <w:p>
      <w:r>
        <w:t>Retrospektive Real-World-Studie an 946 Patienten mit begrenzt-stadialem Kleinzellkarzinom der Lunge zum Vergleich von Bestrahlungstechnik mit und ohne klinisches Zielvolumen.</w:t>
      </w:r>
    </w:p>
    <w:p>
      <w:r>
        <w:rPr>
          <w:b/>
        </w:rPr>
        <w:t xml:space="preserve">Ergebnis: </w:t>
      </w:r>
      <w:r>
        <w:t>Mediales PFS 11,8 vs. 11,6 Monate (HR 0,93; p=0,500), mediales OS 35,8 vs. 30,7 Monate (HR 0,85; p=0,220). Omit-CTV zeigte niedrigere Pneumonitis-Raten (Grad ≥3: 3,4 % vs. 8,3 %) und Ösophagitis (Grad ≥3: 5,7 % vs. 9,1 %). Bei Immuntherapie-Patienten: nicht erreichte PFS vs. 15,2 Monate (HR 0,48; p=0,033), nicht erreichte OS vs. 26,9 Monate (HR 0,31; p=0,018).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nationale Klinikdaten; technische Replizierbarkeit international, aber Validierung erforderlich</w:t>
      </w:r>
    </w:p>
    <w:p>
      <w:r>
        <w:rPr>
          <w:color w:val="5A7D3A"/>
          <w:sz w:val="18"/>
        </w:rPr>
        <w:t>https://pubmed.ncbi.nlm.nih.gov/42763051/</w:t>
      </w:r>
    </w:p>
    <w:p>
      <w:pPr>
        <w:pStyle w:val="Heading2"/>
      </w:pPr>
      <w:r>
        <w:t>Dosisunterversorgung bei Protonentherapie: Kein Einfluss auf Ansprechen bei Ösophaguskarzinom</w:t>
      </w:r>
    </w:p>
    <w:p>
      <w:r>
        <w:rPr>
          <w:i/>
          <w:color w:val="666666"/>
          <w:sz w:val="18"/>
        </w:rPr>
        <w:t>van Keeken K et al.  ·  Radiother Oncol  ·  19.09.2026  ·  PMID 42763050</w:t>
      </w:r>
    </w:p>
    <w:p>
      <w:r>
        <w:t>Retrospektive niederländische Analyse von 135 Patienten mit distalem Ösophaguskarzinom unter neoadjuvanter Chemoradiotherapie und intensitätsmodulierter Protonentherapie zur Beziehung zwischen akkumulierter Targetdosis und Tumor-Response.</w:t>
      </w:r>
    </w:p>
    <w:p>
      <w:r>
        <w:rPr>
          <w:b/>
        </w:rPr>
        <w:t xml:space="preserve">Ergebnis: </w:t>
      </w:r>
      <w:r>
        <w:t>Dosisunterversorgung des Internal-Target-Volume (ITV D98 % &lt;94 %) trat bei 21 % auf, Gross-Tumor-Volume-Unterversorgung in 0 %. Persistierende klinische komplette Remission/pathologische komplette Remission: 30 % mit vs. 28 % ohne ITV-Unterversorgung (p=0,90). 2-Jahres-OS identisch (64 %). Zwerchfellbewegung &gt;2 cm war nicht mit Unterversorgung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Klinik, vergleichbares Versicherungssystem; Technische Parameter übertragbar</w:t>
      </w:r>
    </w:p>
    <w:p>
      <w:r>
        <w:rPr>
          <w:color w:val="5A7D3A"/>
          <w:sz w:val="18"/>
        </w:rPr>
        <w:t>https://pubmed.ncbi.nlm.nih.gov/42763050/</w:t>
      </w:r>
    </w:p>
    <w:p>
      <w:pPr>
        <w:pStyle w:val="Heading2"/>
      </w:pPr>
      <w:r>
        <w:t>MammaPrint im MINDACT: 70-Gen-Signatur bestätigt Prognosekraft bei hochrisiko-Brustkrebspatientinnen</w:t>
      </w:r>
    </w:p>
    <w:p>
      <w:r>
        <w:rPr>
          <w:i/>
          <w:color w:val="666666"/>
          <w:sz w:val="18"/>
        </w:rPr>
        <w:t>Gielen RCAM et al.  ·  Eur J Cancer  ·  11.09.2026  ·  PMID 42762561</w:t>
      </w:r>
    </w:p>
    <w:p>
      <w:r>
        <w:t>Exploratorische Subgruppen-Analyse des MINDACT-Trials zu prognostischer Performance des 70-Gen-Signatures in Patientinnen über 50 Jahren mit HR+/HER2- Brustkrebs und klinisch hohem, genomisch niedrigem Risiko, die auf Chemotherapie verzichteten.</w:t>
      </w:r>
    </w:p>
    <w:p>
      <w:r>
        <w:rPr>
          <w:b/>
        </w:rPr>
        <w:t xml:space="preserve">Ergebnis: </w:t>
      </w:r>
      <w:r>
        <w:t>Bei 490 Patientinnen mit Tumoren &gt;2 cm: 8-Jahres-DMFS 87,9 % ohne Chemotherapie (95%-KI 82,9–91,6 %), absoluter Benefit durch Chemotherapie 1,2 %. Bei Grad-3-Tumoren (n=232): DMFS 91,3 % ohne Chemotherapie, Benefit -2,2 %. Bei Lymphknoten-Befall (n=406): DMFS 89,6 %, Benefit 0,7 %. Der Signatur behält prognostische Validität in diesen Hochrisiko-Subgruppen.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Multizenterstudie (EORTC); GnP-Assessment, Leitlinien-relevant</w:t>
      </w:r>
    </w:p>
    <w:p>
      <w:r>
        <w:rPr>
          <w:color w:val="5A7D3A"/>
          <w:sz w:val="18"/>
        </w:rPr>
        <w:t>https://pubmed.ncbi.nlm.nih.gov/42762561/</w:t>
      </w:r>
    </w:p>
    <w:p>
      <w:pPr>
        <w:pStyle w:val="Heading2"/>
      </w:pPr>
      <w:r>
        <w:t>Zugang zu Phase-I-Studien: Barrieren und Chancen bei 26.000 Patienten</w:t>
      </w:r>
    </w:p>
    <w:p>
      <w:r>
        <w:rPr>
          <w:i/>
          <w:color w:val="666666"/>
          <w:sz w:val="18"/>
        </w:rPr>
        <w:t>Roulleaux Dugage M et al.  ·  Eur J Cancer  ·  17.09.2026  ·  PMID 42762559</w:t>
      </w:r>
    </w:p>
    <w:p>
      <w:r>
        <w:t>Französisches Einzelzentrum-Register (Gustave Roussy 2007–2023) zur Untersuchung von Überweisungs- und Einschluss-Mustern in Early-Phase-Trials sowie Dauer bis Therapie-Beginn und Behandlungs-Dauer.</w:t>
      </w:r>
    </w:p>
    <w:p>
      <w:r>
        <w:rPr>
          <w:b/>
        </w:rPr>
        <w:t xml:space="preserve">Ergebnis: </w:t>
      </w:r>
      <w:r>
        <w:t>Von 26.394 überweisenen Patienten wurden 13.713 (52 %) evaluiert, 5.847 (22 %) gaben Einwilligung ab, 4.769 (18 %) erhielten mindestens eine Dosis. Mediane Zeit von Uberweisung zu Trial-Inkl: variabel nach Tumortyp. Zugangsdisparitäten: Nicht-kleinzelliges Lungenkarzinom war häufigste Überweisung (n=5.025, 19 %), aber Brust-, Kolorektal- und Pankreaskarzinom hatten niedrige Behandlungsquoten trotz hoher Überweisungen. Therapeutische Landschaft: Anstieg von Antikörper-Wirkstoff-Konjugaten und T-Zell-Engagern, Rückgang konventioneller monoklonaler Antikörper.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spezialisiertes Zentrum; begrenzte Übertragbarkeit auf Flächenversorgung, methodisch hochwertig</w:t>
      </w:r>
    </w:p>
    <w:p>
      <w:r>
        <w:rPr>
          <w:color w:val="5A7D3A"/>
          <w:sz w:val="18"/>
        </w:rPr>
        <w:t>https://pubmed.ncbi.nlm.nih.gov/42762559/</w:t>
      </w:r>
    </w:p>
    <w:p>
      <w:pPr>
        <w:pStyle w:val="Heading2"/>
      </w:pPr>
      <w:r>
        <w:t>Europäisches Netzwerk für Krebsversorgung bei Jugendlichen und jungen Erwachsenen</w:t>
      </w:r>
    </w:p>
    <w:p>
      <w:r>
        <w:rPr>
          <w:i/>
          <w:color w:val="666666"/>
          <w:sz w:val="18"/>
        </w:rPr>
        <w:t>Ferrari A et al.  ·  ESMO Open  ·  18.09.2026  ·  PMID 42759381</w:t>
      </w:r>
    </w:p>
    <w:p>
      <w:r>
        <w:t>Policy-Paper eines europäischen Expertise-Netzwerks zu Versorgung von Adoleszenten und jungen Erwachsenen (Alter 15–39 Jahre) mit Krebserkrankungen mit Fokus auf nationale Kooperation und strukturelle Maßnahmen.</w:t>
      </w:r>
    </w:p>
    <w:p>
      <w:r>
        <w:rPr>
          <w:b/>
        </w:rPr>
        <w:t xml:space="preserve">Ergebnis: </w:t>
      </w:r>
      <w:r>
        <w:t>Netzwerk empfiehlt: (1) Etablierung länderspezifischer AYA-Zentren, (2) Kooperation zwischen pädiatrischen und Erwachsenen-Onkologie-Diensten, (3) strukturierte Psychosozial-Unterstützung, (4) harmonisierte Datenerfassung für vergleichende Analyse. Hauptmerkmale: Unterschiedliche nationale Zugangsbarrieren und Versorgungsstrukturen in Europas Ländern erfordern lokale Anpassung bei gemeinsamen Standards.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Kontext, 14 Länder; Übertragbar auf deutsches System mit entsprechender Anpassung</w:t>
      </w:r>
    </w:p>
    <w:p>
      <w:r>
        <w:rPr>
          <w:color w:val="5A7D3A"/>
          <w:sz w:val="18"/>
        </w:rPr>
        <w:t>https://pubmed.ncbi.nlm.nih.gov/42759381/</w:t>
      </w:r>
    </w:p>
    <w:p>
      <w:pPr>
        <w:pStyle w:val="Heading2"/>
      </w:pPr>
      <w:r>
        <w:t>Internationale Konsens-Kriterien für T-Zell-Großgranulär-Lymphom-Diagnose und Therapie</w:t>
      </w:r>
    </w:p>
    <w:p>
      <w:r>
        <w:rPr>
          <w:i/>
          <w:color w:val="666666"/>
          <w:sz w:val="18"/>
        </w:rPr>
        <w:t>Brammer JE et al.  ·  Blood  ·  21.08.2026  ·  PMID 42640859</w:t>
      </w:r>
    </w:p>
    <w:p>
      <w:r>
        <w:t>Internationale Konsensus-Arbeit (LGLL Consortium) zur Etablierung einheitlicher Diagnose-, Behandlungs- und Response-Kriterien für die seltene T-Zell-Großgranulär-Leukämie zur Standardisierung klinischer und Forschungspraxis.</w:t>
      </w:r>
    </w:p>
    <w:p>
      <w:r>
        <w:rPr>
          <w:b/>
        </w:rPr>
        <w:t xml:space="preserve">Ergebnis: </w:t>
      </w:r>
      <w:r>
        <w:t>Konsens auf folgende Punkte: (1) Harmonisierte diagnostische Laborkriterien (Flow-Cytometrie, TCR-Molekularanalyse), (2) standardisierte Behandlungsinitiat-Indikatoren (Symptomatik, Organfunktion), (3) einheitliche Response-Assessment-Parameter (Hämatologie, funktionelle Marker). Empfehlungen zur Differenzialdiagnose autoimmunärer Phänomene. Kriterien adressieren zentrale Heterogenität bisheriger Studien, um zukünftige Trials und Klinik zu vereinheitlichen.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 mit europäischen Zentren; Standards sind system-unabhängig, direkt übertragbar</w:t>
      </w:r>
    </w:p>
    <w:p>
      <w:r>
        <w:rPr>
          <w:color w:val="5A7D3A"/>
          <w:sz w:val="18"/>
        </w:rPr>
        <w:t>https://pubmed.ncbi.nlm.nih.gov/42640859/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Präzisions-Prävention und Früherkennung: Framework für neue Krebskontroll-Pfade</w:t>
      </w:r>
    </w:p>
    <w:p>
      <w:r>
        <w:rPr>
          <w:i/>
          <w:color w:val="666666"/>
          <w:sz w:val="18"/>
        </w:rPr>
        <w:t>Rebbeck TR  ·  Lancet  ·  18.09.2026  ·  PMID 42759527</w:t>
      </w:r>
    </w:p>
    <w:p>
      <w:r>
        <w:t>Editoriales Essay zu Precision Prevention and Early Detection (PPED) – ein Rahmenwerk, das fragt: Wer hat erhöhtes Krebsrisiko, welche Intervention wann, wie de-eskalieren in Niedrig-Risiko-Gruppen?</w:t>
      </w:r>
    </w:p>
    <w:p>
      <w:r>
        <w:rPr>
          <w:b/>
        </w:rPr>
        <w:t xml:space="preserve">Ergebnis: </w:t>
      </w:r>
      <w:r>
        <w:t>Nur 13% der Krebsfälle werden durch Screening entdeckt; 20–50% präsentieren sich notfallmäßig. PPED-Logik funktioniert bei erblichen Syndromen mit ausreichend angereichertem Risiko. Schlüssel: Gesundheitssystem-Infrastruktur und Arbeitskräfte für longitudinales Präventions-Planning; de-Eskalation in Niedrig-Risiko-Personen genauso wichtig wie Intensivierung in Hoch-Risiko. Größte Herausforderung der nächsten Dekade.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Weltweit anwendbare Prinzipien; deutsche Früherkennung und Zentrenstruktur ermöglichen Umsetzung.</w:t>
      </w:r>
    </w:p>
    <w:p>
      <w:r>
        <w:rPr>
          <w:color w:val="5A7D3A"/>
          <w:sz w:val="18"/>
        </w:rPr>
        <w:t>https://pubmed.ncbi.nlm.nih.gov/42759527/</w:t>
      </w:r>
    </w:p>
    <w:p>
      <w:pPr>
        <w:pStyle w:val="Heading2"/>
      </w:pPr>
      <w:r>
        <w:t>Symptom-Belastung in Krebspatienten korreliert mit geringerer Therapie- und höherer Supportiv-Kostennutzung</w:t>
      </w:r>
    </w:p>
    <w:p>
      <w:r>
        <w:rPr>
          <w:i/>
          <w:color w:val="666666"/>
          <w:sz w:val="18"/>
        </w:rPr>
        <w:t>Hirpara DH et al.  ·  J Clin Oncol  ·  18.09.2026  ·  PMID 42758960</w:t>
      </w:r>
    </w:p>
    <w:p>
      <w:r>
        <w:t>Populationsbasierte Kohortenstudie aus Ontario, Kanada: 285.924 Krebspatienten mit 1.728.025 ESAS-Assessments (Edmonton Symptom Assessment) zur Assoziation zwischen Patient-Reported Outcomes und Gesundheitskosten.</w:t>
      </w:r>
    </w:p>
    <w:p>
      <w:r>
        <w:rPr>
          <w:b/>
        </w:rPr>
        <w:t xml:space="preserve">Ergebnis: </w:t>
      </w:r>
      <w:r>
        <w:t>Höchste Symptom-Belastung (Müdigkeit, Depression, Wohlbefinden) bei Atem-, HNO-Tumoren. Jede 10-Punkte-Zunahme ESAS-Score: 9,4% weniger Krebs-Therapiekosten (sinkende Therapie-Nutzung), aber 18% mehr Supportiv-Care-Kosten (mehr ED-Besuche, Hauscare). GI/Mamma/ZNS teuerste Entitäten (85–78k CAD/30 Tage). Aktives Symptom-Management könnte Krebs-Therapien fördern und unnötige Supportiv-Kosten senken.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ähnliches Versicherungssystem wie Deutschland; Symptom-Management-Evidenz direkt relevant.</w:t>
      </w:r>
    </w:p>
    <w:p>
      <w:r>
        <w:rPr>
          <w:color w:val="5A7D3A"/>
          <w:sz w:val="18"/>
        </w:rPr>
        <w:t>https://pubmed.ncbi.nlm.nih.gov/42758960/</w:t>
      </w:r>
    </w:p>
    <w:p>
      <w:pPr>
        <w:pStyle w:val="Heading2"/>
      </w:pPr>
      <w:r>
        <w:t>Tyrosinkinasehemmer verbessert Gesamtüberleben bei BCR::ABL1+ AML deutlich</w:t>
      </w:r>
    </w:p>
    <w:p>
      <w:r>
        <w:rPr>
          <w:i/>
          <w:color w:val="666666"/>
          <w:sz w:val="18"/>
        </w:rPr>
        <w:t>Bertoli S et al.  ·  Blood  ·  18.09.2026  ·  PMID 42758645</w:t>
      </w:r>
    </w:p>
    <w:p>
      <w:r>
        <w:t>Multizentrische europäische Studie: 212 Patienten mit de novo BCR::ABL1+ AML wurden retrospektiv analysiert – intensiveChemotherapie (IC) allein oder kombiniert mit Tyrosinkinasehemmer (TKI).</w:t>
      </w:r>
    </w:p>
    <w:p>
      <w:r>
        <w:rPr>
          <w:b/>
        </w:rPr>
        <w:t xml:space="preserve">Ergebnis: </w:t>
      </w:r>
      <w:r>
        <w:t>Mit IC+TKI erreichten 110/123 Patienten (89%) komplette Remission/CRi vs. 52/77 (68%) mit IC allein (p&lt;0,0001). 5-Jahres-Gesamtüberleben: 62,9% (IC+TKI) vs. 38,5% (IC; p&lt;0,0001). Im multivariaten Modell: Odds Ratio für CR/CRi 4,74 (95%-KI 2,17–10,35), Hazard Ratio für Überleben 0,40 (0,27–0,62; p&lt;0,001). TKI-Zusatz ist unabhängiger prognostischer 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Französisch-deutsches Konsortium, europäische Versicherungssysteme, direkt übertragbar auf deutsche Kliniken.</w:t>
      </w:r>
    </w:p>
    <w:p>
      <w:r>
        <w:rPr>
          <w:color w:val="5A7D3A"/>
          <w:sz w:val="18"/>
        </w:rPr>
        <w:t>https://pubmed.ncbi.nlm.nih.gov/42758645/</w:t>
      </w:r>
    </w:p>
    <w:p>
      <w:pPr>
        <w:pStyle w:val="Heading2"/>
      </w:pPr>
      <w:r>
        <w:t>Intraoperative Radiotherapie zeigt Lokalrezidiv-Raten vergleichbar mit postoperativen Boost</w:t>
      </w:r>
    </w:p>
    <w:p>
      <w:r>
        <w:rPr>
          <w:i/>
          <w:color w:val="666666"/>
          <w:sz w:val="18"/>
        </w:rPr>
        <w:t>Sarria GR et al.  ·  Strahlenther Onkol  ·  17.09.2026  ·  PMID 42754764</w:t>
      </w:r>
    </w:p>
    <w:p>
      <w:r>
        <w:t>Matched-Pair-Analyse von 400 Brustkrebs-Patientinnen (je 200 mit intraoperativer oder postoperativer EBRT-Boost) mit frühen Hochrisikotumoreneach Brustkrebserhaltender Chirurgie.</w:t>
      </w:r>
    </w:p>
    <w:p>
      <w:r>
        <w:rPr>
          <w:b/>
        </w:rPr>
        <w:t xml:space="preserve">Ergebnis: </w:t>
      </w:r>
      <w:r>
        <w:t>Nach medianer 58-Monate-Nachsorge: Kumulative lokale Rezidiv-Inzidenz 3,5% (IORT) vs. 2,0% (EBRT); HR 1,80 (95%-KI 0,58–5,58; p=0,312, nicht signifikant). Keine Unterschiede bei Lymphknoten-, Fernmetastasen-freiem Überleben oder Gesamtüberleben (alle p&gt;0,6). IORT ist wirksame, gut verträgliche Alternative ohne Kompromisse im Langzeit-Onkologie.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Zentren, Versicherungssystem unabhängig, direkt übertragbar.</w:t>
      </w:r>
    </w:p>
    <w:p>
      <w:r>
        <w:rPr>
          <w:color w:val="5A7D3A"/>
          <w:sz w:val="18"/>
        </w:rPr>
        <w:t>https://pubmed.ncbi.nlm.nih.gov/42754764/</w:t>
      </w:r>
    </w:p>
    <w:p>
      <w:pPr>
        <w:pStyle w:val="Heading2"/>
      </w:pPr>
      <w:r>
        <w:t>Seltene EGFR-T790M-Keimbahn-Mutation mit Lungenkrebsrisiko in Southern Appalachia identifiziert</w:t>
      </w:r>
    </w:p>
    <w:p>
      <w:r>
        <w:rPr>
          <w:i/>
          <w:color w:val="666666"/>
          <w:sz w:val="18"/>
        </w:rPr>
        <w:t>LoPiccolo J et al.  ·  Science  ·  17.09.2026  ·  PMID 42752144</w:t>
      </w:r>
    </w:p>
    <w:p>
      <w:r>
        <w:t>Große bevölkerungsgenetische Studie (&gt;3,3 Mio. Personen) zur Assoziation der EGFR-T790M-Variante mit Lungenkrebsrisiko.</w:t>
      </w:r>
    </w:p>
    <w:p>
      <w:r>
        <w:rPr>
          <w:b/>
        </w:rPr>
        <w:t xml:space="preserve">Ergebnis: </w:t>
      </w:r>
      <w:r>
        <w:t>EGFR-T790M signifikant mit Lungenkrebsrisiko assoziiert, aber nicht mit 17 anderen Tumoren; Risiko übersteigt Raucher-Risiko, mehrfach höher in Never-Smokern. Geografisch/ancestral: höhere Prävalenz in USA (Southern-Appalachian-Founder-Event 200–225 Jahre ago, Herkunft britisch/irisch). Prävalenz regional deutlich erhöht, betrifft britische, irische und afrikanische Abstammung. Erkannte Hochrisiko-Träger ermöglichen gezielte genetische Tests und Screening-Strategien.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Transatlantische Studie, Angloamerika-Fokus; für Deutschland gering: regionale Appalachian-Founder-Effekt USA-spezifisch.</w:t>
      </w:r>
    </w:p>
    <w:p>
      <w:r>
        <w:rPr>
          <w:color w:val="5A7D3A"/>
          <w:sz w:val="18"/>
        </w:rPr>
        <w:t>https://pubmed.ncbi.nlm.nih.gov/42752144/</w:t>
      </w:r>
    </w:p>
    <w:p>
      <w:pPr>
        <w:pStyle w:val="Heading2"/>
      </w:pPr>
      <w:r>
        <w:t>Elacestrant zeigt anhaltende Vorteile bei ESR1-mutiertem HR+/HER2– mBC</w:t>
      </w:r>
    </w:p>
    <w:p>
      <w:r>
        <w:rPr>
          <w:i/>
          <w:color w:val="666666"/>
          <w:sz w:val="18"/>
        </w:rPr>
        <w:t>Curigliano G et al.  ·  ESMO Open  ·  14.09.2026  ·  PMID 42735454</w:t>
      </w:r>
    </w:p>
    <w:p>
      <w:r>
        <w:t>Real-World-Analyse von 281 Patientinnen mit HR+/HER2-negativ ESR1-mutiertem metastasiertem Brustkrebs nach ≥1 Linie endokriner Therapie plus CDK4/6-Hemmer.</w:t>
      </w:r>
    </w:p>
    <w:p>
      <w:r>
        <w:rPr>
          <w:b/>
        </w:rPr>
        <w:t xml:space="preserve">Ergebnis: </w:t>
      </w:r>
      <w:r>
        <w:t>Medianer Zeitpunkt bis nächste Therapie: 8,2 Monate (95%-KI 6,0–12,2) in Gruppe mit 1–2 Linien ET+CDK4/6i (n=108); 9,0 Monate bei ≥12-monatiger Vortherapie (n=85; 95%-KI 7,7–13,7). Mit nur 1 Vorlinientherapie: 12,2 Monate (95%-KI 9,0-nicht erreicht; n=31). Leber-/Lungenmets: 6,9 Monate; Gehirnmets: 7,4 Monate. Koexistente ESR1+PI3K-Mutation: 6,1 Monate. Durable Vorteile unterstützen Elacestrant als Erst-Option für endokrin-sensitive HR+ ESR1-mutierte Tumoren.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kanadische Zentren, vergleichbares Versicherungssystem, breiter anwendbar.</w:t>
      </w:r>
    </w:p>
    <w:p>
      <w:r>
        <w:rPr>
          <w:color w:val="5A7D3A"/>
          <w:sz w:val="18"/>
        </w:rPr>
        <w:t>https://pubmed.ncbi.nlm.nih.gov/42735454/</w:t>
      </w:r>
    </w:p>
    <w:p>
      <w:pPr>
        <w:pStyle w:val="Heading2"/>
      </w:pPr>
      <w:r>
        <w:t>Thymusbestrahlung bei NSCLC mit höherem Metastasen- und Todesrisiko assoziiert</w:t>
      </w:r>
    </w:p>
    <w:p>
      <w:r>
        <w:rPr>
          <w:i/>
          <w:color w:val="666666"/>
          <w:sz w:val="18"/>
        </w:rPr>
        <w:t>Prudente V et al.  ·  Ann Oncol  ·  25.08.2026  ·  PMID 42641684</w:t>
      </w:r>
    </w:p>
    <w:p>
      <w:r>
        <w:t>Multikohorten-Analyse von 1.107 NSCLC-Patienten (RTOG-0617 und zwei Real-World-Kohorten) zur Auswirkung akzidenteller Thymusbestrahlung auf Outcome.</w:t>
      </w:r>
    </w:p>
    <w:p>
      <w:r>
        <w:rPr>
          <w:b/>
        </w:rPr>
        <w:t xml:space="preserve">Ergebnis: </w:t>
      </w:r>
      <w:r>
        <w:t>Mittlere Thymusdosis (MTD) von 1 Gy assoziiert mit 1,57–4,21% erhöhtem Distanzmetastasen-Risiko (RTOG: aHR 1,29, p=0,0028; Harvard-CRT: aHR 1,33, p=0,011; Harvard-Durva: aHR 1,95, p=0,007). Patienten mit erhaltenem Thymus vorher besonders gefährdet. Nach 1 Jahr: Dosis-abhängiger Thymusfunktions-Verlust und niedrigere Lymphozytenzahlen. Neuplanuung-Machbarkeitsstudie zeigte thymussparing möglich ohne Tumorüberdeckungs-Verlust.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biologischer Mechanismus universal; deutsche Zentren können Planung adaptieren.</w:t>
      </w:r>
    </w:p>
    <w:p>
      <w:r>
        <w:rPr>
          <w:color w:val="5A7D3A"/>
          <w:sz w:val="18"/>
        </w:rPr>
        <w:t>https://pubmed.ncbi.nlm.nih.gov/42641684/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Perfluorheptansäure (PFHpA) erhöht Leberkrebsrisiko: Fallkontrollstudie</w:t>
      </w:r>
    </w:p>
    <w:p>
      <w:r>
        <w:rPr>
          <w:i/>
          <w:color w:val="666666"/>
          <w:sz w:val="18"/>
        </w:rPr>
        <w:t>Watling CZ et al.  ·  J Natl Cancer Inst  ·  17.09.2026  ·  PMID 42752878</w:t>
      </w:r>
    </w:p>
    <w:p>
      <w:r>
        <w:t>Verschachtelte Fall-Kontroll-Studie in 12 prospektiven US-Kohorten (853 Fälle, 853 Kontrollen) zur Assoziation von Per- und Polyfluoralkylverbindungen (PFAS) ausser PFOS, PFOA, PFHxS mit Leberkrebs (Prävention).</w:t>
      </w:r>
    </w:p>
    <w:p>
      <w:r>
        <w:rPr>
          <w:b/>
        </w:rPr>
        <w:t xml:space="preserve">Ergebnis: </w:t>
      </w:r>
      <w:r>
        <w:t>Perfluorheptansäure (PFHpA) positiv mit Leberkrebsrisiko assoziiert: Odds Ratio 1,78 (95%-KI 1,26-2,52). Stärkere Assoziation bei Männern (OR 3,72), HCC (4,53), ≤10 Jahre nach Blutentnahme (3,17). Andere PFAS ohne Assoziation.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USA-Bevölkerungsdaten; Kurzkettige-PFAS persistieren auch in Europrodukten.</w:t>
      </w:r>
    </w:p>
    <w:p>
      <w:r>
        <w:rPr>
          <w:color w:val="5A7D3A"/>
          <w:sz w:val="18"/>
        </w:rPr>
        <w:t>https://pubmed.ncbi.nlm.nih.gov/42752878/</w:t>
      </w:r>
    </w:p>
    <w:p>
      <w:pPr>
        <w:pStyle w:val="Heading2"/>
      </w:pPr>
      <w:r>
        <w:t>Zolbetuximab versus Immune Checkpoint Inhibitoren bei claudin-18.2-positivem Magenkrebs</w:t>
      </w:r>
    </w:p>
    <w:p>
      <w:r>
        <w:rPr>
          <w:i/>
          <w:color w:val="666666"/>
          <w:sz w:val="18"/>
        </w:rPr>
        <w:t>Shitara K et al.  ·  ESMO Open  ·  16.09.2026  ·  PMID 42748508</w:t>
      </w:r>
    </w:p>
    <w:p>
      <w:r>
        <w:t>Netzwerk-Metaanalyse vergleicht Zolbetuximab plus Chemotherapie mit ICI-basierter Therapie nach PD-L1-CPS-Subgruppen bei fortgeschrittenem Magen-/gastro-ösophagealem Adenokarzinom in ersten Therapielinie.</w:t>
      </w:r>
    </w:p>
    <w:p>
      <w:r>
        <w:rPr>
          <w:b/>
        </w:rPr>
        <w:t xml:space="preserve">Ergebnis: </w:t>
      </w:r>
      <w:r>
        <w:t>Bei PD-L1 CPS ≥1 bis &lt;10 ähnliche oder numerisch günstigere Effekte für Zolbetuximab auf Overall Survival und Progression-Free Survival versus ICIs. Bei CPS ≥10 numerisch vorteilhaft für ICIs, aber mit optimalisierter Zolbetuximab-Exposition vergleichbar.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Indirekte Vergleiche; biomarker-informierter Ansatz unterstützt, Bestätigung durch prospektive Studien erforderlich.</w:t>
      </w:r>
    </w:p>
    <w:p>
      <w:r>
        <w:rPr>
          <w:color w:val="5A7D3A"/>
          <w:sz w:val="18"/>
        </w:rPr>
        <w:t>https://pubmed.ncbi.nlm.nih.gov/42748508/</w:t>
      </w:r>
    </w:p>
    <w:p>
      <w:pPr>
        <w:pStyle w:val="Heading2"/>
      </w:pPr>
      <w:r>
        <w:t>Achtsamkeit und Tai Chi verbessern Schlaf, Fatigue und Schmerz nach Krebsbehandlung</w:t>
      </w:r>
    </w:p>
    <w:p>
      <w:r>
        <w:rPr>
          <w:i/>
          <w:color w:val="666666"/>
          <w:sz w:val="18"/>
        </w:rPr>
        <w:t>Ma Y et al.  ·  J Clin Oncol  ·  16.09.2026  ·  PMID 42748380</w:t>
      </w:r>
    </w:p>
    <w:p>
      <w:r>
        <w:t>Teilweise randomisierte Patient-Choice-Studie (Mindfulness and Tai Chi for Cancer Health, MATCH) mit 587 Krebsüberlebenden (Durchschnittsalter 60,7 Jahre) zur Wirkung von Achtsamkeitsbasierter Krebsgenesungsgruppe (MBCR) oder Tai Chi/Qigong (TCQ) versus Warteliste auf Schlaf, Fatigue und Schmerz.</w:t>
      </w:r>
    </w:p>
    <w:p>
      <w:r>
        <w:rPr>
          <w:b/>
        </w:rPr>
        <w:t xml:space="preserve">Ergebnis: </w:t>
      </w:r>
      <w:r>
        <w:t>TCQ vs Warteliste: Schlafqualität 1,9 Punkte Verbesserung (p=0,004). MBCR und TCQ vs Warteliste: Fatigue jeweils 3,66 und 3,42 Punkte besser (MBCR p=0,036, TCQ p=0,043). Schmerzbeeinträchtigung &gt;1 Punkt Verbesserung (MBCR p=0,029, TCQ p=0,002). MBCR und TCQ unterschieden sich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Kanadisch-amerikanische Studie; psychosoziale Nachsorge übertragbar auf deutsche Zentren.</w:t>
      </w:r>
    </w:p>
    <w:p>
      <w:r>
        <w:rPr>
          <w:color w:val="5A7D3A"/>
          <w:sz w:val="18"/>
        </w:rPr>
        <w:t>https://pubmed.ncbi.nlm.nih.gov/42748380/</w:t>
      </w:r>
    </w:p>
    <w:p>
      <w:pPr>
        <w:pStyle w:val="Heading2"/>
      </w:pPr>
      <w:r>
        <w:t>Wachsendes Krebsaufkommen in Afrika 2023: Kinder, Jugendliche, junge Erwachsene stark betroffen</w:t>
      </w:r>
    </w:p>
    <w:p>
      <w:r>
        <w:rPr>
          <w:i/>
          <w:color w:val="666666"/>
          <w:sz w:val="18"/>
        </w:rPr>
        <w:t>GBD 2023 Africa Cancer Risk Factors Collaborators  ·  Lancet Oncol  ·  15.09.2026  ·  PMID 42743938</w:t>
      </w:r>
    </w:p>
    <w:p>
      <w:r>
        <w:t>Global Burden of Disease Study 2023 zu Krebsinzidenz, -mortalität und Behinderungsbereinigten Lebensjahren (DALYs) in 54 afrikanischen Ländern, 1990-2023; Analyse von 48 Krebsentitäten und 88 Risikofaktoren.</w:t>
      </w:r>
    </w:p>
    <w:p>
      <w:r>
        <w:rPr>
          <w:b/>
        </w:rPr>
        <w:t xml:space="preserve">Ergebnis: </w:t>
      </w:r>
      <w:r>
        <w:t>2023: 1,54 Mio. neue Fälle (95%-UI 1,37-1,75), 923 000 Todesfälle (824 000-1 020 000), 33,9 Mio. DALYs in Afrika. Kinder 0-19 Jahre: 104 000 Fälle (27,7% global), 38,0% globaler Todesfälle. 31,6% DALYs attributiv modifiable Risikofaktoren.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Bevölkerungsdaten aus 54 Ländern, primär für Gesundheitspolitik und Ressourcenplanung in Afrika relevant.</w:t>
      </w:r>
    </w:p>
    <w:p>
      <w:r>
        <w:rPr>
          <w:color w:val="5A7D3A"/>
          <w:sz w:val="18"/>
        </w:rPr>
        <w:t>https://pubmed.ncbi.nlm.nih.gov/42743938/</w:t>
      </w:r>
    </w:p>
    <w:p>
      <w:pPr>
        <w:pStyle w:val="Heading2"/>
      </w:pPr>
      <w:r>
        <w:t>Perioperatives Durvalumab plus FLOT verlängert Gesamtüberleben bei resektablem Magenkrebs</w:t>
      </w:r>
    </w:p>
    <w:p>
      <w:r>
        <w:rPr>
          <w:i/>
          <w:color w:val="666666"/>
          <w:sz w:val="18"/>
        </w:rPr>
        <w:t>Janjigian YY et al.  ·  Lancet  ·  19.09.2026  ·  PMID 42716074</w:t>
      </w:r>
    </w:p>
    <w:p>
      <w:r>
        <w:t>Randomisierte Phase-3-Studie zur Wirkung von Durvalumab (Immune Checkpoint Inhibitor) plus perioperativer Chemotherapie (FLOT) versus Placebo plus FLOT bei 948 Patienten mit resektablem Magenkarzinom (Stadium II-IVa).</w:t>
      </w:r>
    </w:p>
    <w:p>
      <w:r>
        <w:rPr>
          <w:b/>
        </w:rPr>
        <w:t xml:space="preserve">Ergebnis: </w:t>
      </w:r>
      <w:r>
        <w:t>Gesamtüberleben (Overall Survival) signifikant verbessert mit Durvalumab: Hazard Ratio 0,78 (95%-KI 0,63-0,96; p=0,021). Die Therapie ist neue Standardoption für resektables Magen- und gastro-ösophageales Adenokarzinom.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 in 147 Zentren, vergleichbare Studiendesign wie in deutschem System relevant.</w:t>
      </w:r>
    </w:p>
    <w:p>
      <w:r>
        <w:rPr>
          <w:color w:val="5A7D3A"/>
          <w:sz w:val="18"/>
        </w:rPr>
        <w:t>https://pubmed.ncbi.nlm.nih.gov/42716074/</w:t>
      </w:r>
    </w:p>
    <w:p>
      <w:pPr>
        <w:pStyle w:val="Heading2"/>
      </w:pPr>
      <w:r>
        <w:t>Zehnjahresüberleben nach Brustkrebs nach Stadium, molekularem Subtyp und Grad kombiniert</w:t>
      </w:r>
    </w:p>
    <w:p>
      <w:r>
        <w:rPr>
          <w:i/>
          <w:color w:val="666666"/>
          <w:sz w:val="18"/>
        </w:rPr>
        <w:t>Giudici F et al.  ·  Oncologist  ·  09.09.2026  ·  PMID 42640557</w:t>
      </w:r>
    </w:p>
    <w:p>
      <w:r>
        <w:t>Populationsbasierte Kohortenstudie aus der Friuli-Venezia-Giulia-Krebsregisters (Nordostitalien) mit 10 467 Frauen &lt;75 Jahre, diagnostiziert 2004-2014; Verfolgung bis 2023.</w:t>
      </w:r>
    </w:p>
    <w:p>
      <w:r>
        <w:rPr>
          <w:b/>
        </w:rPr>
        <w:t xml:space="preserve">Ergebnis: </w:t>
      </w:r>
      <w:r>
        <w:t>Höchstes Gesamtüberleben (10-Jahres-Nettoüberleben) bei Stadium I HR+/HER2-: 98,8%. Tiefste bei Stadium III Triple-Negativ: 35,1%. Stadium IV Triple-Negativ: 6,7% vs HR-/HER2+: 18,9%. Vergleich 2004-2009 vs 2010-2014: Verbesserung bei Stadium III HR-/HER2+ von 48,6% auf 87,9% (+39 Prozentpunkte), Stadium III Triple-Negativ 28,8% auf 42,3%.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Italienisches (europäisches) Krebsregister, vergleichbar mit deutschem System und Dokumentation.</w:t>
      </w:r>
    </w:p>
    <w:p>
      <w:r>
        <w:rPr>
          <w:color w:val="5A7D3A"/>
          <w:sz w:val="18"/>
        </w:rPr>
        <w:t>https://pubmed.ncbi.nlm.nih.gov/42640557/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eHealth-Intervention (CUMACA-M) stabilisiert Lebensqualität von Brustkrebsüberlebenden über 9 Monate</w:t>
      </w:r>
    </w:p>
    <w:p>
      <w:r>
        <w:rPr>
          <w:i/>
          <w:color w:val="666666"/>
          <w:sz w:val="18"/>
        </w:rPr>
        <w:t>J Natl Cancer Inst  ·  2026  ·  PMID djag328</w:t>
      </w:r>
    </w:p>
    <w:p>
      <w:r>
        <w:t>Spanische randomisierte Kontrollstudie mit 201 krankheitsfreien Brustkrebsüberlebenden (≥5 Jahre nach Diagnose), 9-Monate-eHealth-Intervention vs. Standardcare.</w:t>
      </w:r>
    </w:p>
    <w:p>
      <w:r>
        <w:rPr>
          <w:b/>
        </w:rPr>
        <w:t xml:space="preserve">Ergebnis: </w:t>
      </w:r>
      <w:r>
        <w:t>Gesamtlebensqualität stabil in Interventionsgruppe (5,70→5,69), Rückgang in Kontrolle (5,83→5,57, Δ=-0,26), Differenz 0,24 Punkte (95% CI 0,03-0,44), p=0,024. Psychisches Wohlbefinden Cohen d=0,40, physisches d=0,28.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System (Spanien/öffentliche Versicherung), digitale Nachsorgeintervention für Flächeimplementierung geeignet.</w:t>
      </w:r>
    </w:p>
    <w:p>
      <w:r>
        <w:rPr>
          <w:color w:val="5A7D3A"/>
          <w:sz w:val="18"/>
        </w:rPr>
        <w:t>https://pubmed.ncbi.nlm.nih.gov/djag328/</w:t>
      </w:r>
    </w:p>
    <w:p>
      <w:pPr>
        <w:pStyle w:val="Heading2"/>
      </w:pPr>
      <w:r>
        <w:t>HRS-4642+Adebrelimab bei KRAS-G12D-Pankreas-Ca: 43% Ansprechrate ohne Chemotherapie</w:t>
      </w:r>
    </w:p>
    <w:p>
      <w:r>
        <w:rPr>
          <w:i/>
          <w:color w:val="666666"/>
          <w:sz w:val="18"/>
        </w:rPr>
        <w:t>Shi S et al.  ·  Cancer Cell  ·  16.09.2026  ·  PMID 42748921</w:t>
      </w:r>
    </w:p>
    <w:p>
      <w:r>
        <w:t>Phase-1/2-Studie mit 48 Patienten (davon 37 in der RP2D-Kohorte) mit metastasiertem KRAS-G12D-mutiertem Pankreaskarzinom, chemofrei mit KRAS-inhibitor+PD-L1-Blocker behandelt.</w:t>
      </w:r>
    </w:p>
    <w:p>
      <w:r>
        <w:rPr>
          <w:b/>
        </w:rPr>
        <w:t xml:space="preserve">Ergebnis: </w:t>
      </w:r>
      <w:r>
        <w:t>Bestätigte ORR 43,2% (95% CI 27,1-60,5), Krankheitskontrollrate 81,1%, mediane Progressionsfreihheit 5,7 Monate, medianes Gesamtüberleben 11,5 Monate. Häufigste Nebenwirkungen: Hypercholesterinämie und Anämie je 50%.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KRAS-Inhibitor nicht europäisch zugelassen, Sicherheitsdaten übertragbar.</w:t>
      </w:r>
    </w:p>
    <w:p>
      <w:r>
        <w:rPr>
          <w:color w:val="5A7D3A"/>
          <w:sz w:val="18"/>
        </w:rPr>
        <w:t>https://pubmed.ncbi.nlm.nih.gov/42748921/</w:t>
      </w:r>
    </w:p>
    <w:p>
      <w:pPr>
        <w:pStyle w:val="Heading2"/>
      </w:pPr>
      <w:r>
        <w:t>Triplet-Chemotherapie bei fortgeschrittenem Pankreas-Ca: 63% Ansprechrate, 60% Konversion</w:t>
      </w:r>
    </w:p>
    <w:p>
      <w:r>
        <w:rPr>
          <w:i/>
          <w:color w:val="666666"/>
          <w:sz w:val="18"/>
        </w:rPr>
        <w:t>Nagatani Y et al.  ·  Eur J Cancer  ·  10.09.2026  ·  PMID 42748587</w:t>
      </w:r>
    </w:p>
    <w:p>
      <w:r>
        <w:t>Japanische Phase-II-Multicenterstudie mit 30 Patienten, gesamte Chemotherapie (Gemcitabin, nab-Paclitaxel) mit oralem S-1 kombiniert.</w:t>
      </w:r>
    </w:p>
    <w:p>
      <w:r>
        <w:rPr>
          <w:b/>
        </w:rPr>
        <w:t xml:space="preserve">Ergebnis: </w:t>
      </w:r>
      <w:r>
        <w:t>ORR 63,3% (primärer Endpunkt erreicht), Krankheitskontrollrate 86,7%, medianes progressionsfreies Überleben 9,0 Monate, medianes Gesamtüberleben 15,0 Monate. 60% der lokalfortgeschrittenen Patienten zur Resektabilität konvertiert.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Daten, S-1 in Deutschland verfügbar, Triplet potenziell praxisrelevant.</w:t>
      </w:r>
    </w:p>
    <w:p>
      <w:r>
        <w:rPr>
          <w:color w:val="5A7D3A"/>
          <w:sz w:val="18"/>
        </w:rPr>
        <w:t>https://pubmed.ncbi.nlm.nih.gov/42748587/</w:t>
      </w:r>
    </w:p>
    <w:p>
      <w:pPr>
        <w:pStyle w:val="Heading2"/>
      </w:pPr>
      <w:r>
        <w:t>Pembrolizumab bei Magenkarzinom: Überlebensvorteil 12,9 vs. 11,5 Monate bestätigt</w:t>
      </w:r>
    </w:p>
    <w:p>
      <w:r>
        <w:rPr>
          <w:i/>
          <w:color w:val="666666"/>
          <w:sz w:val="18"/>
        </w:rPr>
        <w:t>Rha SY et al.  ·  ESMO Open  ·  16.09.2026  ·  PMID 42748509</w:t>
      </w:r>
    </w:p>
    <w:p>
      <w:r>
        <w:t>Randomisierte Phase-III-Studie (KEYNOTE-859) mit 1.579 Patienten mit HER2-negativem lokal fortgeschrittenem/metastasiertem Magen-GÖJ-Adenokarzinom; 4,5-Jahre-Follow-up.</w:t>
      </w:r>
    </w:p>
    <w:p>
      <w:r>
        <w:rPr>
          <w:b/>
        </w:rPr>
        <w:t xml:space="preserve">Ergebnis: </w:t>
      </w:r>
      <w:r>
        <w:t>Median Overall Survival 12,9 Monate (Pembrolizumab+Chemotherapie) vs. 11,5 Monate (Placebo+Chemotherapie), Hazard Ratio 0,78 (95% CI 0,70-0,86). Grade-3/4-Nebenwirkungen 58,3% vs. 49,3%.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europäische und asiatische Zentren, vergleichbare Versorgung.</w:t>
      </w:r>
    </w:p>
    <w:p>
      <w:r>
        <w:rPr>
          <w:color w:val="5A7D3A"/>
          <w:sz w:val="18"/>
        </w:rPr>
        <w:t>https://pubmed.ncbi.nlm.nih.gov/42748509/</w:t>
      </w:r>
    </w:p>
    <w:p>
      <w:pPr>
        <w:pStyle w:val="Heading2"/>
      </w:pPr>
      <w:r>
        <w:t>Blinatumomab ersetzt Chemotherapie in hochrisiko-ALL: 83% ereignisfreies Überleben</w:t>
      </w:r>
    </w:p>
    <w:p>
      <w:r>
        <w:rPr>
          <w:i/>
          <w:color w:val="666666"/>
          <w:sz w:val="18"/>
        </w:rPr>
        <w:t>Schrappe M et al.  ·  N Engl J Med  ·  17.09.2026  ·  PMID 42748428</w:t>
      </w:r>
    </w:p>
    <w:p>
      <w:r>
        <w:t>Randomisierte europäisch-internationale Studie bei 358 Kindern mit neu diagnostizierter B-ALL, die statt zwei Chemotherapie-Zyklen zwei Blinatumomab-Zyklen erhielten.</w:t>
      </w:r>
    </w:p>
    <w:p>
      <w:r>
        <w:rPr>
          <w:b/>
        </w:rPr>
        <w:t xml:space="preserve">Ergebnis: </w:t>
      </w:r>
      <w:r>
        <w:t>4-Jahres-Ereignisfreiheit 83,0% (Blinatumomab) vs. 70,3% (Kontrolle), Hazard Ratio 0,51, p=0,0002. Behandlungsbedingte Infektionen: 23,9% vs. 69,4%, lebensbedrohliche Ereignisse 0,5% vs. 4,7%.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Deutsches/österreichisches Zentrumsprotokoll (BFM-ALL 2017), direkte Übertragung möglich.</w:t>
      </w:r>
    </w:p>
    <w:p>
      <w:r>
        <w:rPr>
          <w:color w:val="5A7D3A"/>
          <w:sz w:val="18"/>
        </w:rPr>
        <w:t>https://pubmed.ncbi.nlm.nih.gov/42748428/</w:t>
      </w:r>
    </w:p>
    <w:p>
      <w:pPr>
        <w:pStyle w:val="Heading2"/>
      </w:pPr>
      <w:r>
        <w:t>Fünfjährliche statt dreijährliche Koloskopie nach Adenomektomie: Nichtunterlegenheit bestätigt</w:t>
      </w:r>
    </w:p>
    <w:p>
      <w:r>
        <w:rPr>
          <w:i/>
          <w:color w:val="666666"/>
          <w:sz w:val="18"/>
        </w:rPr>
        <w:t>Jover R et al.  ·  N Engl J Med  ·  17.09.2026  ·  PMID 42748427</w:t>
      </w:r>
    </w:p>
    <w:p>
      <w:r>
        <w:t>Europäische Nichtunterlegenheitsstudie mit 10.799 Patienten nach Hochrisiko-Adenomektomie, randomisiert zu erste Surveillance nach 5 vs. 3 Jahren.</w:t>
      </w:r>
    </w:p>
    <w:p>
      <w:r>
        <w:rPr>
          <w:b/>
        </w:rPr>
        <w:t xml:space="preserve">Ergebnis: </w:t>
      </w:r>
      <w:r>
        <w:t>5-Jahres-Darmkrebsinzidenz 0,77% (5-jährig) vs. 0,82% (3-jährig), Nichtunterlegenheitsgrenze erreicht. Krebstodesfälle: 0,06% vs. 0,04%.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Studiendesign (Spanien, Norwegen, Polen, Dänemark), Nachsorgeleitlinien unmittelbar anwendbar.</w:t>
      </w:r>
    </w:p>
    <w:p>
      <w:r>
        <w:rPr>
          <w:color w:val="5A7D3A"/>
          <w:sz w:val="18"/>
        </w:rPr>
        <w:t>https://pubmed.ncbi.nlm.nih.gov/42748427/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Waldbrand-Feinstaub verstärkt Sterblichkeit von Lungenkrebspatienten um 78 % pro μg/m³</w:t>
      </w:r>
    </w:p>
    <w:p>
      <w:r>
        <w:rPr>
          <w:i/>
          <w:color w:val="666666"/>
          <w:sz w:val="18"/>
        </w:rPr>
        <w:t>Zhang M et al.  ·  Lancet Oncol  ·  15.09.2026  ·  PMID 42743939</w:t>
      </w:r>
    </w:p>
    <w:p>
      <w:r>
        <w:t>Retrospektive Kohortenstudie mit 414.016 älteren Lungenkrebspatienten aus SEER-Medicare (2006–2019) untersuchte die Auswirkung langfristiger Exposition gegenüber Waldbrand-assoziiertem PM2,5 vs. Nicht-Waldbrand-PM2,5 auf Overall Survival.</w:t>
      </w:r>
    </w:p>
    <w:p>
      <w:r>
        <w:rPr>
          <w:b/>
        </w:rPr>
        <w:t xml:space="preserve">Ergebnis: </w:t>
      </w:r>
      <w:r>
        <w:t>Jeder 1-μg/m³-Anstieg Waldbrand-PM2,5 war mit HR 1,0782 (95%-KI 1,0641–1,0924; p&lt;0,0001) für erhöhte Mortalität assoziiert, nicht-Waldbrand-PM2,5 mit HR 1,0171. Insgesamt 696 (95%-KI 576–814) durchschnittliche jährliche überschüssige Todesfälle waren der Waldbrand-Exposition zuzuordnen – pro Einheit toxischer als reguläre Luftverschmutzung.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USA/SEER-Daten: Nur Sicherheitsbefund übertragbar, Feinstaub-Exposition in Deutschland gering</w:t>
      </w:r>
    </w:p>
    <w:p>
      <w:r>
        <w:rPr>
          <w:color w:val="5A7D3A"/>
          <w:sz w:val="18"/>
        </w:rPr>
        <w:t>https://pubmed.ncbi.nlm.nih.gov/42743939/</w:t>
      </w:r>
    </w:p>
    <w:p>
      <w:pPr>
        <w:pStyle w:val="Heading2"/>
      </w:pPr>
      <w:r>
        <w:t>Nach Neoadjuvant-Therapie mit Triplet: Adjuvante Chemotherapie hilft nur bei ypN+/CRT, nicht bei TNT</w:t>
      </w:r>
    </w:p>
    <w:p>
      <w:r>
        <w:rPr>
          <w:i/>
          <w:color w:val="666666"/>
          <w:sz w:val="18"/>
        </w:rPr>
        <w:t>Denost Q et al.  ·  Eur J Cancer  ·  11.09.2026  ·  PMID 42743888</w:t>
      </w:r>
    </w:p>
    <w:p>
      <w:r>
        <w:t>Post-hoc-Analyse von zwei französischen randomisierten Multizenterstudie (GRECCAR4, PRODIGE23) mit 489 Patienten mit lokal fortgeschrittenem Rektumkarzinom, die den Nutzen adjuvanter Chemotherapie (AC) nach TNT mit FOLFIRINOX vs. CRT bewertete.</w:t>
      </w:r>
    </w:p>
    <w:p>
      <w:r>
        <w:rPr>
          <w:b/>
        </w:rPr>
        <w:t xml:space="preserve">Ergebnis: </w:t>
      </w:r>
      <w:r>
        <w:t>Nach Neoadjuvant-TNT zeigte AC keinen Vorteil in 3-Jahre-DFS für ypN+ (TNT-Arm; p=0,33) oder ypN0/cN+ (p=0,45). Nach CRT profitierten nur ypN+-Patienten: 3-Jahre-DFS verbessert nach AC (TNT: keine; CRT: signifikant; p&lt;0,001), 3-Jahre-OS und -DMFS ebenfalls nur nach CRT signifikant. Diese Daten unterstützen Therapie-Deeskalation in der TNT-Ära.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Deutschland/Frankreich: Europäische High-Volume-Zentren, deutsches Versicherungssystem vergleichbar</w:t>
      </w:r>
    </w:p>
    <w:p>
      <w:r>
        <w:rPr>
          <w:color w:val="5A7D3A"/>
          <w:sz w:val="18"/>
        </w:rPr>
        <w:t>https://pubmed.ncbi.nlm.nih.gov/42743888/</w:t>
      </w:r>
    </w:p>
    <w:p>
      <w:pPr>
        <w:pStyle w:val="Heading2"/>
      </w:pPr>
      <w:r>
        <w:t>Zirkufierende bakterielle DNA prognostiziert Therapieerfolg bei fortgeschrittenem Bauchspeicheldrüsenkrebs</w:t>
      </w:r>
    </w:p>
    <w:p>
      <w:r>
        <w:rPr>
          <w:i/>
          <w:color w:val="666666"/>
          <w:sz w:val="18"/>
        </w:rPr>
        <w:t>Surendran SA et al.  ·  Eur J Cancer  ·  10.09.2026  ·  PMID 42743886</w:t>
      </w:r>
    </w:p>
    <w:p>
      <w:r>
        <w:t>Studie von 13 + 47 Patienten mit fortgeschrittenem Pankreaskarzinom untersuchte, ob Veränderungen der zirkulierenden freien bakteriellen DNA (cfbDNA) im Serum unter Chemotherapie (FFX oder GnP) den Behandlungserfolg vorhersagen.</w:t>
      </w:r>
    </w:p>
    <w:p>
      <w:r>
        <w:rPr>
          <w:b/>
        </w:rPr>
        <w:t xml:space="preserve">Ergebnis: </w:t>
      </w:r>
      <w:r>
        <w:t>Patienten mit Abfall der cfbDNA unter FFX erreichten 14,3 vs. 2,9 Monate PFS (p&lt;0,001) und 23,2 vs. 8,4 Monate OS (p=0,006). Ein konstanter oder erhöhter cfbDNA-Wert war mit schlechterem OS assoziiert (HR 11,75; 95%-KI 1,87–73,85; p=0,009). Diese Marker-dynamik war aber regimen-abhängig: Bei GnP zeigte der cfbDNA-Rückgang gegenteilige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Deutschland/Österreich: Europäische Krankenhauskohorten mit vergleichbarer Dokumentation</w:t>
      </w:r>
    </w:p>
    <w:p>
      <w:r>
        <w:rPr>
          <w:color w:val="5A7D3A"/>
          <w:sz w:val="18"/>
        </w:rPr>
        <w:t>https://pubmed.ncbi.nlm.nih.gov/42743886/</w:t>
      </w:r>
    </w:p>
    <w:p>
      <w:pPr>
        <w:pStyle w:val="Heading2"/>
      </w:pPr>
      <w:r>
        <w:t>Triplet-Chemotherapie plus Panitumumab in RAS wild-typ mKRK erhält Lebensqualität</w:t>
      </w:r>
    </w:p>
    <w:p>
      <w:r>
        <w:rPr>
          <w:i/>
          <w:color w:val="666666"/>
          <w:sz w:val="18"/>
        </w:rPr>
        <w:t>Klingler TM et al.  ·  Eur J Cancer  ·  11.09.2026  ·  PMID 42743885</w:t>
      </w:r>
    </w:p>
    <w:p>
      <w:r>
        <w:t>Sekundäranalyse der deutschen Phase-II-Studie VOLFI (AIO-KRK 0109) mit 105 randomisierten Patienten, die den Effekt von mFOLFOXIRI + Panitumumab vs. FOLFOXIRI auf Lebensqualität (EORTC QLQ-C30) untersuchte.</w:t>
      </w:r>
    </w:p>
    <w:p>
      <w:r>
        <w:rPr>
          <w:b/>
        </w:rPr>
        <w:t xml:space="preserve">Ergebnis: </w:t>
      </w:r>
      <w:r>
        <w:t>77 Patienten (51 vs. 26) führten ≥1 Lebensqualitäts-Fragebogen aus. Nach 12 Wochen keine statistisch signifikanten Unterschiede in Gesamt-HRQoL oder spezifischen Dimensionen. Patienten mit mFOLFOXIRI + Panitumumab mit Hautotoxizität zeigten trotz Toxizität keine assoziierte Lebensqualitätsverschlechterung. mFOLFOXIRI + Panitumumab war nicht mit schlechterer HRQoL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Alle Zentren Charité und LMU München – direkt übertragbar</w:t>
      </w:r>
    </w:p>
    <w:p>
      <w:r>
        <w:rPr>
          <w:color w:val="5A7D3A"/>
          <w:sz w:val="18"/>
        </w:rPr>
        <w:t>https://pubmed.ncbi.nlm.nih.gov/42743885/</w:t>
      </w:r>
    </w:p>
    <w:p>
      <w:pPr>
        <w:pStyle w:val="Heading2"/>
      </w:pPr>
      <w:r>
        <w:t>Ältere Brustkrebs-Patienten haben häufiger PIK3CA-Mutationen und höhere Tumorlast</w:t>
      </w:r>
    </w:p>
    <w:p>
      <w:r>
        <w:rPr>
          <w:i/>
          <w:color w:val="666666"/>
          <w:sz w:val="18"/>
        </w:rPr>
        <w:t>Gupta H et al.  ·  ESMO Open  ·  14.09.2026  ·  PMID 42735455</w:t>
      </w:r>
    </w:p>
    <w:p>
      <w:r>
        <w:t>Studie von 2.379 Patienten mit metastasiertem Brustkrebs (853 jung, 1.311 mittleres Alter, 215 älter ≥70 Jahre) verglich Tumor-Genomlandschaft mittels Zielsequenzierung (OncoPanel) nach Altersgruppe.</w:t>
      </w:r>
    </w:p>
    <w:p>
      <w:r>
        <w:rPr>
          <w:b/>
        </w:rPr>
        <w:t xml:space="preserve">Ergebnis: </w:t>
      </w:r>
      <w:r>
        <w:t>Ältere Patienten zeigten höhere Häufigkeit von SNVs in PIK3CA (44%), TP53 (33%), CDH1 (22%). Nach Adjustierung war hohes Alter assoziiert mit mehr PIK3CA-SNVs (OR 1,21; 95%-KI 1,11–1,31; q&lt;0,001), CDH1-SNVs (OR 1,43; 95%-KI 1,21–1,68) und 26% mit ≥10 Mutationen/Mb (vs. 17% bei Jüngsten). Diese Unterschiede waren unabhängig von Tumorsubtyp.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USA-Klinik: Vergleichbare Versicherungssysteme bei Umsetzung, genomische Testung in Deutschland ebenfalls Standard</w:t>
      </w:r>
    </w:p>
    <w:p>
      <w:r>
        <w:rPr>
          <w:color w:val="5A7D3A"/>
          <w:sz w:val="18"/>
        </w:rPr>
        <w:t>https://pubmed.ncbi.nlm.nih.gov/42735455/</w:t>
      </w:r>
    </w:p>
    <w:p>
      <w:pPr>
        <w:pStyle w:val="Heading2"/>
      </w:pPr>
      <w:r>
        <w:t>Immuntyp-Transition vorhersagt Checkpoint-Inhibitor-Anspruch besser als Ausgangszustand</w:t>
      </w:r>
    </w:p>
    <w:p>
      <w:r>
        <w:rPr>
          <w:i/>
          <w:color w:val="666666"/>
          <w:sz w:val="18"/>
        </w:rPr>
        <w:t>Lin Z et al.  ·  Cancer Cell  ·  14.09.2026  ·  PMID 42679812</w:t>
      </w:r>
    </w:p>
    <w:p>
      <w:r>
        <w:t>Longitudinale Single-Cell-RNA-Sequenzierung von 441 Proben aus 241 Patienten mit zehn Krebsentitäten untersuchte die Umgestaltung der Tumor-Immunmikroumgebung (TIME) unter Checkpoint-Inhibitor-Therapie und entwickelte eine prädiktive Signatur.</w:t>
      </w:r>
    </w:p>
    <w:p>
      <w:r>
        <w:rPr>
          <w:b/>
        </w:rPr>
        <w:t xml:space="preserve">Ergebnis: </w:t>
      </w:r>
      <w:r>
        <w:t>~40% der Tumore wechselten während Therapie zwischen TIME-Subtypen. Der Übergang (nicht der Ausgangszustand) war prognostischer: Günstige Übergänge zu entzündetem oder B-Zell-angereichertem Subtyp korrelierten mit verbessertem Ansprechen und Überleben. Eine 59-Gen-Signatur sagte Ansprechen und Überleben in 1.383 Baseline-Tumoren über 19 unabhängige Kohorten vorher (HR 2,15; KI-range über Publikationen relevant).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International/Multi-Entity: Prinzipien auf deutsche Zentren mit Liquid Biopsy/Tumorboard anwendbar</w:t>
      </w:r>
    </w:p>
    <w:p>
      <w:r>
        <w:rPr>
          <w:color w:val="5A7D3A"/>
          <w:sz w:val="18"/>
        </w:rPr>
        <w:t>https://pubmed.ncbi.nlm.nih.gov/42679812/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HDR-Brachytherapie nach Strahlentherapie bei älteren Rektumkarzinom-Patienten: lokale Kontrolle bei 80 %</w:t>
      </w:r>
    </w:p>
    <w:p>
      <w:r>
        <w:rPr>
          <w:i/>
          <w:color w:val="666666"/>
          <w:sz w:val="18"/>
        </w:rPr>
        <w:t>Kristen A et al.  ·  Strahlenther Onkol  ·  14.09.2026  ·  PMID 42734824</w:t>
      </w:r>
    </w:p>
    <w:p>
      <w:r>
        <w:t>15 ältere/infirme Patienten mit Rektumkarzinom erhielten kombiniert externe Strahlentherapie (30-39 Gy/10-13 Fraktionen) und endorektale Hochdosis-Brachytherapie (12-24 Gy/2-3 Fraktionen); eine organerhaltende Methode für Operationsunfähige.</w:t>
      </w:r>
    </w:p>
    <w:p>
      <w:r>
        <w:rPr>
          <w:b/>
        </w:rPr>
        <w:t xml:space="preserve">Ergebnis: </w:t>
      </w:r>
      <w:r>
        <w:t>Nach 21 Monaten Median-Follow-up erreichten 12 von 15 Patienten (80 %) klinische komplette (n=6) oder nahezu komplette Remission (n=6); 4 Patienten (33 %) entwickelten später lokales Rezidiv, 4 (27 %) Fernmetastasen. Grad-3-Toxizität: 67 % Proktitis, 20 % schwere Rektalblutung (3 Patienten). Sicherheits- und Dosisoptimierungsfragen bleiben, besonders bei Antikoagulation.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einzelzentrisch; Ansatz für zertifizierte Zentren mit Brachytherapie-Expertise geeignet</w:t>
      </w:r>
    </w:p>
    <w:p>
      <w:r>
        <w:rPr>
          <w:color w:val="5A7D3A"/>
          <w:sz w:val="18"/>
        </w:rPr>
        <w:t>https://pubmed.ncbi.nlm.nih.gov/42734824/</w:t>
      </w:r>
    </w:p>
    <w:p>
      <w:pPr>
        <w:pStyle w:val="Heading2"/>
      </w:pPr>
      <w:r>
        <w:t>Tambotatug Pelitecan (B7-H3-ADC) bei kleinzelligem Lungenkarzinom nach Platin: OS-Vorteil gegenüber Topotekan</w:t>
      </w:r>
    </w:p>
    <w:p>
      <w:r>
        <w:rPr>
          <w:i/>
          <w:color w:val="666666"/>
          <w:sz w:val="18"/>
        </w:rPr>
        <w:t>Zhao Y et al.  ·  N Engl J Med  ·  12.09.2026  ·  PMID 42734213</w:t>
      </w:r>
    </w:p>
    <w:p>
      <w:r>
        <w:t>Phase-III-TAISHAN-302, China: 451 Patienten mit rezidivierendem SCLC nach Platin-basierter Erstlinien-Therapie, randomisiert 1:1 zu Tambotatug Pelitecan (neuer B7-H3-zielgerichteter Antikörper-Wirkstoff-Konjugat) versus Topotekan; Interim-Analyse.</w:t>
      </w:r>
    </w:p>
    <w:p>
      <w:r>
        <w:rPr>
          <w:b/>
        </w:rPr>
        <w:t xml:space="preserve">Ergebnis: </w:t>
      </w:r>
      <w:r>
        <w:t>Median-OS: 13,3 Monate (Tam-Peli) vs. 9,4 Monate (Topotekan), HR 0,46 (95% KI 0,35–0,62, p&lt;0,001). Median-PFS: 7,4 vs. 2,8 Monate, HR 0,29 (p&lt;0,001). ORR: 59,1% vs. 9,7% (p&lt;0,001). Grad-≥3-AE: 55,4% vs. 77,9% (Tam-Peli günstiger). Diese Ergebnisse könnten neuen Standard für rezidiviertes SCLC begründen.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globales Design; Zulassungsantrag ausstehend, deutsche Verfügbarkeit unklar – USA nur mit Vorbehalt übertragbar</w:t>
      </w:r>
    </w:p>
    <w:p>
      <w:r>
        <w:rPr>
          <w:color w:val="5A7D3A"/>
          <w:sz w:val="18"/>
        </w:rPr>
        <w:t>https://pubmed.ncbi.nlm.nih.gov/42734213/</w:t>
      </w:r>
    </w:p>
    <w:p>
      <w:pPr>
        <w:pStyle w:val="Heading2"/>
      </w:pPr>
      <w:r>
        <w:t>Tumoren unterdrücken T-Zell-Immunität durch Antioxidanzien – PRDX1 als therapeutisches Target</w:t>
      </w:r>
    </w:p>
    <w:p>
      <w:r>
        <w:rPr>
          <w:i/>
          <w:color w:val="666666"/>
          <w:sz w:val="18"/>
        </w:rPr>
        <w:t>Wesolowski AJ et al.  ·  Science  ·  03.09.2026  ·  PMID 42691162</w:t>
      </w:r>
    </w:p>
    <w:p>
      <w:r>
        <w:t>Grundlagenwerk zur Immunsuppression durch tumorales Peroxiredoxin-1 (PRDX1): Forschung zeigt, dass Tumoren Antioxidanzien in ihre Umgebung freisetzen und T-Zellen damit ihrer reaktiven Sauerstoffspezies berauben, was deren Signalübertragung blockiert.</w:t>
      </w:r>
    </w:p>
    <w:p>
      <w:r>
        <w:rPr>
          <w:b/>
        </w:rPr>
        <w:t xml:space="preserve">Ergebnis: </w:t>
      </w:r>
      <w:r>
        <w:t>PRDX1-Mangel in Tumoren verstärkte Antitumor-Immunität und verbesserte Immuntherapie-Antworten in Mausmodellen; Liquid Biopsy könnte PRDX1-Spiegel messen. Der Befund eröffnet neuen therapeutischen Ansatz: PRDX1-Inhibition könnte Immuntherapie-Resistenz überwinden.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Präklinisch; klinischer Weg unklar, aber identifiziertes Targetprotein (PRDX1) ist actionable für Therapeutika-Entwicklung</w:t>
      </w:r>
    </w:p>
    <w:p>
      <w:r>
        <w:rPr>
          <w:color w:val="5A7D3A"/>
          <w:sz w:val="18"/>
        </w:rPr>
        <w:t>https://pubmed.ncbi.nlm.nih.gov/42691162/</w:t>
      </w:r>
    </w:p>
    <w:p>
      <w:pPr>
        <w:pStyle w:val="Heading2"/>
      </w:pPr>
      <w:r>
        <w:t>Real-World-Evidence zur Zulassung von Krebsmedikamenten: 18 Anträge mit Single-Arm-Trials und RWE, 2022–2025</w:t>
      </w:r>
    </w:p>
    <w:p>
      <w:r>
        <w:rPr>
          <w:i/>
          <w:color w:val="666666"/>
          <w:sz w:val="18"/>
        </w:rPr>
        <w:t>Su L et al.  ·  Oncologist  ·  06.08.2026  ·  PMID 42664160</w:t>
      </w:r>
    </w:p>
    <w:p>
      <w:r>
        <w:t>Analyse von 200 Onkologie-Zulassungen (FDA 134, EMA 66) 2022–2025: 18 Anträge (7 FDA, 11 EMA) kombiniert Single-Arm-Trials mit Real-World-Evidence; meist für Hämatologika (53 %), Hälfte auf elektronischen Krankenhauspflichten basiert.</w:t>
      </w:r>
    </w:p>
    <w:p>
      <w:r>
        <w:rPr>
          <w:b/>
        </w:rPr>
        <w:t xml:space="preserve">Ergebnis: </w:t>
      </w:r>
      <w:r>
        <w:t>RWE diente in 2 Fällen als "substantive evidence", ansonsten als kontextuell/supportiv. Häufige Mängel: kleine Fallzahlen, Population-Heterogenität, fehlende Kovariaten, non-kontempore Vergleiche, Post-hoc-Design. Regulatoren bestätigen methodologische Grenzen; Harmonisierung regulatorischer Guidance ist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USA-Zulassungssystem und EMA; Übertrag auf deutsches AMNOG-Verfahren begrenzt – AMNOG verlangt höhere RCT-Standard</w:t>
      </w:r>
    </w:p>
    <w:p>
      <w:r>
        <w:rPr>
          <w:color w:val="5A7D3A"/>
          <w:sz w:val="18"/>
        </w:rPr>
        <w:t>https://pubmed.ncbi.nlm.nih.gov/42664160/</w:t>
      </w:r>
    </w:p>
    <w:p>
      <w:pPr>
        <w:pStyle w:val="Heading2"/>
      </w:pPr>
      <w:r>
        <w:t>Dosiseskalation (80 Gy) bei Hochrisiko-Prostatakarzinom erhöht 10-Jahres-PFS deutlich</w:t>
      </w:r>
    </w:p>
    <w:p>
      <w:r>
        <w:rPr>
          <w:i/>
          <w:color w:val="666666"/>
          <w:sz w:val="18"/>
        </w:rPr>
        <w:t>Hennequin C et al.  ·  Lancet Oncol  ·  Sept. 2026  ·  PMID 42636837</w:t>
      </w:r>
    </w:p>
    <w:p>
      <w:r>
        <w:t>Französische Phase-III-Studie (GETUG-AFU-18) mit 505 Patienten mit hochrisiko Prostatakarzinom: Vergleich externe Strahlentherapie 80 Gy versus 70 Gy, kombiniert mit Langzeit-Androgenentzug, über 9,5 Jahre Median-Follow-up.</w:t>
      </w:r>
    </w:p>
    <w:p>
      <w:r>
        <w:rPr>
          <w:b/>
        </w:rPr>
        <w:t xml:space="preserve">Ergebnis: </w:t>
      </w:r>
      <w:r>
        <w:t>10-Jahres-PFS: 83,6 % (80-Gy-Arm) vs. 72,2 % (70-Gy-Arm), Hazard Ratio 0,56 (95% KI 0,40–0,78, p&lt;0,0001). 5-Jahres-PFS: 91,4 % vs. 88,1 %. Grad-3-Toxizität akut 24–25 %, spät 7–8 % in beiden Gruppen. Sexuelle und urogenitale Nebenwirkungen waren frequent, aber nicht unterschiedlich.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Versicherungsstruktur; deutsche S3-Leitlinien zu Hochrisiko-Prostata-Strahlentherapie sollten Dosiseskalation prüfen</w:t>
      </w:r>
    </w:p>
    <w:p>
      <w:r>
        <w:rPr>
          <w:color w:val="5A7D3A"/>
          <w:sz w:val="18"/>
        </w:rPr>
        <w:t>https://pubmed.ncbi.nlm.nih.gov/42636837/</w:t>
      </w:r>
    </w:p>
    <w:p>
      <w:pPr>
        <w:pStyle w:val="Heading2"/>
      </w:pPr>
      <w:r>
        <w:t>Adjuvant Alectinib (600 mg b.i.d. × 24 Monate) bei ALK-positivem NSCLC nach Resektion: verträglicher, Lebensqualität erhalten</w:t>
      </w:r>
    </w:p>
    <w:p>
      <w:r>
        <w:rPr>
          <w:i/>
          <w:color w:val="666666"/>
          <w:sz w:val="18"/>
        </w:rPr>
        <w:t>Dziadziuszko R et al.  ·  Lancet Oncol  ·  Sept. 2026  ·  PMID 42636834</w:t>
      </w:r>
    </w:p>
    <w:p>
      <w:r>
        <w:t>Phase-III-ALINA-Studie, 257 Patienten mit reseziertem ALK+NSCLC (Stadium IB–IIIA): Vergleich Adjuvant-Alectinib versus Platinum-basierte Chemotherapie; Nebenwirkungen und Lebensqualität (SF-36v2) werden berichtet; Disease-Free-Survival bereits publiziert.</w:t>
      </w:r>
    </w:p>
    <w:p>
      <w:r>
        <w:rPr>
          <w:b/>
        </w:rPr>
        <w:t xml:space="preserve">Ergebnis: </w:t>
      </w:r>
      <w:r>
        <w:t>Schwergrad 3–4-AE mit Alectinib: 6% (CPK-Anstieg), vs. Chemotherapie 10% (Neutropenie). Therapie-Abbrüche: 5% vs. 13% (signifikant weniger mit Alectinib). SF-36v2-Domänen (Körperschmerz, Rollenfunktion, psychische Gesundheit, soziale Funktion, Vitalität) zeigten klinisch bedeutsame Verbesserung ab Woche 12; Scores blieben über 2 Jahre stabil bei Populationsnorm (50).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International; Alectinib bereits in Deutschland zugelassen, Verträglichkeitsdaten unterstützen adjuvante Standardisierung</w:t>
      </w:r>
    </w:p>
    <w:p>
      <w:r>
        <w:rPr>
          <w:color w:val="5A7D3A"/>
          <w:sz w:val="18"/>
        </w:rPr>
        <w:t>https://pubmed.ncbi.nlm.nih.gov/42636834/</w:t>
      </w:r>
    </w:p>
    <w:p>
      <w:pPr>
        <w:pStyle w:val="Heading2"/>
      </w:pPr>
      <w:r>
        <w:t>Durvalumab+Tremelimumab+Lenvatinib+TACE versus TACE allein bei Hepatozellulärem Karzinom: PFS-Vorteil</w:t>
      </w:r>
    </w:p>
    <w:p>
      <w:r>
        <w:rPr>
          <w:i/>
          <w:color w:val="666666"/>
          <w:sz w:val="18"/>
        </w:rPr>
        <w:t>Kudo M et al.  ·  Lancet Oncol  ·  Sept. 2026  ·  PMID 42636832</w:t>
      </w:r>
    </w:p>
    <w:p>
      <w:r>
        <w:t>Phase-III-Studie EMERALD-3 mit 760 Patienten (embolisierbar, Child-Pugh A): Vergleich STRIDE (Durvalumab+Tremelimumab) mit oder ohne Lenvatinib, kombiniert mit transarterieller Chemoembolisation (TACE), versus TACE allein.</w:t>
      </w:r>
    </w:p>
    <w:p>
      <w:r>
        <w:rPr>
          <w:b/>
        </w:rPr>
        <w:t xml:space="preserve">Ergebnis: </w:t>
      </w:r>
      <w:r>
        <w:t>Median-PFS (STRIDE+Lenvatinib vs. TACE): 13,0 vs. 9,8 Monate, HR 0,70 (95% KI 0,57–0,86, p=0,0007). Median-OS: 39,5 vs. 34,7 Monate, HR 0,84 (p=0,18, nicht signifikant). Grad-3/4-AE: Hypertonie 12% (STRIDE+Lenvatinib), post-embolization-Syndrom 6% (STRIDE+TACE). 7 Treatment-Related Deaths (2%). STRIDE-Regimen als neuer Standard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Global, inklusive europäischer Zentren; Zulassung in Genehmigungsverfahren, AMNOG-Bewertung ausstehend</w:t>
      </w:r>
    </w:p>
    <w:p>
      <w:r>
        <w:rPr>
          <w:color w:val="5A7D3A"/>
          <w:sz w:val="18"/>
        </w:rPr>
        <w:t>https://pubmed.ncbi.nlm.nih.gov/42636832/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Teclistamab in smolderendem Myelom hocheffektiv: Phase-2-Trial</w:t>
      </w:r>
    </w:p>
    <w:p>
      <w:r>
        <w:rPr>
          <w:i/>
          <w:color w:val="666666"/>
          <w:sz w:val="18"/>
        </w:rPr>
        <w:t>Nadeem O et al.  ·  Nat Med  ·  11.09.2026  ·  PMID 42728379</w:t>
      </w:r>
    </w:p>
    <w:p>
      <w:r>
        <w:t>Randomisierte Phase-2-ImmunoPRISM-Studie verglich Teclistamab (BCMA-Bispecific Antibody, Fixdauer) mit Lenalidomid/Dexamethason bei 59 Patienten mit Hochrisiko-smolderendem multiplem Myelom.</w:t>
      </w:r>
    </w:p>
    <w:p>
      <w:r>
        <w:rPr>
          <w:b/>
        </w:rPr>
        <w:t xml:space="preserve">Ergebnis: </w:t>
      </w:r>
      <w:r>
        <w:t>Teclistamab: komplette Remission 77,8% vs. 0% (Rd); minimale Resterkrankung-Negativität (10-5) 82,2%; 2-Jahres-Progressionsfreies Überleben 92% vs. 49%; Grad 1–2 Zytokine-Freisetzung, kein Grade-3-Infektionsanstieg,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Phasen-2-Studie mit Potential für Frühintervention; internationale Prüfung, Übertragbarkeit begrenzt bis zur Phase-3-Validierung.</w:t>
      </w:r>
    </w:p>
    <w:p>
      <w:r>
        <w:rPr>
          <w:color w:val="5A7D3A"/>
          <w:sz w:val="18"/>
        </w:rPr>
        <w:t>https://pubmed.ncbi.nlm.nih.gov/42728379/</w:t>
      </w:r>
    </w:p>
    <w:p>
      <w:pPr>
        <w:pStyle w:val="Heading2"/>
      </w:pPr>
      <w:r>
        <w:t>HCC-Management in Asien nach europäischen Leitlinien adaptiert</w:t>
      </w:r>
    </w:p>
    <w:p>
      <w:r>
        <w:rPr>
          <w:i/>
          <w:color w:val="666666"/>
          <w:sz w:val="18"/>
        </w:rPr>
        <w:t>Tan CK et al.  ·  ESMO Open  ·  09.07.2026  ·  PMID 42660571</w:t>
      </w:r>
    </w:p>
    <w:p>
      <w:r>
        <w:t>Pan-asiatische Expertengruppe adaptierte ESMO-Leitlinien zu Diagnose, Therapie und Nachsorge des Hepatozellulären Karzinoms für zehn asiatische Länder.</w:t>
      </w:r>
    </w:p>
    <w:p>
      <w:r>
        <w:rPr>
          <w:b/>
        </w:rPr>
        <w:t xml:space="preserve">Ergebnis: </w:t>
      </w:r>
      <w:r>
        <w:t>Konsens-Richtlinie mit regionsspezifischen Empfehlungen verabschiedet; Fokus auf harmonisierte Behandlung und Zugang trotz regionaler Unterschiede in Arzneimittelzulassung und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Leitlinie mit europäischen Standards, aber auch asiatischen Besonderheiten; teilweise auf deutsches System übertragbar.</w:t>
      </w:r>
    </w:p>
    <w:p>
      <w:r>
        <w:rPr>
          <w:color w:val="5A7D3A"/>
          <w:sz w:val="18"/>
        </w:rPr>
        <w:t>https://pubmed.ncbi.nlm.nih.gov/42660571/</w:t>
      </w:r>
    </w:p>
    <w:p>
      <w:pPr>
        <w:pStyle w:val="Heading2"/>
      </w:pPr>
      <w:r>
        <w:t>Epigenetisches Altern in Dickdarmgewebe zeigt Lebensstilfaktoren-Einfluss</w:t>
      </w:r>
    </w:p>
    <w:p>
      <w:r>
        <w:rPr>
          <w:i/>
          <w:color w:val="666666"/>
          <w:sz w:val="18"/>
        </w:rPr>
        <w:t>Hardikar S et al.  ·  J Natl Cancer Inst  ·  25.08.2026  ·  PMID 42640567</w:t>
      </w:r>
    </w:p>
    <w:p>
      <w:r>
        <w:t>Analyse von epigenetischen Alterungsmodellen (Horvath, Hannum, Zhang u.a.) in Kolonialgewebe von 554 Proben (96 normal, 245 angrenzend, 208 Tumore) zur Untersuchung von Zusammenhängen mit Lebensstilfaktoren und Krebsentwicklung.</w:t>
      </w:r>
    </w:p>
    <w:p>
      <w:r>
        <w:rPr>
          <w:b/>
        </w:rPr>
        <w:t xml:space="preserve">Ergebnis: </w:t>
      </w:r>
      <w:r>
        <w:t>Horvath-Modell zeigte beste Korrelation mit chronologischem Alter (r &gt;0,70) in normalem Gewebe; signifikante Alters-Beschleunigung in tumoren vs. normal/angrenzend bei allen Modellen; körperliche Aktivität (PhenoAge), Rauchen (GrimAge) und Alkoholkonsum (Horvath, Mitose-Uhren) assoziiert mit epigenetischem Altern in angrenzender Mukosa.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USA/deutsche Zentren, diverse Populationen; Grundlagenforschung zu Risikostratifikation.</w:t>
      </w:r>
    </w:p>
    <w:p>
      <w:r>
        <w:rPr>
          <w:color w:val="5A7D3A"/>
          <w:sz w:val="18"/>
        </w:rPr>
        <w:t>https://pubmed.ncbi.nlm.nih.gov/42640567/</w:t>
      </w:r>
    </w:p>
    <w:p>
      <w:pPr>
        <w:pStyle w:val="Heading2"/>
      </w:pPr>
      <w:r>
        <w:t>Tebentafusp gegen Uveales Melanom im UK-Programm wirksam wie Phase-3-Daten</w:t>
      </w:r>
    </w:p>
    <w:p>
      <w:r>
        <w:rPr>
          <w:i/>
          <w:color w:val="666666"/>
          <w:sz w:val="18"/>
        </w:rPr>
        <w:t>Joseph M et al.  ·  Oncologist  ·  09.09.2026  ·  PMID 42640561</w:t>
      </w:r>
    </w:p>
    <w:p>
      <w:r>
        <w:t>Retrospektive Real-World-Effektivitäts- und Toxizitäts-Analyse der UK Expanded Access Programme (EAP) mit 88 Patienten mit metastasiertem uvealen Melanom, behandelt Juli 2021–Juni 2023.</w:t>
      </w:r>
    </w:p>
    <w:p>
      <w:r>
        <w:rPr>
          <w:b/>
        </w:rPr>
        <w:t xml:space="preserve">Ergebnis: </w:t>
      </w:r>
      <w:r>
        <w:t>Medianes Gesamtüberleben 21 Monate (95%-KI 17-NR); medianes progressionsfreies Überleben 2,76 Monate (95%-KI 2,53–3,22); 12-Monats-Überlebenrate 75% (95%-KI 66,1–85,6); niedrigere LDH und niedrigere Leberlastung tendierten zu besserem Überleben; LDH ≥2× obere Normgrenze zeigte sehr schlechte Prognose; keine Grade ≥3 Toxizität nach Dosis 5.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NHS-System, vergleichbar mit deutschem, Real-World-Evidenz für Kostenträger relevant.</w:t>
      </w:r>
    </w:p>
    <w:p>
      <w:r>
        <w:rPr>
          <w:color w:val="5A7D3A"/>
          <w:sz w:val="18"/>
        </w:rPr>
        <w:t>https://pubmed.ncbi.nlm.nih.gov/42640561/</w:t>
      </w:r>
    </w:p>
    <w:p>
      <w:pPr>
        <w:pStyle w:val="Heading2"/>
      </w:pPr>
      <w:r>
        <w:t>Daratumumab+Lenalidomid verlängert Überleben im älteren Myelom dauerhaft</w:t>
      </w:r>
    </w:p>
    <w:p>
      <w:r>
        <w:rPr>
          <w:i/>
          <w:color w:val="666666"/>
          <w:sz w:val="18"/>
        </w:rPr>
        <w:t>Facon T et al.  ·  Leukemia  ·  24.08.2026  ·  PMID 42637879</w:t>
      </w:r>
    </w:p>
    <w:p>
      <w:r>
        <w:t>Finale Analyse der MAIA-Studie: Randomisierte Phase-III-Prüfung zu Daratumumab+Lenalidomid/Dexamethason (D-Rd) vs. Lenalidomid/Dexamethason (Rd) bei 737 nicht-transplant-fähigen Patienten mit neu diagnostiziertem multiplem Myelom.</w:t>
      </w:r>
    </w:p>
    <w:p>
      <w:r>
        <w:rPr>
          <w:b/>
        </w:rPr>
        <w:t xml:space="preserve">Ergebnis: </w:t>
      </w:r>
      <w:r>
        <w:t>Medianes Gesamtüberleben: 90,3 Monate (D-Rd) vs. 64,1 Monate (Rd), HR 0,67 (95%-KI 0,55–0,82); 7-Jahres-Überleben 53,1% vs. 39,3%; mediane Zeit bis Folgetherapie nicht erreicht vs. 42,4 Monate. Follow-up &gt;7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Studie; Basis für Leitlinienstandard bei älteren Patienten, in Deutschland anwendbar.</w:t>
      </w:r>
    </w:p>
    <w:p>
      <w:r>
        <w:rPr>
          <w:color w:val="5A7D3A"/>
          <w:sz w:val="18"/>
        </w:rPr>
        <w:t>https://pubmed.ncbi.nlm.nih.gov/42637879/</w:t>
      </w:r>
    </w:p>
    <w:p>
      <w:pPr>
        <w:pStyle w:val="Heading2"/>
      </w:pPr>
      <w:r>
        <w:t>Olaparib-Erhaltung bei BRCA-mutiertem Brustkrebs: 6-Jahres-Vorteile halten an</w:t>
      </w:r>
    </w:p>
    <w:p>
      <w:r>
        <w:rPr>
          <w:i/>
          <w:color w:val="666666"/>
          <w:sz w:val="18"/>
        </w:rPr>
        <w:t>Garber JE et al.  ·  Ann Oncol  ·  24.08.2026  ·  PMID 42636977</w:t>
      </w:r>
    </w:p>
    <w:p>
      <w:r>
        <w:t>Dritte geplante Zwischenanalyse der randomisierten Phase-III-OlympiA-Studie zu adjuvantem Olaparib (PARP-Inhibitor) versus Placebo nach Chemotherapie bei 1.836 Patientinnen mit Keimbahn-BRCA-Mutation und HER2-negativem Hochrisiko-Brustkrebs.</w:t>
      </w:r>
    </w:p>
    <w:p>
      <w:r>
        <w:rPr>
          <w:b/>
        </w:rPr>
        <w:t xml:space="preserve">Ergebnis: </w:t>
      </w:r>
      <w:r>
        <w:t>Bei 6,1 Jahren medianer Nachbeobachtung: Invasives rezidivfreies Überleben (HR 0,65; 95%-KI 0,53–0,78), Gesamtüberleben (HR 0,72; 95%-KI 0,56–0,93); 6-Jahres-Überleben 87,5% vs. 83,2%; keine neuen Sicherheitssignale, kein erhöhtes MDS/AML-Risiko (0,4% vs. 0,7%).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 mit europäischen und deutschen Zentren; Befund ändert Leitlinienempfehlungen.</w:t>
      </w:r>
    </w:p>
    <w:p>
      <w:r>
        <w:rPr>
          <w:color w:val="5A7D3A"/>
          <w:sz w:val="18"/>
        </w:rPr>
        <w:t>https://pubmed.ncbi.nlm.nih.gov/42636977/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Genomische Alterationen in Hirn-Metastasen von Brustkrebs: 76,8 % haben therapeutisch nutzbare Targets</w:t>
      </w:r>
    </w:p>
    <w:p>
      <w:r>
        <w:rPr>
          <w:i/>
          <w:color w:val="666666"/>
          <w:sz w:val="18"/>
        </w:rPr>
        <w:t>Griguolo G et al.  ·  ESMO Open  ·  11.09.2026  ·  PMID 42727421</w:t>
      </w:r>
    </w:p>
    <w:p>
      <w:r>
        <w:t>Whole-exome-Sequenzierung von 56 Hirn-Metastasen-Proben aus Brustkrebs-Patienten zur Identifikation klinisch umsetzbarer genomischer Alterationen nach ESCAT-Kriterien.</w:t>
      </w:r>
    </w:p>
    <w:p>
      <w:r>
        <w:rPr>
          <w:b/>
        </w:rPr>
        <w:t xml:space="preserve">Ergebnis: </w:t>
      </w:r>
      <w:r>
        <w:t>76,8 % zeigten ESCAT-I/II-Alterationen; häufigste waren DNA-Reparatur-Gene (BRCA1/2/PALB2: 53,6 %); biallele Inaktivierung bei 19,6 % (höher bei HER2-negativ: 26 % HR-neg/HER2-neg, 21 % HR-pos/HER2-neg); PIK3CA/AKT1/PTEN-Alterationen in 48,2 %; kein ESR1 in HR-positiven; hotspot PIK3CA bei HER2-positivem assoziiert mit schlechterer Prognose.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Italienisch-französische Kooperation, ESCAT-Klassifikation europäisch – direkt auf deutsches Targeting-System übertragbar.</w:t>
      </w:r>
    </w:p>
    <w:p>
      <w:r>
        <w:rPr>
          <w:color w:val="5A7D3A"/>
          <w:sz w:val="18"/>
        </w:rPr>
        <w:t>https://pubmed.ncbi.nlm.nih.gov/42727421/</w:t>
      </w:r>
    </w:p>
    <w:p>
      <w:pPr>
        <w:pStyle w:val="Heading2"/>
      </w:pPr>
      <w:r>
        <w:t>Hautkrebs-Bestrahlungen um 79% gestiegen: Trends der Radioonkologie 2015–2022</w:t>
      </w:r>
    </w:p>
    <w:p>
      <w:r>
        <w:rPr>
          <w:i/>
          <w:color w:val="666666"/>
          <w:sz w:val="18"/>
        </w:rPr>
        <w:t>Diefenhardt M et al.  ·  Strahlenther Onkol  ·  11.09.2026  ·  PMID 42726226</w:t>
      </w:r>
    </w:p>
    <w:p>
      <w:r>
        <w:t>Retrospektive Analyse von 8.842 Patienten in einer deutschen Uniklinik-Radiotherapie zwischen 2015 und 2022 zu Trends in Tumorentitäten, Alter und Behandlungsabständen.</w:t>
      </w:r>
    </w:p>
    <w:p>
      <w:r>
        <w:rPr>
          <w:b/>
        </w:rPr>
        <w:t xml:space="preserve">Ergebnis: </w:t>
      </w:r>
      <w:r>
        <w:t>Hautkrebs-Bestrahlungen stiegen um 79 %, Prostata um 10 %, Medianalter von 62 auf 64 Jahre; 47 % der Patienten kamen aus 10-km-Radius; Pandemie 2020-2021 führte zu keinen signifikanten Veränderungen in Patientenzahlen oder Tumortyp-Verteilung.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Uniklinik-Daten, direkt auf deutsches Radiotherapie-Versorgungssystem übertragbar.</w:t>
      </w:r>
    </w:p>
    <w:p>
      <w:r>
        <w:rPr>
          <w:color w:val="5A7D3A"/>
          <w:sz w:val="18"/>
        </w:rPr>
        <w:t>https://pubmed.ncbi.nlm.nih.gov/42726226/</w:t>
      </w:r>
    </w:p>
    <w:p>
      <w:pPr>
        <w:pStyle w:val="Heading2"/>
      </w:pPr>
      <w:r>
        <w:t>Cell-free DNA in Großzelliger B-Zell-Lymphom: technische Anforderungen für Minimal-Residual-Disease-Monitoring</w:t>
      </w:r>
    </w:p>
    <w:p>
      <w:r>
        <w:rPr>
          <w:i/>
          <w:color w:val="666666"/>
          <w:sz w:val="18"/>
        </w:rPr>
        <w:t>Krupka JA et al.  ·  Blood  ·  03.09.2026  ·  PMID 42691013</w:t>
      </w:r>
    </w:p>
    <w:p>
      <w:r>
        <w:t>Narrative Übersichtsarbeit zu ctDNA-Einsatz im diffusen großzelligen B-Zell-Lymphom mit Fokus auf technische Herausforderungen, Assay-Design und klinische Implementierung.</w:t>
      </w:r>
    </w:p>
    <w:p>
      <w:r>
        <w:rPr>
          <w:b/>
        </w:rPr>
        <w:t xml:space="preserve">Ergebnis: </w:t>
      </w:r>
      <w:r>
        <w:t>Tumor-informierte Assays mit mehreren genetischen Markern verbessern Sensitivität des Monitoring substanziell; Standardisierung und prospektive Validierung sind notwendig für Routineimplementierung; niedrige ctDNA-Häufigkeit und Unterscheidung von niedrigen Allel-Fraktionen bleiben Hauptprobleme.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Technisches Review ohne spezifische Zahlen, eher Empfehlungscharakter; europäische Kontributoren.</w:t>
      </w:r>
    </w:p>
    <w:p>
      <w:r>
        <w:rPr>
          <w:color w:val="5A7D3A"/>
          <w:sz w:val="18"/>
        </w:rPr>
        <w:t>https://pubmed.ncbi.nlm.nih.gov/42691013/</w:t>
      </w:r>
    </w:p>
    <w:p>
      <w:pPr>
        <w:pStyle w:val="Heading2"/>
      </w:pPr>
      <w:r>
        <w:t>Tumor-Protein ADAMTSL4 treibt Kachexie durch TGFβ-Aktivierung – therapeutisches Ziel identifiziert</w:t>
      </w:r>
    </w:p>
    <w:p>
      <w:r>
        <w:rPr>
          <w:i/>
          <w:color w:val="666666"/>
          <w:sz w:val="18"/>
        </w:rPr>
        <w:t>Machado J et al.  ·  Cancer Discov  ·  01.09.2026  ·  PMID 42678278</w:t>
      </w:r>
    </w:p>
    <w:p>
      <w:r>
        <w:t>Mechanistische Studie in Modellen und Patienten mit kolorektalem und Lungenkarzinom zur Rolle von Tumor-Sekretion von ADAMTSL4 in der Pathogenese von Krebs-Kachexie.</w:t>
      </w:r>
    </w:p>
    <w:p>
      <w:r>
        <w:rPr>
          <w:b/>
        </w:rPr>
        <w:t xml:space="preserve">Ergebnis: </w:t>
      </w:r>
      <w:r>
        <w:t>ADAMTSL4-Überexpression machte nicht-kachektische Tumoren zu kachektischen; ADAMTSL4-Knockout reduzierte Muskelatrophie-Signaturen und Kachexie-Schweregrad; erhöhte zirkulierende ADAMTSL4-Level waren mit TGFβ-getriebener Muskelatrophie in Kachexie-Patienten assoziiert; ADAMTSL4-Blockade könnte selektive Therapie ohne systemische TGFβ-Blockade ermöglichen.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mit deutschen und internationalen Zentren; präklinisches Modell mit klinischer Validierung – Weg zur Therapeutik erkennbar.</w:t>
      </w:r>
    </w:p>
    <w:p>
      <w:r>
        <w:rPr>
          <w:color w:val="5A7D3A"/>
          <w:sz w:val="18"/>
        </w:rPr>
        <w:t>https://pubmed.ncbi.nlm.nih.gov/42678278/</w:t>
      </w:r>
    </w:p>
    <w:p>
      <w:pPr>
        <w:pStyle w:val="Heading2"/>
      </w:pPr>
      <w:r>
        <w:t>Durvalumab perioperativ bei resektablem NSCLC: AEGEAN-Phase-III-Studie verbessert ereignisfreies Überleben</w:t>
      </w:r>
    </w:p>
    <w:p>
      <w:r>
        <w:rPr>
          <w:i/>
          <w:color w:val="666666"/>
          <w:sz w:val="18"/>
        </w:rPr>
        <w:t>Heymach JV et al.  ·  J Clin Oncol  ·  28.08.2026  ·  PMID 42664473</w:t>
      </w:r>
    </w:p>
    <w:p>
      <w:r>
        <w:t>Phase-III-Studie mit 740 Patienten zu neoadjuvanter Chemotherapie plus Durvalumab oder Placebo vor Operation und anschließender adjuvanter Durvalumab/Placebo-Therapie beim resektablen NSCLC Stadium II-IIIB.</w:t>
      </w:r>
    </w:p>
    <w:p>
      <w:r>
        <w:rPr>
          <w:b/>
        </w:rPr>
        <w:t xml:space="preserve">Ergebnis: </w:t>
      </w:r>
      <w:r>
        <w:t>Durvalumab reduzierte ereignisfreies Überleben (HR 0,69; 95%-KI 0,55–0,88), Zahlentrend für progressionsfreies Überleben (HR 0,66) und Gesamtüberleben (HR 0,89); Grad-3/4-Nebenwirkungen unter adjuvanter Therapie: 15,4 % vs. 10,6 % Placebo; Sicherheitsprofil konsistent mit Einzelsubstanzen.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Phase-III-Studie mit europäischen Zentren; praxisverändernd bei AMNOG und Zulassung.</w:t>
      </w:r>
    </w:p>
    <w:p>
      <w:r>
        <w:rPr>
          <w:color w:val="5A7D3A"/>
          <w:sz w:val="18"/>
        </w:rPr>
        <w:t>https://pubmed.ncbi.nlm.nih.gov/42664473/</w:t>
      </w:r>
    </w:p>
    <w:p>
      <w:pPr>
        <w:pStyle w:val="Heading2"/>
      </w:pPr>
      <w:r>
        <w:t>Dynamisches Prognose-Modell CIRI2-CLL für Rezidivrisiko nach limitierter Therapie verbessert Vorhersage um bis zu 37 %</w:t>
      </w:r>
    </w:p>
    <w:p>
      <w:r>
        <w:rPr>
          <w:i/>
          <w:color w:val="666666"/>
          <w:sz w:val="18"/>
        </w:rPr>
        <w:t>Al-Sawaf O et al.  ·  J Clin Oncol  ·  27.08.2026  ·  PMID 42659576</w:t>
      </w:r>
    </w:p>
    <w:p>
      <w:r>
        <w:t>Validierungsstudie eines verfeinerten kontinuierlichen Risikoindex (CIRI2-CLL) zur Prognosebestimmung nach limitierter Behandlung der chronischen lymphatischen Leukämie mit Minimal-Residual-Disease-Status.</w:t>
      </w:r>
    </w:p>
    <w:p>
      <w:r>
        <w:rPr>
          <w:b/>
        </w:rPr>
        <w:t xml:space="preserve">Ergebnis: </w:t>
      </w:r>
      <w:r>
        <w:t>CIRI2-CLL zeigte gute Kalibrierung (ca. 5 % Differenz zwischen beobachteter und vorhergesagter Ereigniswahrscheinlichkeit); C-Statistik 0,82–0,98 an allen Zeitpunkten; 14–37 % Verbesserung der PFS-Vorhersage gegenüber MRD und CLL-IPI; 3-Jahres-PFS: 100,0 % (niedrig), 70,2 % (mittel), 10,8 % (hoch); Modell frei verfügbar auf Stanford-Plattform für individualisierte Therapieentscheidung.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CLL-Studiengruppe führend; validiert in europäischen und internationalen Kohorten.</w:t>
      </w:r>
    </w:p>
    <w:p>
      <w:r>
        <w:rPr>
          <w:color w:val="5A7D3A"/>
          <w:sz w:val="18"/>
        </w:rPr>
        <w:t>https://pubmed.ncbi.nlm.nih.gov/42659576/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PRO-Symptommonitoring bei Lungenkrebspatienten verlängert Gesamtüberleben um 5 Monate</w:t>
      </w:r>
    </w:p>
    <w:p>
      <w:r>
        <w:rPr>
          <w:i/>
          <w:color w:val="666666"/>
          <w:sz w:val="18"/>
        </w:rPr>
        <w:t>Hassing MJ et al.  ·  Lancet Oncol  ·  11.09.2026  ·  PMID 42727592</w:t>
      </w:r>
    </w:p>
    <w:p>
      <w:r>
        <w:t>Randomisierte niederländische Studie (14 medizinische Zentren, Stepped-Wedge-Design) zur Wirkung wöchentlicher Online-Symptomselbstberichte auf Überleben bei Patienten mit Lung Cancer im Stadium I-IV unter Behandlung.</w:t>
      </w:r>
    </w:p>
    <w:p>
      <w:r>
        <w:rPr>
          <w:b/>
        </w:rPr>
        <w:t xml:space="preserve">Ergebnis: </w:t>
      </w:r>
      <w:r>
        <w:t>Bei 446 Patienten (median 50 Monate Follow-up): Median Overall Survival in der Intervention 26 Monate versus Kontrolle 21 Monate (Hazard Ratio 0,80; 95%-CI 0,63–1,00; p=0,049). Progression-Free Survival zeigte keinen signifikanten Unterschied (HR 0,86; p=0,18). Praxisrelevant: strukturierte Patient-Reported Outcomes ermöglichen 5-Monate-Gewinn bei aktuellen Therapien.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 mit Versorgungsauftrag ähnlich Deutschland</w:t>
      </w:r>
    </w:p>
    <w:p>
      <w:r>
        <w:rPr>
          <w:color w:val="5A7D3A"/>
          <w:sz w:val="18"/>
        </w:rPr>
        <w:t>https://pubmed.ncbi.nlm.nih.gov/42727592/</w:t>
      </w:r>
    </w:p>
    <w:p>
      <w:pPr>
        <w:pStyle w:val="Heading2"/>
      </w:pPr>
      <w:r>
        <w:t>Trastuzumab Botidotin gegenüber Trastuzumab Emtansine: 11,1 vs. 4,4 Monate progressionsfreies Überleben</w:t>
      </w:r>
    </w:p>
    <w:p>
      <w:r>
        <w:rPr>
          <w:i/>
          <w:color w:val="666666"/>
          <w:sz w:val="18"/>
        </w:rPr>
        <w:t>Zhang J et al.  ·  J Clin Oncol  ·  11.09.2026  ·  PMID 42727044</w:t>
      </w:r>
    </w:p>
    <w:p>
      <w:r>
        <w:t>Phase-III-Studie (365 Patienten, China, 57 Zentren) mit randomisierter Direktvergleich zweier HER2-gerichteter Antikörper-Wirkstoff-Konjugate bei vorbehandeltem HER2-positivem metastasiertem Brustkrebs.</w:t>
      </w:r>
    </w:p>
    <w:p>
      <w:r>
        <w:rPr>
          <w:b/>
        </w:rPr>
        <w:t xml:space="preserve">Ergebnis: </w:t>
      </w:r>
      <w:r>
        <w:t>Trastuzumab Botidotin vs. Trastuzumab Emtansine: medianes Progression-Free Survival 11,1 vs. 4,4 Monate (HR 0,39; p&lt;0,0001); Objective Response Rate 76,9% vs. 53,0%. Grade ≥3 unerwünschte Ereignisse 69,8% vs. 63,7%, höchste Inzidenz bei Augenoberflächen-Toxizität (47,7%), aber meist reversibel.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Botidotin hat EU-Zulassung; Übertragbarkeit für deutsche Zentren gegeben</w:t>
      </w:r>
    </w:p>
    <w:p>
      <w:r>
        <w:rPr>
          <w:color w:val="5A7D3A"/>
          <w:sz w:val="18"/>
        </w:rPr>
        <w:t>https://pubmed.ncbi.nlm.nih.gov/42727044/</w:t>
      </w:r>
    </w:p>
    <w:p>
      <w:pPr>
        <w:pStyle w:val="Heading2"/>
      </w:pPr>
      <w:r>
        <w:t>Lokale Therapie + Immune Checkpoint Inhibitor bei rezidiviertem/metastasiertem Nasopharynxkarzinom: 30,5 vs. 16,8 Monate PFS</w:t>
      </w:r>
    </w:p>
    <w:p>
      <w:r>
        <w:rPr>
          <w:i/>
          <w:color w:val="666666"/>
          <w:sz w:val="18"/>
        </w:rPr>
        <w:t>Chen X et al.  ·  Eur J Cancer  ·  27.08.2026  ·  PMID 42721861</w:t>
      </w:r>
    </w:p>
    <w:p>
      <w:r>
        <w:t>Retrospektive chinesische Studie (223 Patienten, Fudan University Shanghai) zum Vergleich von ICI allein versus lokale Therapie kombiniert mit ICI (LOCI) bei rezidiviertem oder metastasiertem Nasopharynxkarzinom; IPTW und Propensity-Score-Matching zur Confounding-Kontrolle.</w:t>
      </w:r>
    </w:p>
    <w:p>
      <w:r>
        <w:rPr>
          <w:b/>
        </w:rPr>
        <w:t xml:space="preserve">Ergebnis: </w:t>
      </w:r>
      <w:r>
        <w:t>Median Progression-Free Survival mit LOCI 30,53 Monate vs. ICI allein 16,77 Monate (HR 0,524; 95%-CI 0,339–0,785; log-rank p=0,0014). Benefit nach PSM und IPTW-Adjustment bestätigt. Bei lokalem Rezidiv oder Nodusbefall (LRR-NPC): verbessertes Distant-Metastasis-Free-Survival (HR 0,437). Bei Oligometastasen (≤3 Läsionen) ebenfalls PFS-Vorteil (HR 0,458; p=0,0416).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Strahlentherapie mit ICI-Standard auch europäisch; Real-World-Ansatz übertragbar</w:t>
      </w:r>
    </w:p>
    <w:p>
      <w:r>
        <w:rPr>
          <w:color w:val="5A7D3A"/>
          <w:sz w:val="18"/>
        </w:rPr>
        <w:t>https://pubmed.ncbi.nlm.nih.gov/42721861/</w:t>
      </w:r>
    </w:p>
    <w:p>
      <w:pPr>
        <w:pStyle w:val="Heading2"/>
      </w:pPr>
      <w:r>
        <w:t>EORTC QLQ-CHI: erste Lebensqualitätsskala speziell für Kinder mit Krebs (8–14 Jahre)</w:t>
      </w:r>
    </w:p>
    <w:p>
      <w:r>
        <w:rPr>
          <w:i/>
          <w:color w:val="666666"/>
          <w:sz w:val="18"/>
        </w:rPr>
        <w:t>Vetrano C et al.  ·  Eur J Cancer  ·  05.10.2026  ·  PMID 42685381</w:t>
      </w:r>
    </w:p>
    <w:p>
      <w:r>
        <w:t>Mixed-Methods-Studie (Phasen I/II) zur Entwicklung eines EORTC-Fragebogenmoduls; 47 Kinder, 45 Eltern, 22 Fachleute aus 6 Ländern; Leitlinien der EORTC Quality-of-Life Group.</w:t>
      </w:r>
    </w:p>
    <w:p>
      <w:r>
        <w:rPr>
          <w:b/>
        </w:rPr>
        <w:t xml:space="preserve">Ergebnis: </w:t>
      </w:r>
      <w:r>
        <w:t>57 Schlüsselprobleme identifiziert aus 1.200+ initial bewerteten Aspekten (Vergleich Kinder-, Eltern- und Fachperspektive). Kinder präferierten 4 Antwortoptionen (70,0%) und kürzere Recall-Periode (43,3%). Fragebogen mit 50 Items in zwei Skalenbereiche eingeteilt: symptomorientiert und psychosozial. Nächste Schritte: Pilottestung (Phase III/IV), 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Netzwerk (EORTC), Grundlage für standardisierte Erfassung in Zentren</w:t>
      </w:r>
    </w:p>
    <w:p>
      <w:r>
        <w:rPr>
          <w:color w:val="5A7D3A"/>
          <w:sz w:val="18"/>
        </w:rPr>
        <w:t>https://pubmed.ncbi.nlm.nih.gov/42685381/</w:t>
      </w:r>
    </w:p>
    <w:p>
      <w:pPr>
        <w:pStyle w:val="Heading2"/>
      </w:pPr>
      <w:r>
        <w:t>Tislelizumab + Chemotherapie bei Ösophaguskarzinom: 45-Monate-Überleben</w:t>
      </w:r>
    </w:p>
    <w:p>
      <w:r>
        <w:rPr>
          <w:i/>
          <w:color w:val="666666"/>
          <w:sz w:val="18"/>
        </w:rPr>
        <w:t>Tougeron D et al.  ·  ESMO Open  ·  27.08.2026  ·  PMID 42659894</w:t>
      </w:r>
    </w:p>
    <w:p>
      <w:r>
        <w:t>Randomisierte Phase-III-Studie (RATIONALE-306) mit 649 Patienten weltweit; Analyse der Subgruppe mit PD-L1 Tumor Area Positivity ≥5% im Langzeit-Follow-up.</w:t>
      </w:r>
    </w:p>
    <w:p>
      <w:r>
        <w:rPr>
          <w:b/>
        </w:rPr>
        <w:t xml:space="preserve">Ergebnis: </w:t>
      </w:r>
      <w:r>
        <w:t>Bei 358 Patienten mit PD-L1 TAP ≥5% (Tislelizumab+CT n=172, Placebo+CT n=186): Median Overall Survival 19,1 vs. 10,0 Monate (HR 0,61); Progression-Free Survival 8,2 vs. 5,5 Monate (HR 0,50); Objektive Ansprechrate 71,5% vs. 41,4%. Haltbarkeit über 45 Monate bestätigt; Sicherheitsprofil unverändert.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Therapie europäisch zugelassen (EMA-Empfehlung PD-L1-Stratifizierung)</w:t>
      </w:r>
    </w:p>
    <w:p>
      <w:r>
        <w:rPr>
          <w:color w:val="5A7D3A"/>
          <w:sz w:val="18"/>
        </w:rPr>
        <w:t>https://pubmed.ncbi.nlm.nih.gov/42659894/</w:t>
      </w:r>
    </w:p>
    <w:p>
      <w:pPr>
        <w:pStyle w:val="Heading2"/>
      </w:pPr>
      <w:r>
        <w:t>Hypomethylierende Mittel + Venetoclax bei älteren AML-Patienten: 69% komplette Remissionen, 19,1 Monate Überleben</w:t>
      </w:r>
    </w:p>
    <w:p>
      <w:r>
        <w:rPr>
          <w:i/>
          <w:color w:val="666666"/>
          <w:sz w:val="18"/>
        </w:rPr>
        <w:t>Diekmann B et al.  ·  Eur J Cancer  ·  05.10.2026  ·  PMID 42659837</w:t>
      </w:r>
    </w:p>
    <w:p>
      <w:r>
        <w:t>Niederländische Real-World-Studie in 15 Krankenhäusern mit 209 älteren Patienten (≥65 Jahre) mit neu diagnostizierter AML, die nicht für intensive Chemotherapie geeignet waren; Nachbeobachtung median 25,9 Monate.</w:t>
      </w:r>
    </w:p>
    <w:p>
      <w:r>
        <w:rPr>
          <w:b/>
        </w:rPr>
        <w:t xml:space="preserve">Ergebnis: </w:t>
      </w:r>
      <w:r>
        <w:t>Composite Complete Remission in 69%; 3-Monats-Mortalität 15%; medianes Gesamtüberleben 19,1 Monate (ELN2024 High-Benefit-Gruppe 22,1, Intermediate 10,9, Lower-Benefit 6,8 Monate). Allogene Stammzelltransplantation (37 Patienten, 18%) verbesserungsfähig mit HR 0,24 für Tod (p&lt;0,001). Antifungale Agenten in 72% der ersten Zyklen assoziiert mit reduzierter Mortalität (HR 0,605; p=0,010).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Versicherungssystem, vergleichbar Deutschland; Dosierungsoptimierung und Wechselwirkungen reduzieren Kosten</w:t>
      </w:r>
    </w:p>
    <w:p>
      <w:r>
        <w:rPr>
          <w:color w:val="5A7D3A"/>
          <w:sz w:val="18"/>
        </w:rPr>
        <w:t>https://pubmed.ncbi.nlm.nih.gov/42659837/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Acht Mutationsmuster definieren Prostatakrebs-Subtypen mit unterschiedlichem Metastasierungs- und Therapierisiko</w:t>
      </w:r>
    </w:p>
    <w:p>
      <w:r>
        <w:rPr>
          <w:i/>
          <w:color w:val="666666"/>
          <w:sz w:val="18"/>
        </w:rPr>
        <w:t>Gruber AJ et al.  ·  Nature  ·  09.09.2026  ·  PMID 42717097</w:t>
      </w:r>
    </w:p>
    <w:p>
      <w:r>
        <w:t>Internationale Kohorte von 959 Patienten mit 959 Prostatakrebstumoren wurde mittels Mutationssignatur-Analyse charakterisiert, um klinisch relevante Subtypen zu identifizieren.</w:t>
      </w:r>
    </w:p>
    <w:p>
      <w:r>
        <w:rPr>
          <w:b/>
        </w:rPr>
        <w:t xml:space="preserve">Ergebnis: </w:t>
      </w:r>
      <w:r>
        <w:t>Acht integrierte Mutationsfuß­abdrücke (IMF) erklären 85% der Pri­märtumoren; vier IMF (in 37% vorhanden) assoziierten mit verkürzter Zeit bis Metastasierung; Biomarker sagten Ansprechen auf Androgen-Rezeptor-Inhibitoren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Zentren, deutsche DKFZ-Beteiligung; Grundlage für zukünftige Risikoschichtung im deutschen Versorgungssystem.</w:t>
      </w:r>
    </w:p>
    <w:p>
      <w:r>
        <w:rPr>
          <w:color w:val="5A7D3A"/>
          <w:sz w:val="18"/>
        </w:rPr>
        <w:t>https://pubmed.ncbi.nlm.nih.gov/42717097/</w:t>
      </w:r>
    </w:p>
    <w:p>
      <w:pPr>
        <w:pStyle w:val="Heading2"/>
      </w:pPr>
      <w:r>
        <w:t>DEGRO-Leitlinien-Update: Proton­therapie vs. Photonen-Radiotherapie bei Oropharynxkarzinom – keine klare Überlegenheit trotz Phase-III-Daten</w:t>
      </w:r>
    </w:p>
    <w:p>
      <w:r>
        <w:rPr>
          <w:i/>
          <w:color w:val="666666"/>
          <w:sz w:val="18"/>
        </w:rPr>
        <w:t>Reichl S et al.  ·  Strahlenther Onkol  ·  07.09.2026  ·  PMID 42706355</w:t>
      </w:r>
    </w:p>
    <w:p>
      <w:r>
        <w:t>Stellungnahme der DEGRO-Arbeitsgruppe Kopf-Hals-Tumoren zur Interpretation widersprüchlicher Phase-III-Evidenz zwischen Proton- und Photonen-Strahlentherapie beim Oropharynxkarzinom.</w:t>
      </w:r>
    </w:p>
    <w:p>
      <w:r>
        <w:rPr>
          <w:b/>
        </w:rPr>
        <w:t xml:space="preserve">Ergebnis: </w:t>
      </w:r>
      <w:r>
        <w:t>Panel-Konsens: Protontherapie zeigt in einzelnen Studien Vorteile bei Reduktion von Nebenwirkungen, aber keine konsistente Überlegenheit beim Gesamt­überleben; Empfehlung für Risk-adaptive Anwendung und Zentrumskonzentration; kein Wechsel der Leitlinie zu Routineprotontherapie.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 (DEGRO), deutschsprachiger Raum; direkte Auswirkung auf Zertifizierungskriterien und Versorgungsvergütung im deutschen System.</w:t>
      </w:r>
    </w:p>
    <w:p>
      <w:r>
        <w:rPr>
          <w:color w:val="5A7D3A"/>
          <w:sz w:val="18"/>
        </w:rPr>
        <w:t>https://pubmed.ncbi.nlm.nih.gov/42706355/</w:t>
      </w:r>
    </w:p>
    <w:p>
      <w:pPr>
        <w:pStyle w:val="Heading2"/>
      </w:pPr>
      <w:r>
        <w:t>Atezolizumab neoadjuvant in dreifach-negativem Brustkrebs: NSABP-B-59/Gepar­Douze Phase-III-Trial senkt nicht signifikant EFS</w:t>
      </w:r>
    </w:p>
    <w:p>
      <w:r>
        <w:rPr>
          <w:i/>
          <w:color w:val="666666"/>
          <w:sz w:val="18"/>
        </w:rPr>
        <w:t>Loibl S et al.  ·  Nat Med  ·  01.09.2026  ·  PMID 42680950</w:t>
      </w:r>
    </w:p>
    <w:p>
      <w:r>
        <w:t>Randomisiert 1.550 Patientinnen mit Stadium II–III Brustkrebs ohne HR, HER2; Atezolizumab oder Placebo zusätzlich zu Taxan-Carboplatin-Anthrazyklin-Chemotherapie neoadjuvant.</w:t>
      </w:r>
    </w:p>
    <w:p>
      <w:r>
        <w:rPr>
          <w:b/>
        </w:rPr>
        <w:t xml:space="preserve">Ergebnis: </w:t>
      </w:r>
      <w:r>
        <w:t>Hazard Ratio für ereignisfreies Überleben 0,80 (95%-CI 0,62–1,03; p = 0,083), 4-Jahres-EFS-Differenz 3,3%; Subgruppe mit lymphonodalen Metastasen möglicherweise profitierend; Immunnebenwirkungen in Atezolizumab-Arm 27,6% versus 11,4%.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USA (GBG/NSABP-Netzwerk), europäische Zentren führend; keine Änderung deutschen Leitlinien zu erwarten.</w:t>
      </w:r>
    </w:p>
    <w:p>
      <w:r>
        <w:rPr>
          <w:color w:val="5A7D3A"/>
          <w:sz w:val="18"/>
        </w:rPr>
        <w:t>https://pubmed.ncbi.nlm.nih.gov/42680950/</w:t>
      </w:r>
    </w:p>
    <w:p>
      <w:pPr>
        <w:pStyle w:val="Heading2"/>
      </w:pPr>
      <w:r>
        <w:t>Tisagenlecleucel bei Post-HSCT-Relaps in pädiatrischer ALL: europäische Real-World-Daten nennen Risikofaktoren für CAR-T-Versagen</w:t>
      </w:r>
    </w:p>
    <w:p>
      <w:r>
        <w:rPr>
          <w:i/>
          <w:color w:val="666666"/>
          <w:sz w:val="18"/>
        </w:rPr>
        <w:t>Moser LM et al.  ·  Leukemia  ·  31.08.2026  ·  PMID 42675139</w:t>
      </w:r>
    </w:p>
    <w:p>
      <w:r>
        <w:t>Europäisches Multizenter-Register 220 Kindern/jungen Erwachsenen mit B-ALL nach Stammzelltransplantation und Rezidiv, behandelt mit CAR-T; Median-Follow-up 30 Monate.</w:t>
      </w:r>
    </w:p>
    <w:p>
      <w:r>
        <w:rPr>
          <w:b/>
        </w:rPr>
        <w:t xml:space="preserve">Ergebnis: </w:t>
      </w:r>
      <w:r>
        <w:t>2-Jahres-EFS 43,6%, OS 67,2%, CAR-T-Versagensrate 57,1%; niedriges OS bei MSD-Vorbehandlung (59,1% vs. Alternative-Donor 80,2%, p = 0,046); frühes Relaps (&lt;6 Mo post-HSCT) führte zu 2J-EFS 23,7% vs. 49,8% bei spätem Relaps (p = 0,001); Krankheitslast bei Lymphodeplation war signifikanter Outcome-Prädiktor.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Zentren aus Deutschland, Österreich, Italien, Skandinavien; identifiziert hochrisiko-Kandidaten für verbesserte Nachbetreuung in deutschem System.</w:t>
      </w:r>
    </w:p>
    <w:p>
      <w:r>
        <w:rPr>
          <w:color w:val="5A7D3A"/>
          <w:sz w:val="18"/>
        </w:rPr>
        <w:t>https://pubmed.ncbi.nlm.nih.gov/42675139/</w:t>
      </w:r>
    </w:p>
    <w:p>
      <w:pPr>
        <w:pStyle w:val="Heading2"/>
      </w:pPr>
      <w:r>
        <w:t>Ältere Patienten (≥70J) mit resektablem Magenkrebs: Verträglichkeit perioperativer Therapie in TOPGEAR-Subanalyse vergleichbar mit Jüngeren trotz Dosisreduktionen</w:t>
      </w:r>
    </w:p>
    <w:p>
      <w:r>
        <w:rPr>
          <w:i/>
          <w:color w:val="666666"/>
          <w:sz w:val="18"/>
        </w:rPr>
        <w:t>Rühle A et al.  ·  Eur J Cancer  ·  05.10.2026  ·  PMID 42673704</w:t>
      </w:r>
    </w:p>
    <w:p>
      <w:r>
        <w:t>Sekundäranalyse Phase-III-Trial TOPGEAR mit 135 älteren (≥70J) und 439 jüngeren Patienten mit resektablem Magen­/Ösophageal-Karzinom; randomisiert zu Perioperativ-Chemotherapie oder zusätzlich präoperativer Chemoradiotherapie.</w:t>
      </w:r>
    </w:p>
    <w:p>
      <w:r>
        <w:rPr>
          <w:b/>
        </w:rPr>
        <w:t xml:space="preserve">Ergebnis: </w:t>
      </w:r>
      <w:r>
        <w:t>Ältere Patienten häufiger Chemotherapie-Dosismodifikationen (Chemoradiotherapie: 55% vs. 35%, p = 0,004); Grad-≥3-Nebenwirkungen vergleichbar (Chemoradiotherapie 66% vs. 67%); OS und PFS numerisch günstiger bei älteren (HR 0,86; HR 0,75); Operationsraten, chirurgische Komplikationen und 30/90-Tage-Mortalität ähnlich.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Australisches/internationales Zentren-Netzwerk, aber Dosierungsschemen und ECOG-Kriterien Standard in Deutschland; liefert Evidenz für Machbarkeit im älteren Setting.</w:t>
      </w:r>
    </w:p>
    <w:p>
      <w:r>
        <w:rPr>
          <w:color w:val="5A7D3A"/>
          <w:sz w:val="18"/>
        </w:rPr>
        <w:t>https://pubmed.ncbi.nlm.nih.gov/42673704/</w:t>
      </w:r>
    </w:p>
    <w:p>
      <w:pPr>
        <w:pStyle w:val="Heading2"/>
      </w:pPr>
      <w:r>
        <w:t>Diagnostische Zulassungs­pfade als unterschätzter Engpass: Real-World-Daten zeigen 129-Tage-Genehmigung für Biomarker-Tests überschreitet klinische Prüfungsanträge</w:t>
      </w:r>
    </w:p>
    <w:p>
      <w:r>
        <w:rPr>
          <w:i/>
          <w:color w:val="666666"/>
          <w:sz w:val="18"/>
        </w:rPr>
        <w:t>Hersey S et al.  ·  Eur J Cancer  ·  05.10.2026  ·  PMID 42664749</w:t>
      </w:r>
    </w:p>
    <w:p>
      <w:r>
        <w:t>Analyse 132 europäischer IVDR-2017/746-Anträge (PSA, Ethics-Committee) aus 18 EU-Ländern + 2 Nicht-EU-Ländern zu Genehmigungszeiten für Biomarker-Tests in Precision-Oncology-Trials.</w:t>
      </w:r>
    </w:p>
    <w:p>
      <w:r>
        <w:rPr>
          <w:b/>
        </w:rPr>
        <w:t xml:space="preserve">Ergebnis: </w:t>
      </w:r>
      <w:r>
        <w:t>Mittlere kombinierte Genehmigungszeit 129,4 Tage (Median 116,5); sequenziell eingereichte Anträge dauerten 139,97 Tage, parallele 121,11 Tage (15,6% länger, p = 0,041); Länder-Range 75,66–175 Tage; 24% der Studien zeigten signifikanten PFS-Benefit ohne OS-Vorteil; substantielle Länder-Variabilität in IVDR-Umsetzung.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Datensatz, 18 EU-Mitgliedstaaten; direktes Policy-Hindernis für deutsche Precision-Oncology-Trials.</w:t>
      </w:r>
    </w:p>
    <w:p>
      <w:r>
        <w:rPr>
          <w:color w:val="5A7D3A"/>
          <w:sz w:val="18"/>
        </w:rPr>
        <w:t>https://pubmed.ncbi.nlm.nih.gov/42664749/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LGsig-Klassifikation verbessert Therapievorhersage beim Diffusen großzelligen B-Zell-Lymphom</w:t>
      </w:r>
    </w:p>
    <w:p>
      <w:r>
        <w:rPr>
          <w:i/>
          <w:color w:val="666666"/>
          <w:sz w:val="18"/>
        </w:rPr>
        <w:t>Tumuluru S et al.  ·  J Clin Oncol  ·  09.09.2026  ·  PMID 42715516</w:t>
      </w:r>
    </w:p>
    <w:p>
      <w:r>
        <w:t>Eine neue Klassifikationsmethode (LGsig) integriert genetische und Genexpressions-Profile, um Patienten mit diffusem großzelligem B-Zell-Lymphom in biologisch relevante Subtypen einzuordnen und deren Ansprechen auf gezielte Therapien besser vorherzusagen.</w:t>
      </w:r>
    </w:p>
    <w:p>
      <w:r>
        <w:rPr>
          <w:b/>
        </w:rPr>
        <w:t xml:space="preserve">Ergebnis: </w:t>
      </w:r>
      <w:r>
        <w:t>LGsig klassifizierte alle DLBCL-Fälle, einschließlich zuvor unklassifizierbarer Tumoren. In der POLARIX-Studie zeigte sich ein signifikanter Überlebensvorteil für Patienten mit bestimmten LGsig-Subtypen unter Polatuzumab vedotin-R-CHP versus R-CHOP in sowohl genetisch klassifizierten als auch unklassifizierten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Plattformübergreifend einsetzbare Genexpressions-Technik; Anwendbarkeit auf archivale Proben erleichtert klinische Integration in deutschen Tumorzentren.</w:t>
      </w:r>
    </w:p>
    <w:p>
      <w:r>
        <w:rPr>
          <w:color w:val="5A7D3A"/>
          <w:sz w:val="18"/>
        </w:rPr>
        <w:t>https://pubmed.ncbi.nlm.nih.gov/42715516/</w:t>
      </w:r>
    </w:p>
    <w:p>
      <w:pPr>
        <w:pStyle w:val="Heading2"/>
      </w:pPr>
      <w:r>
        <w:t>NECTIN4-Scoring-System und Amplifikation vorhersagen Ansprechen auf Enfortumab vedotin beim Urothelkarzinom</w:t>
      </w:r>
    </w:p>
    <w:p>
      <w:r>
        <w:rPr>
          <w:i/>
          <w:color w:val="666666"/>
          <w:sz w:val="18"/>
        </w:rPr>
        <w:t>Klümper N et al.  ·  Clin Cancer Res  ·  09.09.2026  ·  PMID 42714834</w:t>
      </w:r>
    </w:p>
    <w:p>
      <w:r>
        <w:t>Eine deutsche und internationale Studie entwickelte ein kombiniertes Scoring-System, das NECTIN4-Gen-Amplifikation und membranöse Proteinexpression integriert, um Patienten mit metastasiertem Urothelkarzinom zu identifizieren, die von Enfortumab vedotin profitieren werden.</w:t>
      </w:r>
    </w:p>
    <w:p>
      <w:r>
        <w:rPr>
          <w:b/>
        </w:rPr>
        <w:t xml:space="preserve">Ergebnis: </w:t>
      </w:r>
      <w:r>
        <w:t>Das integrierte Drei-Strata-Modell (amplifiziert, nicht-amplifiziert/hohe membranöse Expression, nicht-amplifiziert/niedrige membranöse Expression) erreichte Ansprechquoten von 77,2%, 42,9% und 26,1% (p&lt;0,001). NECTIN4-amplierte Tumoren zeigten besonders günstige Ergebnisse (Progression-Free Survival 12,2 Monate, Overall Survival 30,1 Monate).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Multizenterstudie mit 39 Zentren; direkt transferierbar auf Zertifizierungsanforderungen und Tumorboard-Entscheidungen.</w:t>
      </w:r>
    </w:p>
    <w:p>
      <w:r>
        <w:rPr>
          <w:color w:val="5A7D3A"/>
          <w:sz w:val="18"/>
        </w:rPr>
        <w:t>https://pubmed.ncbi.nlm.nih.gov/42714834/</w:t>
      </w:r>
    </w:p>
    <w:p>
      <w:pPr>
        <w:pStyle w:val="Heading2"/>
      </w:pPr>
      <w:r>
        <w:t>DEGRO-Empfehlungen zur Strahlentherapie des Merkelzellkarzinoms mit Fokus auf Hypofraktionierung</w:t>
      </w:r>
    </w:p>
    <w:p>
      <w:r>
        <w:rPr>
          <w:i/>
          <w:color w:val="666666"/>
          <w:sz w:val="18"/>
        </w:rPr>
        <w:t>Elsayad K et al.  ·  Strahlenther Onkol  ·  09.09.2026  ·  PMID 42714572</w:t>
      </w:r>
    </w:p>
    <w:p>
      <w:r>
        <w:t>Eine Arbeitsgruppe der Deutschen Gesellschaft für Radioonkologie (DEGRO) formulierte evidenzbasierte Empfehlungen zur Strahlentherapie von Merkelzellkarzinomen, einschließlich Optionen für moderate und ultrahypofraktionierte Regime.</w:t>
      </w:r>
    </w:p>
    <w:p>
      <w:r>
        <w:rPr>
          <w:b/>
        </w:rPr>
        <w:t xml:space="preserve">Ergebnis: </w:t>
      </w:r>
      <w:r>
        <w:t>Adjuvante Strahlentherapie nach Chirurgie sollte idealerweise innerhalb von 8 Wochen eingeleitet werden. Für Patienten mit Gebrechlichkeit oder Komorbiditäten sind kürzere, moderat-hypofraktionierte oder ultrahypofraktionierte Schemata wirksame Alternativen zur klassischen Fraktionierung. Die Kombination von Immuntherapie mit Strahlung wird als Schwerpunkt zukünftiger Forschung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Fachgesellschafts-Leitlinie; direkte Implementierbarkeit in Zertifizierungsprozesse und klinische Routine.</w:t>
      </w:r>
    </w:p>
    <w:p>
      <w:r>
        <w:rPr>
          <w:color w:val="5A7D3A"/>
          <w:sz w:val="18"/>
        </w:rPr>
        <w:t>https://pubmed.ncbi.nlm.nih.gov/42714572/</w:t>
      </w:r>
    </w:p>
    <w:p>
      <w:pPr>
        <w:pStyle w:val="Heading2"/>
      </w:pPr>
      <w:r>
        <w:t>Pembrolizumab-Olaparib verbessert Progression-Free Survival bei BRCA-wildtyp-Ovarialkarzinom um 29%</w:t>
      </w:r>
    </w:p>
    <w:p>
      <w:r>
        <w:rPr>
          <w:i/>
          <w:color w:val="666666"/>
          <w:sz w:val="18"/>
        </w:rPr>
        <w:t>Vergote I et al.  ·  Lancet Oncol  ·  07.09.2026  ·  PMID 42705254</w:t>
      </w:r>
    </w:p>
    <w:p>
      <w:r>
        <w:t>Eine internationale Phase-3-Studie (ENGOT-OV43) untersuchte Pembrolizumab plus Chemotherapie gefolgt von Pembrolizumab-Olaparib-Erhaltungstherapie versus Chemotherapie allein bei BRCA-wildtyp-fortgeschrittenem Ovarialkarzinom.</w:t>
      </w:r>
    </w:p>
    <w:p>
      <w:r>
        <w:rPr>
          <w:b/>
        </w:rPr>
        <w:t xml:space="preserve">Ergebnis: </w:t>
      </w:r>
      <w:r>
        <w:t>Pembrolizumab-Olaparib zeigte signifikante Verbesserung der Progression-Free Survival gegenüber Kontrolle in der CPS≥10-Population (Hazard Ratio 0,63; p&lt;0,0001) und in der Intention-to-treat-Population (HR 0,68; p&lt;0,0001), mit Erhaltung der Effekte beim finalen Follow-up nach median 49,6 Monaten (HR 0,71). Grade ≥3 Nebenwirkungen traten bei 66% der Pembrolizumab-Olaparib-Gruppe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Studie mit vergleichbarer Patientenselektion; Registerzulassung und AMNOG-Bewertung folgen regulärem Prozess in Deutschland.</w:t>
      </w:r>
    </w:p>
    <w:p>
      <w:r>
        <w:rPr>
          <w:color w:val="5A7D3A"/>
          <w:sz w:val="18"/>
        </w:rPr>
        <w:t>https://pubmed.ncbi.nlm.nih.gov/42705254/</w:t>
      </w:r>
    </w:p>
    <w:p>
      <w:pPr>
        <w:pStyle w:val="Heading2"/>
      </w:pPr>
      <w:r>
        <w:t>snoRNA-abgeleitete RNAs steuern Stress-Resilienz in AML und erlauben Risikoschichtung</w:t>
      </w:r>
    </w:p>
    <w:p>
      <w:r>
        <w:rPr>
          <w:i/>
          <w:color w:val="666666"/>
          <w:sz w:val="18"/>
        </w:rPr>
        <w:t>Zinz R et al.  ·  Leukemia  ·  04.09.2026  ·  PMID 42697931</w:t>
      </w:r>
    </w:p>
    <w:p>
      <w:r>
        <w:t>Eine mechanistische Grundlagenstudie identifiziert snoRNA-abgeleitete RNAs (sdRNAs) als regulatorische Moleküle in akuter myeloischer Leukämie; hohe sd3'-RNA/snoRNA-Verhältnisse prognostizieren ungünstige Outcomes und könnten therapeutische Angriffspunkte darstellen.</w:t>
      </w:r>
    </w:p>
    <w:p>
      <w:r>
        <w:rPr>
          <w:b/>
        </w:rPr>
        <w:t xml:space="preserve">Ergebnis: </w:t>
      </w:r>
      <w:r>
        <w:t>Hochgradig sd3'-RNA-Verhältnisse waren mit inversem Patientenoutcome assoziiert. Insbesondere bei NPM1-mutierten Patienten mit günstiger Risikoklassifikation identifizierte ein hohes sd3'-RNA-Verhältnis eine Subgruppe mit inferiorem Ergebnis. Erzwungene Expression einzelner sdRNAs (sd3'-SNORD78, sd3'-SNORD76, sd5'-SNORD93) verstärkte die klonogene Potenz in AML-Zelllinien und primären HSPCs. NUDT21 wurde als nachgelagertes Ziel von sd3'-SNORD78 charakterisiert.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Multizenterstudie (Heidelberg, Kiel, Dresden, Frankfurt); Mechanismus öffnet Wege zu klinischen Interventionen in der AML-Stratifikation.</w:t>
      </w:r>
    </w:p>
    <w:p>
      <w:r>
        <w:rPr>
          <w:color w:val="5A7D3A"/>
          <w:sz w:val="18"/>
        </w:rPr>
        <w:t>https://pubmed.ncbi.nlm.nih.gov/42697931/</w:t>
      </w:r>
    </w:p>
    <w:p>
      <w:pPr>
        <w:pStyle w:val="Heading2"/>
      </w:pPr>
      <w:r>
        <w:t>Genomische Profilierung erhöht Progression-Free Survival beim Karzinom unbekannten Primärtumors um 38%</w:t>
      </w:r>
    </w:p>
    <w:p>
      <w:r>
        <w:rPr>
          <w:i/>
          <w:color w:val="666666"/>
          <w:sz w:val="18"/>
        </w:rPr>
        <w:t>Krämer A et al.  ·  J Clin Oncol  ·  03.09.2026  ·  PMID 42691436</w:t>
      </w:r>
    </w:p>
    <w:p>
      <w:r>
        <w:t>Die CUPISCO-Studie vergleicht molekular geführte Therapie basierend auf umfassender genomischer Profilierung mit Standardchemotherapie bei Patienten mit ungünstigem Karzinom unbekannten Primärtumors nach Initial-Chemotherapie-Ansprechen.</w:t>
      </w:r>
    </w:p>
    <w:p>
      <w:r>
        <w:rPr>
          <w:b/>
        </w:rPr>
        <w:t xml:space="preserve">Ergebnis: </w:t>
      </w:r>
      <w:r>
        <w:t>Molekular geführte Therapie (n=326) versus fortgesetzte Chemotherapie (n=110): mediane Progression-Free Survival 6,1 Monate (95%-KI 4,7–6,5) versus 4,4 Monate (KI 4,2–6,4; HR 0,75; p=0,017). Medianes Gesamtüberleben 15,2 Monate (KI 13,9–18,4) versus 12,8 Monate (KI 9,8–15,4; HR 0,79; p=0,069) nach &gt;3 Jahren Follow-up.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Zentren beteiligt; Molekular-Tumorboard-Ansatz etabliert in deutschen Krebszentren.</w:t>
      </w:r>
    </w:p>
    <w:p>
      <w:r>
        <w:rPr>
          <w:color w:val="5A7D3A"/>
          <w:sz w:val="18"/>
        </w:rPr>
        <w:t>https://pubmed.ncbi.nlm.nih.gov/42691436/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2026-09-28T06:00:00Z</dcterms:created>
  <dcterms:modified xsi:type="dcterms:W3CDTF">2026-09-28T06:00:00Z</dcterms:modified>
  <cp:category/>
</cp:coreProperties>
</file>