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19.10.2026  |  244 Studien  |  onkologie.m-vf.de</w:t>
      </w:r>
    </w:p>
    <w:p>
      <w:pPr>
        <w:pStyle w:val="Heading1"/>
      </w:pPr>
      <w:r>
        <w:t>Aufgenommen am 19.10.2026</w:t>
      </w:r>
    </w:p>
    <w:p>
      <w:pPr>
        <w:pStyle w:val="Heading2"/>
      </w:pPr>
      <w:r>
        <w:t>59,6 % der gebrechlichen Brustkrebsüberlebenden erhalten keine ambulante Pflege</w:t>
      </w:r>
    </w:p>
    <w:p>
      <w:r>
        <w:rPr>
          <w:i/>
          <w:color w:val="666666"/>
          <w:sz w:val="18"/>
        </w:rPr>
        <w:t>Qin X et al.  ·  J Natl Cancer Inst  ·  19.10.2026  ·  PMID 42893805</w:t>
      </w:r>
    </w:p>
    <w:p>
      <w:r>
        <w:t>Analyse von Medicare-Daten 2017-2020 zu Gebrechlichkeit und ambulanter Pflegeversorgung bei älteren Brustkrebsüberlebenden (134.410 Frauen, 347.953 Patientenjahre) mittels Claims-basiertem Deficit-Accumulation Frailty Index.</w:t>
      </w:r>
    </w:p>
    <w:p>
      <w:r>
        <w:rPr>
          <w:b/>
        </w:rPr>
        <w:t xml:space="preserve">Ergebnis: </w:t>
      </w:r>
      <w:r>
        <w:t>Bei hohem Pflegebedarf (DAFI≥0,25) hatten 59,6 % keine Medicare-Heimbetreuung; HH-Nutzung stieg mit Gebrechlichkeit (+1,10 Prozentpunkte pro +0,01 DAFI), am steilsten bei Nichtdual-Versicherten (+1,21 pp). Medicare-Leistungen erfassen frailty-assoziierte Pflegebedarfe nicht ausreichend.</w:t>
      </w:r>
    </w:p>
    <w:p>
      <w:r>
        <w:rPr>
          <w:b/>
          <w:sz w:val="19"/>
        </w:rPr>
        <w:t xml:space="preserve">Übertragbarkeit: </w:t>
      </w:r>
      <w:r>
        <w:rPr>
          <w:sz w:val="19"/>
        </w:rPr>
        <w:t>USA-Daten, Finanzierungssystem grundlegend anders; Befund zur Unterversorgung übertragbar.</w:t>
      </w:r>
    </w:p>
    <w:p>
      <w:r>
        <w:rPr>
          <w:color w:val="5A7D3A"/>
          <w:sz w:val="18"/>
        </w:rPr>
        <w:t>https://pubmed.ncbi.nlm.nih.gov/42893805/</w:t>
      </w:r>
    </w:p>
    <w:p>
      <w:pPr>
        <w:pStyle w:val="Heading2"/>
      </w:pPr>
      <w:r>
        <w:t>Tamoxifen plus kalorische Restriktion: SHBG-Spiegel und Brustkrebsrisiko-Biomarker verbessert</w:t>
      </w:r>
    </w:p>
    <w:p>
      <w:r>
        <w:rPr>
          <w:i/>
          <w:color w:val="666666"/>
          <w:sz w:val="18"/>
        </w:rPr>
        <w:t>Serrano D et al.  ·  Eur J Cancer  ·  14.10.2026  ·  PMID 42892237</w:t>
      </w:r>
    </w:p>
    <w:p>
      <w:r>
        <w:t>Randomisierte Phase-II-Studie zu Kombinationen aus Tamoxifen, lebensstiländerung und intermittierender kalorischer Restriktion bei hochgradig gefährdeten Frauen, mit SHBG-Spiegeln als primärem Endpunkt.</w:t>
      </w:r>
    </w:p>
    <w:p>
      <w:r>
        <w:rPr>
          <w:b/>
        </w:rPr>
        <w:t xml:space="preserve">Ergebnis: </w:t>
      </w:r>
      <w:r>
        <w:t>Tamoxifen ± kalorische Restriktion erhöhte signifikant SHBG und IGFBP-3 und senkte IGF-I (alle p&lt;0,01); bei hoher Adhärenz (&gt;90%) zeigte Lebensstiländerung plus kalorische Restriktion höhere SHBG als Lebensstiländerung allein (p=0,045). Kein Unterschied bei unerwünschten Ereignissen; milde Verschlechterung der Lebensqualität unter Tamoxifen.</w:t>
      </w:r>
    </w:p>
    <w:p>
      <w:r>
        <w:rPr>
          <w:b/>
          <w:sz w:val="19"/>
        </w:rPr>
        <w:t xml:space="preserve">Übertragbarkeit: </w:t>
      </w:r>
      <w:r>
        <w:rPr>
          <w:sz w:val="19"/>
        </w:rPr>
        <w:t>Italienische Zentren, deutschsprachiger Raum vergleichbar, Prävention bei genetischem Risiko.</w:t>
      </w:r>
    </w:p>
    <w:p>
      <w:r>
        <w:rPr>
          <w:color w:val="5A7D3A"/>
          <w:sz w:val="18"/>
        </w:rPr>
        <w:t>https://pubmed.ncbi.nlm.nih.gov/42892237/</w:t>
      </w:r>
    </w:p>
    <w:p>
      <w:pPr>
        <w:pStyle w:val="Heading2"/>
      </w:pPr>
      <w:r>
        <w:t>Darolutamide-Triplet-Therapie: 6,3 Monate längere symptomfreie Zeit bei metastasiertem Prostatakarzinom</w:t>
      </w:r>
    </w:p>
    <w:p>
      <w:r>
        <w:rPr>
          <w:i/>
          <w:color w:val="666666"/>
          <w:sz w:val="18"/>
        </w:rPr>
        <w:t>Maiorano BA et al.  ·  Eur J Cancer  ·  02.10.2026  ·  PMID 42892235</w:t>
      </w:r>
    </w:p>
    <w:p>
      <w:r>
        <w:t>Q-TWiST-Analyse der ARASENS-Studie zur Bewertung der Lebensqualität unter Darolutamid plus ADT plus Docetaxel versus Placebo plus ADT plus Docetaxel bei metastasiertem hormonempfindlichem Prostatakarzinom.</w:t>
      </w:r>
    </w:p>
    <w:p>
      <w:r>
        <w:rPr>
          <w:b/>
        </w:rPr>
        <w:t xml:space="preserve">Ergebnis: </w:t>
      </w:r>
      <w:r>
        <w:t>Patienten mit Darolutamid gewannen 6,3 Monate Q-TWiST gegenüber Placebo (p&lt;0,001), mit erhöhter symptomfreier Zeit (17,6 vs. 10,9 Monate) und reduzierter Progressionszeit (2,4 vs. 8,7 Monate); relative Q-TWiST-Gewinn 16,0%. Die Kombination zeigte längeres Überleben ohne Symptome oder Toxizität.</w:t>
      </w:r>
    </w:p>
    <w:p>
      <w:r>
        <w:rPr>
          <w:b/>
          <w:sz w:val="19"/>
        </w:rPr>
        <w:t xml:space="preserve">Übertragbarkeit: </w:t>
      </w:r>
      <w:r>
        <w:rPr>
          <w:sz w:val="19"/>
        </w:rPr>
        <w:t>Europäische und kanadische Zentren, vergleichbare Versicherungssysteme, praxisrelevanter Endpunkt.</w:t>
      </w:r>
    </w:p>
    <w:p>
      <w:r>
        <w:rPr>
          <w:color w:val="5A7D3A"/>
          <w:sz w:val="18"/>
        </w:rPr>
        <w:t>https://pubmed.ncbi.nlm.nih.gov/42892235/</w:t>
      </w:r>
    </w:p>
    <w:p>
      <w:pPr>
        <w:pStyle w:val="Heading2"/>
      </w:pPr>
      <w:r>
        <w:t>RAS-Mutationen bei AML: kontextabhängiger Prognosewert und Angriffspunkte für Therapie</w:t>
      </w:r>
    </w:p>
    <w:p>
      <w:r>
        <w:rPr>
          <w:i/>
          <w:color w:val="666666"/>
          <w:sz w:val="18"/>
        </w:rPr>
        <w:t>Rodríguez-Arbolí E et al.  ·  Blood  ·  16.10.2026  ·  PMID 42886676</w:t>
      </w:r>
    </w:p>
    <w:p>
      <w:r>
        <w:t>Zentralisierte molekulare Profilierung von 8.553 neu diagnostizierten AML-Patienten zur Charakterisierung von RAS-Mutationen, deren genomischer Kontext und klinischer Prognosewert.</w:t>
      </w:r>
    </w:p>
    <w:p>
      <w:r>
        <w:rPr>
          <w:b/>
        </w:rPr>
        <w:t xml:space="preserve">Ergebnis: </w:t>
      </w:r>
      <w:r>
        <w:t>RAS-Mutationen in 21 % (1.775/8.553), davon NRAS 13 %, KRAS 5 %; NRAS-Mutationen zeigten gegensätzliche OS-Assoziationen (ungünstig bei AML-MDS, HR=1,32, p=0,036; günstig bei NPM1, HR=0,61, p=0,036), KRAS prognostisch ungünstig (HR=1,41, p=0,003); bei Venetoclax-Therapie erheblich schlechtere OS bei NPM1 (HR=2,98) oder IDH1/2-Mutationen (HR=4,06).</w:t>
      </w:r>
    </w:p>
    <w:p>
      <w:r>
        <w:rPr>
          <w:b/>
          <w:sz w:val="19"/>
        </w:rPr>
        <w:t xml:space="preserve">Übertragbarkeit: </w:t>
      </w:r>
      <w:r>
        <w:rPr>
          <w:sz w:val="19"/>
        </w:rPr>
        <w:t>Spanische Multizenterstudie, europäische Patienten, vergleichbar mit deutschem Versorgungsstandard.</w:t>
      </w:r>
    </w:p>
    <w:p>
      <w:r>
        <w:rPr>
          <w:color w:val="5A7D3A"/>
          <w:sz w:val="18"/>
        </w:rPr>
        <w:t>https://pubmed.ncbi.nlm.nih.gov/42886676/</w:t>
      </w:r>
    </w:p>
    <w:p>
      <w:pPr>
        <w:pStyle w:val="Heading2"/>
      </w:pPr>
      <w:r>
        <w:t>Serplulimab+Chemotherapie+Radiotherapie bei metastasiertem Pankreas-Ca: 78,3 % 6-Monats-PFS</w:t>
      </w:r>
    </w:p>
    <w:p>
      <w:r>
        <w:rPr>
          <w:i/>
          <w:color w:val="666666"/>
          <w:sz w:val="18"/>
        </w:rPr>
        <w:t>Cheng K et al.  ·  Clin Cancer Res  ·  16.10.2026  ·  PMID 42886001</w:t>
      </w:r>
    </w:p>
    <w:p>
      <w:r>
        <w:t>Multizentrische Phase-II-Studie (ICSBR-Regime) mit Serplulimab, Gemcitabin plus Nab-Paclitaxel und stereotaktischer Körperstrahlentherapie bei 46 Patienten mit metastasiertem Pankreas-Adenokarzinom in Erstliniensetting.</w:t>
      </w:r>
    </w:p>
    <w:p>
      <w:r>
        <w:rPr>
          <w:b/>
        </w:rPr>
        <w:t xml:space="preserve">Ergebnis: </w:t>
      </w:r>
      <w:r>
        <w:t>6-Monats-PFS 78,3 % (95%-CI 67,2-91,1 %), medianes PFS 8,5 Monate (95%-CI 7,3-12,0), medianes OS 14,0 Monate (12,0–nicht erreicht), objektive Ansprechrate 73,9 % (95%-CI 58,9-85,7 %); kein Todesfälle durch Behandlung. ctDNA-Negativität bei Baseline mit besserem Überleben assoziiert; TME-Analyse zeigte Korrelation von cancer-associated-fibroblast-Status und T-Zell-Anteil mit klinischem Outcome.</w:t>
      </w:r>
    </w:p>
    <w:p>
      <w:r>
        <w:rPr>
          <w:b/>
          <w:sz w:val="19"/>
        </w:rPr>
        <w:t xml:space="preserve">Übertragbarkeit: </w:t>
      </w:r>
      <w:r>
        <w:rPr>
          <w:sz w:val="19"/>
        </w:rPr>
        <w:t>China, Gesundheitssystem nicht vergleichbar; Sicherheits- und Response-Daten relevant.</w:t>
      </w:r>
    </w:p>
    <w:p>
      <w:r>
        <w:rPr>
          <w:color w:val="5A7D3A"/>
          <w:sz w:val="18"/>
        </w:rPr>
        <w:t>https://pubmed.ncbi.nlm.nih.gov/42886001/</w:t>
      </w:r>
    </w:p>
    <w:p>
      <w:pPr>
        <w:pStyle w:val="Heading2"/>
      </w:pPr>
      <w:r>
        <w:t>Cabergolin senkt postpartales Brustkrebsrisiko um 69 %: Mechanismus und Kohortenbeleg</w:t>
      </w:r>
    </w:p>
    <w:p>
      <w:r>
        <w:rPr>
          <w:i/>
          <w:color w:val="666666"/>
          <w:sz w:val="18"/>
        </w:rPr>
        <w:t>García-Sancha N et al.  ·  Cancer Discov  ·  15.10.2026  ·  PMID 42878664</w:t>
      </w:r>
    </w:p>
    <w:p>
      <w:r>
        <w:t>Mechanistisches Tiermodell und retrospektive Kohortenstudien zur Wirkung von Cabergolin (Dopaminagonist, senkt Prolaktin) auf postpartale Brustkrebs-Inzidenz bei BRCA1-Trägerinnen durch Mammary-Gland-Involution.</w:t>
      </w:r>
    </w:p>
    <w:p>
      <w:r>
        <w:rPr>
          <w:b/>
        </w:rPr>
        <w:t xml:space="preserve">Ergebnis: </w:t>
      </w:r>
      <w:r>
        <w:t>Bei BRCA1/p53-mutierten Mäusen verzögerte und reduzierte Cabergolin Mammakrebs-Inzidenz durch Verstärkung der Involution, Reduktion von Proliferation und Ki-67-Expression, Umkehr von T-Zell-Erschöpfung; retrospektive europäische Kohorten (2 Studien, Meta-Analyse) zeigten etwa 69 % Risikoreduktion für postpartalen Brustkrebs unter Cabergolin.</w:t>
      </w:r>
    </w:p>
    <w:p>
      <w:r>
        <w:rPr>
          <w:b/>
          <w:sz w:val="19"/>
        </w:rPr>
        <w:t xml:space="preserve">Übertragbarkeit: </w:t>
      </w:r>
      <w:r>
        <w:rPr>
          <w:sz w:val="19"/>
        </w:rPr>
        <w:t>Spanische und internationale Kohorten, Grundlagen+Humanstudien kombiniert, Präventionsstrategie für Hochrisiko.</w:t>
      </w:r>
    </w:p>
    <w:p>
      <w:r>
        <w:rPr>
          <w:color w:val="5A7D3A"/>
          <w:sz w:val="18"/>
        </w:rPr>
        <w:t>https://pubmed.ncbi.nlm.nih.gov/42878664/</w:t>
      </w:r>
    </w:p>
    <w:p>
      <w:pPr>
        <w:pStyle w:val="Heading2"/>
      </w:pPr>
      <w:r>
        <w:t>Perioperative Chemotherapie bei GEP-NEC: Erhöhter Langzeit-Heilungsanteil, nicht nur Verzögerung</w:t>
      </w:r>
    </w:p>
    <w:p>
      <w:r>
        <w:rPr>
          <w:i/>
          <w:color w:val="666666"/>
          <w:sz w:val="18"/>
        </w:rPr>
        <w:t>Carmona-Bayonas A et al.  ·  Eur J Cancer  ·  08.10.2026  ·  PMID 42869860</w:t>
      </w:r>
    </w:p>
    <w:p>
      <w:r>
        <w:t>Analyse von 162 Patienten mit resezierten GEP-NEC Grad 3 (GETNE-Register) zur Frage, ob perioperative Chemotherapie Langzeirheilung ermöglicht oder nur Rezidive verzögert, mittels Cox-Modellen und Bayesscher Promotion-Time-Cure-Modelle.</w:t>
      </w:r>
    </w:p>
    <w:p>
      <w:r>
        <w:rPr>
          <w:b/>
        </w:rPr>
        <w:t xml:space="preserve">Ergebnis: </w:t>
      </w:r>
      <w:r>
        <w:t>Chemotherapie (n=74, 46 %) verkürzte ereignisfreie Überlebenszeit (HR 0,61, 95%-CI 0,40-0,96) und rezidivfreie Überlebenszeit (HR 0,59, 95%-CI 0,37-0,93), nicht eindeutig OS (HR 0,73, 95%-CI 0,46-1,15); Cure-Modell deutete auf niedrigere klonogene Last (Ratio 0,67, Posterior-Wahrscheinlichkeit 94%) statt langsamerer Kinematik hin. Populationsgeheilungsanteil 22,7 % (95%-CrI 15,9-29,6).</w:t>
      </w:r>
    </w:p>
    <w:p>
      <w:r>
        <w:rPr>
          <w:b/>
          <w:sz w:val="19"/>
        </w:rPr>
        <w:t xml:space="preserve">Übertragbarkeit: </w:t>
      </w:r>
      <w:r>
        <w:rPr>
          <w:sz w:val="19"/>
        </w:rPr>
        <w:t>Spanische Multizenterstudie, europäisches Versicherungssystem, Hochrisiko-Entität.</w:t>
      </w:r>
    </w:p>
    <w:p>
      <w:r>
        <w:rPr>
          <w:color w:val="5A7D3A"/>
          <w:sz w:val="18"/>
        </w:rPr>
        <w:t>https://pubmed.ncbi.nlm.nih.gov/42869860/</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