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27.09.2026  |  7 Studien  |  onkologie.m-vf.de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Single-Fraction SABR gleichwertig zu Multi-Fraction bei frühem NSCLC</w:t>
      </w:r>
    </w:p>
    <w:p>
      <w:r>
        <w:rPr>
          <w:i/>
          <w:color w:val="666666"/>
          <w:sz w:val="18"/>
        </w:rPr>
        <w:t>Aguirre-Meneses KA et al.  ·  Radiother Oncol  ·  26.09.2026  ·  PMID 42800679</w:t>
      </w:r>
    </w:p>
    <w:p>
      <w:r>
        <w:t>Bevölkerungsbasierte retrospektive Analyse aus British Columbia (2021-2024): 814 Läsionen bei 778 Patienten mit peripher gelegenem T1-2N0-NSCLC, behandelt mit Single-Fraction (SF) oder Multi-Fraction (MF) SABR, Nachverfolgung median 25,8 Monate.</w:t>
      </w:r>
    </w:p>
    <w:p>
      <w:r>
        <w:rPr>
          <w:b/>
        </w:rPr>
        <w:t xml:space="preserve">Ergebnis: </w:t>
      </w:r>
      <w:r>
        <w:t>Keine signifikanten Unterschiede in 2-Jahres-Lokalversagen (3,5% vs. 4,8%, p=0,11) oder 2-Jahres-Gesamtüberleben (79,3% vs. 79,4%, p=0,62). Grad-2-Toxizität 11,5% vs. 12,4%, Grad-3-5-Toxizität 1,5% vs. 3,9% (p=0,08), Brustwandtoxizität identisch 5,0%. SF-SABR war kein unabhängiger Prädiktor für Lokalversagen oder 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Kanadisches System mit vergleichbarem öffentlichem Versicherungsauftrag; Kostenwirksamkeit für deutsche Strahlenkliniken relevant.</w:t>
      </w:r>
    </w:p>
    <w:p>
      <w:r>
        <w:rPr>
          <w:color w:val="5A7D3A"/>
          <w:sz w:val="18"/>
        </w:rPr>
        <w:t>https://pubmed.ncbi.nlm.nih.gov/42800679/</w:t>
      </w:r>
    </w:p>
    <w:p>
      <w:pPr>
        <w:pStyle w:val="Heading2"/>
      </w:pPr>
      <w:r>
        <w:t>Tumor-First DNA-Testing effizienter als Familienanamnese für BRCA-Screening</w:t>
      </w:r>
    </w:p>
    <w:p>
      <w:r>
        <w:rPr>
          <w:i/>
          <w:color w:val="666666"/>
          <w:sz w:val="18"/>
        </w:rPr>
        <w:t>Kloots ISH et al.  ·  Eur J Cancer  ·  19.09.2026  ·  PMID 42800309</w:t>
      </w:r>
    </w:p>
    <w:p>
      <w:r>
        <w:t>Prospektive Studie (PROMPT) mit 452 Patienten mit metastasiertem Prostatakarzinom: Vergleich tumor-first-workflow (TFW) versus familienanamnese-basierte Testung für Keimbahnvarianten in BRCA1/2, PALB2, ATM, CHEK2.</w:t>
      </w:r>
    </w:p>
    <w:p>
      <w:r>
        <w:rPr>
          <w:b/>
        </w:rPr>
        <w:t xml:space="preserve">Ergebnis: </w:t>
      </w:r>
      <w:r>
        <w:t>TFW identifizierte 22/36 (61%) aller Träger pathogener Keimbahnvarianten mit technischer Sensitivität von 97%. Gegenüber modellierter Familienanamnese-Strategie (8 vs. 22 Träger identifiziert; p&lt;0,001) war TFW deutlich überlegen mit positiv-prädiktivem Wert 51% vs. 13% und niedrigerer Anzahl zum Testen (2,0 vs. 7,9). Kosten pro entdeckter Variante: 998 € vs. 12.246 €.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Gesundheitssystem mit direkter Übertragbarkeit auf deutsches Mutationsscreening-Protokoll.</w:t>
      </w:r>
    </w:p>
    <w:p>
      <w:r>
        <w:rPr>
          <w:color w:val="5A7D3A"/>
          <w:sz w:val="18"/>
        </w:rPr>
        <w:t>https://pubmed.ncbi.nlm.nih.gov/42800309/</w:t>
      </w:r>
    </w:p>
    <w:p>
      <w:pPr>
        <w:pStyle w:val="Heading2"/>
      </w:pPr>
      <w:r>
        <w:t>Spirituelle Überzeugungen hemmen Studienteilnahme schwarzer Krebspatienten massiv</w:t>
      </w:r>
    </w:p>
    <w:p>
      <w:r>
        <w:rPr>
          <w:i/>
          <w:color w:val="666666"/>
          <w:sz w:val="18"/>
        </w:rPr>
        <w:t>Gomez C et al.  ·  Int J Radiat Oncol Biol Phys  ·  25.09.2026  ·  PMID 42790602</w:t>
      </w:r>
    </w:p>
    <w:p>
      <w:r>
        <w:t>Querschnittstudie an 172 von 247 Patienten (70% Teilnahmequote) nach definitiver Strahlentherapie für GI-, thorakale, gynäkologische und HNO-Malignome (Oktober 2023–Februar 2024): Psychosoziale Faktoren und Studieneinschlusshindernisse.</w:t>
      </w:r>
    </w:p>
    <w:p>
      <w:r>
        <w:rPr>
          <w:b/>
        </w:rPr>
        <w:t xml:space="preserve">Ergebnis: </w:t>
      </w:r>
      <w:r>
        <w:t>Schwarze Patienten (n=42, 24%) waren weniger verheiratet (16,7% vs. 68,8%; p&lt;0,001), geringer gebildet und hatten niedrigeres Einkommen ($69.318 vs. $106.823; p&lt;0,001). Obwohl gleich viele zur Teilnahme eingeladen (17,9% vs. 21,7%), stimmten weniger schwarze Patienten zu (17,1% vs. 31,9%; p&lt;0,001). Höhere Religiosität senkte Teilnahmebereitschaft um 44% (p=0,036). 48% schwarzer vs. 17,3% weißer Patienten glaubten, dass Gott Heilung bestimmt (p=0,024); 18% schwarzer vs. 3,6% weißer Patienten misstrauten klinischer Forschung (p=0,001).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Disparitäten-fokussiertes qualitatives Forschungsdesign; deutsche Rekrutierungsstrategien müssen kulturelle und religiöse Faktoren adressieren.</w:t>
      </w:r>
    </w:p>
    <w:p>
      <w:r>
        <w:rPr>
          <w:color w:val="5A7D3A"/>
          <w:sz w:val="18"/>
        </w:rPr>
        <w:t>https://pubmed.ncbi.nlm.nih.gov/42790602/</w:t>
      </w:r>
    </w:p>
    <w:p>
      <w:pPr>
        <w:pStyle w:val="Heading2"/>
      </w:pPr>
      <w:r>
        <w:t>Komplexe Genomik verzögert Zugang zu Essential Cancer Medicines global</w:t>
      </w:r>
    </w:p>
    <w:p>
      <w:r>
        <w:rPr>
          <w:i/>
          <w:color w:val="666666"/>
          <w:sz w:val="18"/>
        </w:rPr>
        <w:t>Vokinger KN et al.  ·  Lancet Oncol  ·  25.09.2026  ·  PMID 42790449</w:t>
      </w:r>
    </w:p>
    <w:p>
      <w:r>
        <w:t>Retrospektive Analyse der Verfügbarkeit von 41 Essential Cancer Medicines auf der WHO-Liste zwischen 2002 und 2023 in 71 Ländern, unterschieden nach Anforderung an Immunhistochemie, komplexe Genomik oder keine Diagnostik.</w:t>
      </w:r>
    </w:p>
    <w:p>
      <w:r>
        <w:rPr>
          <w:b/>
        </w:rPr>
        <w:t xml:space="preserve">Ergebnis: </w:t>
      </w:r>
      <w:r>
        <w:t>Arzneien, die komplexe genomische Diagnostik erfordern, zeigen 65% niedrigere Aufnahmevolumina als solche ohne Diagnostik-Anforderung (Regressionskoeffizient −0,453, p&lt;0,0001). In Ländern mit niedrigem BIP (&lt;11.000 USD) werden nur 44% der Arzneien mit komplexer Genomik eingesetzt, gegenüber 79% in Ländern mit hohem BIP (&gt;33.000 USD). Die Aufnahme zeigt, dass WHO-EML-Listung allein für Zugang insufficient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Zeigt strukturelle Barrieren für Precision Oncology in Ländern mit begrenzter diagnostischer Infrastruktur; international vergleichbar.</w:t>
      </w:r>
    </w:p>
    <w:p>
      <w:r>
        <w:rPr>
          <w:color w:val="5A7D3A"/>
          <w:sz w:val="18"/>
        </w:rPr>
        <w:t>https://pubmed.ncbi.nlm.nih.gov/42790449/</w:t>
      </w:r>
    </w:p>
    <w:p>
      <w:pPr>
        <w:pStyle w:val="Heading2"/>
      </w:pPr>
      <w:r>
        <w:t>Venetoclax + Inotuzumab ozogamicin erzielt 95% komplette Remission im rezidivierten/refraktären B-ALL</w:t>
      </w:r>
    </w:p>
    <w:p>
      <w:r>
        <w:rPr>
          <w:i/>
          <w:color w:val="666666"/>
          <w:sz w:val="18"/>
        </w:rPr>
        <w:t>Luskin MR et al.  ·  Blood  ·  25.09.2026  ·  PMID 42789493</w:t>
      </w:r>
    </w:p>
    <w:p>
      <w:r>
        <w:t>Phase-1-Studie (23 Patienten, 15 ALL, 8 LBL): Kombination BCL-2-Inhibitor Venetoclax (VEN 400 mg/Tag 21 Tage) plus CD22-Antikörper-Wirkstoff-Konjugat Inotuzumab ozogamicin (Standard-Dosis) bei rezidiviertem/refraktärem CD22+ B-ALL/lymphoblastischem Lymphom.</w:t>
      </w:r>
    </w:p>
    <w:p>
      <w:r>
        <w:rPr>
          <w:b/>
        </w:rPr>
        <w:t xml:space="preserve">Ergebnis: </w:t>
      </w:r>
      <w:r>
        <w:t>Von 22 evaluablen Patienten erreichten 21 (95,5%) komplette Remission, 19 nach einem Zyklus. Messbare Resterkrankung (MRD) negativ in 88,9% (Flow &lt;10⁻⁴) und 73,7% (NGS &lt;10⁻⁶). Zwei-Jahres-krankheitsfreies Überleben 48% (95% KI 24–72%), medianes Gesamtüberleben nicht erreicht. Nebenwirkungen Grad ≥3: Thrombozytopenie 43,5%, Neutropenie 39,1%, sinusoidales obstruktives Syndrom 4 Patienten. MRD-Negativität korrelierte mit BCL-2-Abhängigkeit; Progression verband sich mit MCL-1-Abhängigkeit, CD22-Escape, ABCB1-Expression.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USA-Zentrum, Phase 1; internationale Wirkstoffkombination, Übertragung auf Deutschland abhängig von Zulassung und lokaler ALL-Protokoll-Integration.</w:t>
      </w:r>
    </w:p>
    <w:p>
      <w:r>
        <w:rPr>
          <w:color w:val="5A7D3A"/>
          <w:sz w:val="18"/>
        </w:rPr>
        <w:t>https://pubmed.ncbi.nlm.nih.gov/42789493/</w:t>
      </w:r>
    </w:p>
    <w:p>
      <w:pPr>
        <w:pStyle w:val="Heading2"/>
      </w:pPr>
      <w:r>
        <w:t>Körperliche Aktivität verbessert Krankheitsfreies Überleben bei ctDNA-negativem Kolonkarzinom</w:t>
      </w:r>
    </w:p>
    <w:p>
      <w:r>
        <w:rPr>
          <w:i/>
          <w:color w:val="666666"/>
          <w:sz w:val="18"/>
        </w:rPr>
        <w:t>Zhang GQ et al.  ·  J Natl Cancer Inst  ·  24.09.2026  ·  PMID 42786576</w:t>
      </w:r>
    </w:p>
    <w:p>
      <w:r>
        <w:t>Post-hoc-Analyse der Phase-III-Studie CALGB/SWOG 80702 (763 Patienten Stage III Kolonkarzinom): Assoziation von körperlicher Aktivität (gemessen in MET-Stunden/Woche) und postoperativem Überleben, stratifiziert nach zirkulierender Tumor-DNA (ctDNA).</w:t>
      </w:r>
    </w:p>
    <w:p>
      <w:r>
        <w:rPr>
          <w:b/>
        </w:rPr>
        <w:t xml:space="preserve">Ergebnis: </w:t>
      </w:r>
      <w:r>
        <w:t>Bei ctDNA-negativen Patienten zeigten moderate (HR 0,58, 95% KI 0,37–0,91) und hohe körperliche Aktivität (HR 0,49, 95% KI 0,27–0,86) versus Inaktivität verbessertes krankheitsfreies Überleben. Bei ctDNA-positiven Patienten war körperliche Aktivität nicht prognostisch (p&gt;0,05). Physische Aktivität plus adjuvantes Celecoxib zeigte Vorteil in beiden Gruppen (ctDNA-positiv: HR 0,29, 95% KI 0,15–0,57).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Nordamerikanische Kohortenstudie; ctDNA-Analytik national nur in Zentren verfügbar, Aktivitätsinterventionen aber universell umsetzbar.</w:t>
      </w:r>
    </w:p>
    <w:p>
      <w:r>
        <w:rPr>
          <w:color w:val="5A7D3A"/>
          <w:sz w:val="18"/>
        </w:rPr>
        <w:t>https://pubmed.ncbi.nlm.nih.gov/42786576/</w:t>
      </w:r>
    </w:p>
    <w:p>
      <w:pPr>
        <w:pStyle w:val="Heading2"/>
      </w:pPr>
      <w:r>
        <w:t>Evorpacept + Trastuzumab/Ramucirumab/Paclitaxel verbessert Ansprechrate im HER2+ Magenkarzinom</w:t>
      </w:r>
    </w:p>
    <w:p>
      <w:r>
        <w:rPr>
          <w:i/>
          <w:color w:val="666666"/>
          <w:sz w:val="18"/>
        </w:rPr>
        <w:t>Shitara K et al.  ·  Nat Med  ·  24.09.2026  ·  PMID 42786305</w:t>
      </w:r>
    </w:p>
    <w:p>
      <w:r>
        <w:t>Phase-2-Portion der randomisierten Studie ASPEN-06 (127 Patienten mit vorbehandeltem HER2-überexprimiertem metastasiertem Magen-/Ösophaguskarzinom): Evorpacept (CD47-SIRPα-Blocker) plus Standard-Tripel (TRP) versus TRP allein.</w:t>
      </w:r>
    </w:p>
    <w:p>
      <w:r>
        <w:rPr>
          <w:b/>
        </w:rPr>
        <w:t xml:space="preserve">Ergebnis: </w:t>
      </w:r>
      <w:r>
        <w:t>Primärer Endpunkt: Objektive Ansprechrate (ORR) investigator-assessed 40,3% (Evo+TRP) vs. 26,6% (TRP) in ITT-Population (Differenz 13,7%, p&lt;0,001), in Fresh-Biopsy-HER2+-Subgruppe 54,8% vs. 23,1% (Differenz 31,7%). Differenzen überschritten Schwellen, aber vs. historischem Benchmark (30%) verfehlte nur Fresh-Biopsy-Gruppe Signifikanz knapp (p=0,030 one-sided). Toxizitäten vergleichbar mit etabliertem Profil.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Phase-2-Studie; Zulassungsfähigkeit zu klären, Übertragung auf Deutschland abhängig von Zulassung und Amnog-Bewertung.</w:t>
      </w:r>
    </w:p>
    <w:p>
      <w:r>
        <w:rPr>
          <w:color w:val="5A7D3A"/>
          <w:sz w:val="18"/>
        </w:rPr>
        <w:t>https://pubmed.ncbi.nlm.nih.gov/42786305/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