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21.10.2026  |  7 Studien  |  onkologie.m-vf.de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Genetische Varianten als Risikofaktoren für Trastuzumab-Deruxtecan-bedingte Lungentoxizität</w:t>
      </w:r>
    </w:p>
    <w:p>
      <w:r>
        <w:rPr>
          <w:i/>
          <w:color w:val="666666"/>
          <w:sz w:val="18"/>
        </w:rPr>
        <w:t>Arenas A et al.  ·  ESMO Open  ·  20.10.2026  ·  PMID 42901050</w:t>
      </w:r>
    </w:p>
    <w:p>
      <w:r>
        <w:t>Spanische multizentrische Studie untersuchte Keimbahnvarianten bei 290 Patienten mit HER2-positivem oder HER2-low metastasiertem Brustkrebs unter Trastuzumab-Deruxtecan mittels genomischer Analyse in Bezug auf interstitielle Lungenerkrankung (ILD).</w:t>
      </w:r>
    </w:p>
    <w:p>
      <w:r>
        <w:rPr>
          <w:b/>
        </w:rPr>
        <w:t xml:space="preserve">Ergebnis: </w:t>
      </w:r>
      <w:r>
        <w:t>Bei 11,4% trat ILD auf. Stärkste Assoziationen in der HLA-Region (rs9258213 near HLA-F: OR 6,8, 95%-KI 2,6–17,9, p=9,5×10⁻⁵). Zusätzliche Assoziationen in SLCO1B1 und CYP3A4-Genen. Kein definitiver pharmacogenomischer Prädiktor identifiziert, aber Mechanismus-Einblicke gewonnen.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Gesundheitssystem, vergleichbare Dokumentation; Befund ist sicherheitsrelevant übertragbar.</w:t>
      </w:r>
    </w:p>
    <w:p>
      <w:r>
        <w:rPr>
          <w:color w:val="5A7D3A"/>
          <w:sz w:val="18"/>
        </w:rPr>
        <w:t>https://pubmed.ncbi.nlm.nih.gov/42901050/</w:t>
      </w:r>
    </w:p>
    <w:p>
      <w:pPr>
        <w:pStyle w:val="Heading2"/>
      </w:pPr>
      <w:r>
        <w:t>Protontherapie vs. Photonentherapie bei Oropharynxkarzinom: Vorteil bei Akutnebenwirkungen, nicht bei Kontrolle</w:t>
      </w:r>
    </w:p>
    <w:p>
      <w:r>
        <w:rPr>
          <w:i/>
          <w:color w:val="666666"/>
          <w:sz w:val="18"/>
        </w:rPr>
        <w:t>You J et al.  ·  ESMO Open  ·  20.10.2026  ·  PMID 42901049</w:t>
      </w:r>
    </w:p>
    <w:p>
      <w:r>
        <w:t>Metaanalyse von zwei Phase-III-Studien und einer Matched-Cohort-Studie verglich Intensität-modulierte Protontherapie (IMPT) mit konventioneller IMRT bei Oropharynxkarzinom in Bezug auf Rezidiv-, Überlebens- und Toxizitätsraten.</w:t>
      </w:r>
    </w:p>
    <w:p>
      <w:r>
        <w:rPr>
          <w:b/>
        </w:rPr>
        <w:t xml:space="preserve">Ergebnis: </w:t>
      </w:r>
      <w:r>
        <w:t>Hazard Ratio für lokoregionales Rezidiv 1,37 (95%-KI 0,56–3,36); Progression-Free Survival HR 0,90 (0,61–1,33); Overall Survival HR 0,79 (0,32–1,98). Grad-3-Dysphagie trat bei 24% (IMPT) vs. 40,9% (IMRT) auf (RR 0,65, 95%-KI 0,51–0,84). Grad-3-Xerostomie/Trockenheit bei 19,9% vs. 32,5% (RR 0,72, 95%-KI 0,54–0,95). Ernährungsoutcomes ohne definitiven 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methodenvergleichend; Sicherheitsbefund ist systemunabhängig übertragbar.</w:t>
      </w:r>
    </w:p>
    <w:p>
      <w:r>
        <w:rPr>
          <w:color w:val="5A7D3A"/>
          <w:sz w:val="18"/>
        </w:rPr>
        <w:t>https://pubmed.ncbi.nlm.nih.gov/42901049/</w:t>
      </w:r>
    </w:p>
    <w:p>
      <w:pPr>
        <w:pStyle w:val="Heading2"/>
      </w:pPr>
      <w:r>
        <w:t>FLOT-Perioperative Therapie: internationales Expertenkonsens zu Patientenselektion und Toxizitätsmanagement</w:t>
      </w:r>
    </w:p>
    <w:p>
      <w:r>
        <w:rPr>
          <w:i/>
          <w:color w:val="666666"/>
          <w:sz w:val="18"/>
        </w:rPr>
        <w:t>Saeed A et al.  ·  JCO Oncol Pract  ·  20.10.2026  ·  PMID 42900867</w:t>
      </w:r>
    </w:p>
    <w:p>
      <w:r>
        <w:t>Multidisziplinäres internationales Expertenpanel erarbeitete mittels modifizierter Delphi-Methode Konsensaussagen zur Selektion, Optimierung und Behandlung von Nebenwirkungen bei perioperativer FLOT-Chemotherapie bei resektablem Magen- und Ösophaguskarzinom.</w:t>
      </w:r>
    </w:p>
    <w:p>
      <w:r>
        <w:rPr>
          <w:b/>
        </w:rPr>
        <w:t xml:space="preserve">Ergebnis: </w:t>
      </w:r>
      <w:r>
        <w:t>Konsens wurde zu 66,3% der Statements erreicht. Experten einigten sich: Patienten &gt;70 Jahre sollten nicht routinemäßig ausgeschlossen werden; ECOG-PS 0–1 ist angemessen, PS 0–2 kann einzelfallweise erwogen werden. Universelles Screening auf Mangelernährung, strukturierte physische Aktivität und Dosismodifikation statt Weglassen von Wirkstoffen wurden unterstützt. 94–100% Konsens bei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Deutschsprachiger Raum mitrepräsentiert; vergleichbare Versorgungsstrukturen und Leitlinien.</w:t>
      </w:r>
    </w:p>
    <w:p>
      <w:r>
        <w:rPr>
          <w:color w:val="5A7D3A"/>
          <w:sz w:val="18"/>
        </w:rPr>
        <w:t>https://pubmed.ncbi.nlm.nih.gov/42900867/</w:t>
      </w:r>
    </w:p>
    <w:p>
      <w:pPr>
        <w:pStyle w:val="Heading2"/>
      </w:pPr>
      <w:r>
        <w:t>Versicherungsschutz reduziert Kolorektalkrebs-Mortalität um 31 Prozent – Modellstudie</w:t>
      </w:r>
    </w:p>
    <w:p>
      <w:r>
        <w:rPr>
          <w:i/>
          <w:color w:val="666666"/>
          <w:sz w:val="18"/>
        </w:rPr>
        <w:t>van den Puttelaar R et al.  ·  J Natl Cancer Inst  ·  20.10.2026  ·  PMID 42899410</w:t>
      </w:r>
    </w:p>
    <w:p>
      <w:r>
        <w:t>US-Modellierungsstudie (MISCAN-Colon) quantifizierte die Auswirkungen von Versicherungszugang auf Kolorektalkrebs-Screening, Staging und Überlebensraten in der vormals unversicherten US-Population 2025–2055.</w:t>
      </w:r>
    </w:p>
    <w:p>
      <w:r>
        <w:rPr>
          <w:b/>
        </w:rPr>
        <w:t xml:space="preserve">Ergebnis: </w:t>
      </w:r>
      <w:r>
        <w:t>Bei Gewinnung von Versicherungsschutz wären 2055 pro 100.000 Einwohner 22 von 73 Todesfällen (30,7%) vermeidbar. Inzidenz sank um 8,9% (15 Fälle). Behandlungskosten sanken um 4,8% (−1,37 Mio. USD pro 100.000), Screening-Kosten stiegen um 41,7% (+2,66 Mio.). Netto-Kostensteigerung 3,7%.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grundlegend anderem System; Kausalaussage zu Zugang und Outcome ist universell, Kostengefüge nicht übertragbar.</w:t>
      </w:r>
    </w:p>
    <w:p>
      <w:r>
        <w:rPr>
          <w:color w:val="5A7D3A"/>
          <w:sz w:val="18"/>
        </w:rPr>
        <w:t>https://pubmed.ncbi.nlm.nih.gov/42899410/</w:t>
      </w:r>
    </w:p>
    <w:p>
      <w:pPr>
        <w:pStyle w:val="Heading2"/>
      </w:pPr>
      <w:r>
        <w:t>Finnische Real-World-Daten: NATALEE/monarchE-Patienten mit HR+/HER2− Brustkrebs haben 5-Jahres-iDFS von 76,8–82,5 Prozent</w:t>
      </w:r>
    </w:p>
    <w:p>
      <w:r>
        <w:rPr>
          <w:i/>
          <w:color w:val="666666"/>
          <w:sz w:val="18"/>
        </w:rPr>
        <w:t>Voutilainen S et al.  ·  Oncologist  ·  20.10.2026  ·  PMID 42899399</w:t>
      </w:r>
    </w:p>
    <w:p>
      <w:r>
        <w:t>Finnische bevölkerungsbasierte retrospektive Kohortenstudie von 8.911 Patienten mit HR+/HER2-negativem Frühbrust krebs 2014–2023, stratifiziert nach NATALEE (40,4%) und monarchE-Eligibilität (15,0%), mit Nachverfolgung von 5,2 Jahren.</w:t>
      </w:r>
    </w:p>
    <w:p>
      <w:r>
        <w:rPr>
          <w:b/>
        </w:rPr>
        <w:t xml:space="preserve">Ergebnis: </w:t>
      </w:r>
      <w:r>
        <w:t>NATALEE-eligible: 5-Jahres-iDFS 82,5% vs. 89,6% (nicht-eligible), DDFS 88,3% vs. 94,5%, OS 90,9% vs. 95,6%. monarchE-eligible: iDFS 76,8% vs. 88,4%, DDFS 82,3% vs. 93,8%, OS 86,8% vs. 94,9%. Metastasenprogression 3- bis 6-fach häufiger in eligible-Gruppen. Leitlinien-Eligibilitätskriterien zeigten verlässlich schlechtere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 mit vergleichbarem Versicherungssystem; Real-World-Evidenz validiert Trialdaten.</w:t>
      </w:r>
    </w:p>
    <w:p>
      <w:r>
        <w:rPr>
          <w:color w:val="5A7D3A"/>
          <w:sz w:val="18"/>
        </w:rPr>
        <w:t>https://pubmed.ncbi.nlm.nih.gov/42899399/</w:t>
      </w:r>
    </w:p>
    <w:p>
      <w:pPr>
        <w:pStyle w:val="Heading2"/>
      </w:pPr>
      <w:r>
        <w:t>Pankreaskrebspatienten: Expertenkonsens zu Enzymersatztherapie verbessert Therapietoleranzhaltung</w:t>
      </w:r>
    </w:p>
    <w:p>
      <w:r>
        <w:rPr>
          <w:i/>
          <w:color w:val="666666"/>
          <w:sz w:val="18"/>
        </w:rPr>
        <w:t>Gallagher D et al.  ·  Oncologist  ·  20.10.2026  ·  PMID 42899395</w:t>
      </w:r>
    </w:p>
    <w:p>
      <w:r>
        <w:t>Multidisziplinäre US-Delphi-Konsensus-Studie mit 17 Experten (Onkologen, Ernährungsfachkräfte) zur Standardisierung von Dosierung, Patientenschulung und Langzeitmanagement der Pankreasenzymersatztherapie (PERT) bei exokriner Pankreasinsuffizienz (EPI) in Pankreaskrebs.</w:t>
      </w:r>
    </w:p>
    <w:p>
      <w:r>
        <w:rPr>
          <w:b/>
        </w:rPr>
        <w:t xml:space="preserve">Ergebnis: </w:t>
      </w:r>
      <w:r>
        <w:t>15 finale Konsensaussagen mit ≥81% Übereinstimmung erreicht; 6 Aussagen zu klinischer Anwendung mit 94–100% Konsens. Empfohlene Startdosen: 48.000–72.000 Lipase-Units pro Mahlzeit. Standardisierte Titraturprotokolle, mehrstufige Patientenschulung und Strategien zur Reduktion finanzieller und Pillen-Belastung definiert.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Verfahren ist unabhängig vom Gesundheitssystem, Konsenssicherung methodisch übertragbar.</w:t>
      </w:r>
    </w:p>
    <w:p>
      <w:r>
        <w:rPr>
          <w:color w:val="5A7D3A"/>
          <w:sz w:val="18"/>
        </w:rPr>
        <w:t>https://pubmed.ncbi.nlm.nih.gov/42899395/</w:t>
      </w:r>
    </w:p>
    <w:p>
      <w:pPr>
        <w:pStyle w:val="Heading2"/>
      </w:pPr>
      <w:r>
        <w:t>Multiomik-Klassifizierung vorhersagt MRD-Negativität bei Myelom-Induktion mit Isatuximab-Karpfilzomib-Lenalidomid (Isa-KRd) mit AUC 0,77</w:t>
      </w:r>
    </w:p>
    <w:p>
      <w:r>
        <w:rPr>
          <w:i/>
          <w:color w:val="666666"/>
          <w:sz w:val="18"/>
        </w:rPr>
        <w:t>Magrangeas F et al.  ·  Nat Med  ·  19.10.2026  ·  PMID 42897348</w:t>
      </w:r>
    </w:p>
    <w:p>
      <w:r>
        <w:t>Französisch-amerikanische Studie integrierte Genom-, Transkriptom- und Epigenomprofiling von 423 Neudiagnose-Myelom-Proben zur Vorhersage von Minimal Residual Disease (MRD) nach Quadruplet-Induktion mit Isa-KRd.</w:t>
      </w:r>
    </w:p>
    <w:p>
      <w:r>
        <w:rPr>
          <w:b/>
        </w:rPr>
        <w:t xml:space="preserve">Ergebnis: </w:t>
      </w:r>
      <w:r>
        <w:t>HP1/HP3 und MS Genexpressions-Subtypen zeigten höhere MRD-Negativitätsraten als MF und CD2. B-Zell-Differenzierung assoziiert mit MRD-Positivität; Proliferation und MYC-Programme mit MRD-Negativität. Multimodales Random-Forest-Modell mit genomischen, transkriptomischen und epigenomischen Merkmalen erreichte AUC 0,77, übertraf klinische und genomische Einzelmodelle. Driver-Gene CCND1 und MYC korreliert mit differenziellem MRD-Outcome.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Europäisch-amerikanische Kooperation, französisches Registernetzwerk; Klassifizierungssystem methodisch übertragbar.</w:t>
      </w:r>
    </w:p>
    <w:p>
      <w:r>
        <w:rPr>
          <w:color w:val="5A7D3A"/>
          <w:sz w:val="18"/>
        </w:rPr>
        <w:t>https://pubmed.ncbi.nlm.nih.gov/42897348/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