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25.09.2026  |  6 Studien  |  onkologie.m-vf.de</w:t>
      </w:r>
    </w:p>
    <w:p>
      <w:pPr>
        <w:pStyle w:val="Heading1"/>
      </w:pPr>
      <w:r>
        <w:t>Aufgenommen am 25.09.2026</w:t>
      </w:r>
    </w:p>
    <w:p>
      <w:pPr>
        <w:pStyle w:val="Heading2"/>
      </w:pPr>
      <w:r>
        <w:t>Adaptive Hoffnung in der Onkologie – Klinischer Rahmen für patientenzentrierte Kommunikation</w:t>
      </w:r>
    </w:p>
    <w:p>
      <w:r>
        <w:rPr>
          <w:i/>
          <w:color w:val="666666"/>
          <w:sz w:val="18"/>
        </w:rPr>
        <w:t>Cherny NI et al.  ·  ESMO Open  ·  24.07.2026  ·  PMID 42785913</w:t>
      </w:r>
    </w:p>
    <w:p>
      <w:r>
        <w:t>Narrative Übersichtsarbeit (Synthesis empirischer und konzeptioneller Literatur): Hope und Despair als zentrale, oft ko-existierende Dimensionen der Krebserfahrung – ihre Determinanten, klinischen Manifestationen und Implikationen für Kommunikation und Entscheidungsfindung über die Krankheitstrajectory.</w:t>
      </w:r>
    </w:p>
    <w:p>
      <w:r>
        <w:rPr>
          <w:b/>
        </w:rPr>
        <w:t xml:space="preserve">Ergebnis: </w:t>
      </w:r>
      <w:r>
        <w:t>Hoffnung ist dynamisches, multidimensionales Konstrukt, das sich über Zeit evolves – initial auf Heilung ausgerichtet, rekalibriert oft zu erreichbaren Zielen (Symptomkontrolle, Funktion, Sinnstiftung, Würde, spiritueller Frieden). Adaptive, realitätskongruente Hoffnung durch ehrliche, mitfühlende, relational fundierte Kommunikation nachhaltig. Klinische Competency: Psychospiritual-, Relational-, interdisziplinäre Approaches (empathische Kommunikation, Symptommanagement, Meaning-Centered Interventions, Dignity-Conserving Care).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Expert-Synthesis, direkt auf deutsches Gesundheitssystem übertragbar.</w:t>
      </w:r>
    </w:p>
    <w:p>
      <w:r>
        <w:rPr>
          <w:color w:val="5A7D3A"/>
          <w:sz w:val="18"/>
        </w:rPr>
        <w:t>https://pubmed.ncbi.nlm.nih.gov/42785913/</w:t>
      </w:r>
    </w:p>
    <w:p>
      <w:pPr>
        <w:pStyle w:val="Heading2"/>
      </w:pPr>
      <w:r>
        <w:t>Trastuzumab emtansine bei HER2+ extramammärer Paget-Erkrankung – 92,9% Ansprechrate</w:t>
      </w:r>
    </w:p>
    <w:p>
      <w:r>
        <w:rPr>
          <w:i/>
          <w:color w:val="666666"/>
          <w:sz w:val="18"/>
        </w:rPr>
        <w:t>Arakawa S et al.  ·  ESMO Open  ·  21.07.2026  ·  PMID 42785912</w:t>
      </w:r>
    </w:p>
    <w:p>
      <w:r>
        <w:t>Phase-II-Studie TEMENOS-2: 14 japanische Patienten mit HER2-positivem metastasiertem Paget-Karzinom (extramammär), Firstline Trastuzumab emtansine 3,6 mg/kg alle 3 Wochen bis 2 Jahre.</w:t>
      </w:r>
    </w:p>
    <w:p>
      <w:r>
        <w:rPr>
          <w:b/>
        </w:rPr>
        <w:t xml:space="preserve">Ergebnis: </w:t>
      </w:r>
      <w:r>
        <w:t>Objektive Ansprechquote (zentrale Bewertung) 92,9% [95% CI 66,1%–99,8%]: 2 komplette, 11 partielle Remissionen, 1 Progression. Median-PFS 16,95 Monate [95% CI 5,75–n.e.]. Median-OS nicht erreicht. Grade-3-Nebenwirkungen in 42,9%, keine ≥4. Erste prospektive Evidenz für HER2-dirigierte ADC in dieser Entität.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Studie, kleine Fallzahl (n=14); für Deutschland Übertragbarkeit HER2+ seltene Tumoren.</w:t>
      </w:r>
    </w:p>
    <w:p>
      <w:r>
        <w:rPr>
          <w:color w:val="5A7D3A"/>
          <w:sz w:val="18"/>
        </w:rPr>
        <w:t>https://pubmed.ncbi.nlm.nih.gov/42785912/</w:t>
      </w:r>
    </w:p>
    <w:p>
      <w:pPr>
        <w:pStyle w:val="Heading2"/>
      </w:pPr>
      <w:r>
        <w:t>Atezolizumab plus pertuzumab, trastuzumab, Chemotherapie – kein Vorteil für Gesamtüberleben</w:t>
      </w:r>
    </w:p>
    <w:p>
      <w:r>
        <w:rPr>
          <w:i/>
          <w:color w:val="666666"/>
          <w:sz w:val="18"/>
        </w:rPr>
        <w:t>Huober J et al.  ·  ESMO Open  ·  24.09.2026  ·  PMID 42785163</w:t>
      </w:r>
    </w:p>
    <w:p>
      <w:r>
        <w:t>Phase-III-Studie (IMpassion050): Neoadjuvante Atezolizumab-Addition zur Standard-Therapie bei HER2-positivem Frühbrustkrebs hohen Risikos – Intention-to-treat und PD-L1-positive Kohorte.</w:t>
      </w:r>
    </w:p>
    <w:p>
      <w:r>
        <w:rPr>
          <w:b/>
        </w:rPr>
        <w:t xml:space="preserve">Ergebnis: </w:t>
      </w:r>
      <w:r>
        <w:t>3-Jahres-Event-Free-Survival 91,4% (Atezolizumab) vs 89,0% (Placebo); Hazard Ratio 0,90 [95% CI 0,50–1,59]; 3-Jahres-Disease-Free-Survival 92,9% vs 88,5% (HR 0,71 [95% CI 0,38–1,32]). Keine signifikanten Unterschiede. Immuntherapie-assoziierte unerwünschte Ereignisse häufiger (59,4% vs 47,0%).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Multicenterstudie, deutsche Beteiligung, direkt anwendbar.</w:t>
      </w:r>
    </w:p>
    <w:p>
      <w:r>
        <w:rPr>
          <w:color w:val="5A7D3A"/>
          <w:sz w:val="18"/>
        </w:rPr>
        <w:t>https://pubmed.ncbi.nlm.nih.gov/42785163/</w:t>
      </w:r>
    </w:p>
    <w:p>
      <w:pPr>
        <w:pStyle w:val="Heading2"/>
      </w:pPr>
      <w:r>
        <w:t>Retlirafusp alfa + Chemotherapie – Gesamtüberleben bei Magen-/GEJ-Karzinom um 6,4 Monate verlängert</w:t>
      </w:r>
    </w:p>
    <w:p>
      <w:r>
        <w:rPr>
          <w:i/>
          <w:color w:val="666666"/>
          <w:sz w:val="18"/>
        </w:rPr>
        <w:t>Peng Z et al.  ·  J Clin Oncol  ·  24.09.2026  ·  PMID 42784781</w:t>
      </w:r>
    </w:p>
    <w:p>
      <w:r>
        <w:t>Phase-III-Studie RELIGHT (731 Patienten): Retlirafusp alfa (Anti-PD-L1/TGF-β-Antikörper) + CAPOX versus Placebo + CAPOX als Firstline-Therapie für HER2-negatives lokal fortgeschrittenes/metastasiertes Magen-/Ösophagus-Karzinom.</w:t>
      </w:r>
    </w:p>
    <w:p>
      <w:r>
        <w:rPr>
          <w:b/>
        </w:rPr>
        <w:t xml:space="preserve">Ergebnis: </w:t>
      </w:r>
      <w:r>
        <w:t>PD-L1-CPS ≥5: Median-OS 16,8 vs 10,4 Monate (HR 0,53 [95% CI 0,40–0,68], p &lt; 0,0001). ITT-Analyse: 15,8 vs 11,2 Monate (HR 0,66 [95% CI 0,53–0,81], p &lt; 0,0001). Median-PFS 7,6 vs 5,5 Monate (HR 0,52). Toxizität vergleichbar (Grade ≥3: 62,6% vs 59,0%).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 (Versicherungssystem unterschiedlich); in Deutschland Vergleich zu PD-1-Inhibitor+Chemotherapie erforderlich.</w:t>
      </w:r>
    </w:p>
    <w:p>
      <w:r>
        <w:rPr>
          <w:color w:val="5A7D3A"/>
          <w:sz w:val="18"/>
        </w:rPr>
        <w:t>https://pubmed.ncbi.nlm.nih.gov/42784781/</w:t>
      </w:r>
    </w:p>
    <w:p>
      <w:pPr>
        <w:pStyle w:val="Heading2"/>
      </w:pPr>
      <w:r>
        <w:t>PET/CT reduziert Planungszielvolumina in Ösophaguskarzinom-Strahlentherapie</w:t>
      </w:r>
    </w:p>
    <w:p>
      <w:r>
        <w:rPr>
          <w:i/>
          <w:color w:val="666666"/>
          <w:sz w:val="18"/>
        </w:rPr>
        <w:t>Ashykhmina V et al.  ·  Strahlenther Onkol  ·  24.09.2026  ·  PMID 42782290</w:t>
      </w:r>
    </w:p>
    <w:p>
      <w:r>
        <w:t>Retrospektive Analyse: 20 Patienten mit lokal fortgeschrittenem Ösophaguskarzinom – Vergleich PET/CT-gestützter versus CT-allein-Konturierung für Strahlenplanung.</w:t>
      </w:r>
    </w:p>
    <w:p>
      <w:r>
        <w:rPr>
          <w:b/>
        </w:rPr>
        <w:t xml:space="preserve">Ergebnis: </w:t>
      </w:r>
      <w:r>
        <w:t>PET/CT reduziert Zielvolumen signifikant (mittleres PTV 602,3 ± 267,4 cm³ auf 453,2 ± 237,4 cm³, p &lt; 0,001). Lungen-V20 sank von 10,39 ± 1,23% auf 7,85 ± 1,18% (p = 0,001). Geometrische Unterschiede &gt;100 cm³ in 20% der Fälle. Interobserver-Variabilität beim PET/CT-Targeting niedriger.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 (Magdeburg), prospektive Validierung erforderlich.</w:t>
      </w:r>
    </w:p>
    <w:p>
      <w:r>
        <w:rPr>
          <w:color w:val="5A7D3A"/>
          <w:sz w:val="18"/>
        </w:rPr>
        <w:t>https://pubmed.ncbi.nlm.nih.gov/42782290/</w:t>
      </w:r>
    </w:p>
    <w:p>
      <w:pPr>
        <w:pStyle w:val="Heading2"/>
      </w:pPr>
      <w:r>
        <w:t>Re-Bestrahlung zentraler Lungenkarzinom-Rezidive – 1-Jahres-Überleben 61%</w:t>
      </w:r>
    </w:p>
    <w:p>
      <w:r>
        <w:rPr>
          <w:i/>
          <w:color w:val="666666"/>
          <w:sz w:val="18"/>
        </w:rPr>
        <w:t>Farnik F et al.  ·  Strahlenther Onkol  ·  24.09.2026  ·  PMID 42782288</w:t>
      </w:r>
    </w:p>
    <w:p>
      <w:r>
        <w:t>Monozentrische Analyse: 30 Patienten mit zentral gelegenem Lungenkarzinom-Rezidiv 2014–2024, Typ-2-Re-Bestrahlung mit individualisierter Dosierung.</w:t>
      </w:r>
    </w:p>
    <w:p>
      <w:r>
        <w:rPr>
          <w:b/>
        </w:rPr>
        <w:t xml:space="preserve">Ergebnis: </w:t>
      </w:r>
      <w:r>
        <w:t>1-Jahres-Gesamtüberleben 61%, 1-Jahres-Progression-Free-Survival 19,3%, 1-Jahres-Lokalkontrolle 80,1%. Mediane EQD2 49,5 Gy. Nur ein Fall Grade-3-Spätkomplikation (Ösophagusstenose), gute Verträglichkeit. Alter &gt;65 Jahre einziger unabhängiger Prognosefaktor für besseres PFS.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Monocenterstudie (Erlangen), begrenzte Fallzahl.</w:t>
      </w:r>
    </w:p>
    <w:p>
      <w:r>
        <w:rPr>
          <w:color w:val="5A7D3A"/>
          <w:sz w:val="18"/>
        </w:rPr>
        <w:t>https://pubmed.ncbi.nlm.nih.gov/42782288/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2026-09-25T06:00:00Z</dcterms:created>
  <dcterms:modified xsi:type="dcterms:W3CDTF">2026-09-25T06:00:00Z</dcterms:modified>
  <cp:category/>
</cp:coreProperties>
</file>