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06.10.2026  |  6 Studien  |  onkologie.m-vf.de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EGCG reduziert EBV-Reaktivierung bei Nasopharynxkarzinom nicht</w:t>
      </w:r>
    </w:p>
    <w:p>
      <w:r>
        <w:rPr>
          <w:i/>
          <w:color w:val="666666"/>
          <w:sz w:val="18"/>
        </w:rPr>
        <w:t>Tsai HJ et al.  ·  Eur J Cancer  ·  01.10.2026  ·  PMID 42833136</w:t>
      </w:r>
    </w:p>
    <w:p>
      <w:r>
        <w:t>Randomisierte Studie bei 353 Patienten mit Nasopharynxkarzinom in Remission: Epigallocatechingallat (EGCG) aus grünem Tee versus Placebo für 3 Jahre zur Verhinderung von EBV-Reaktivierung und Tumorrezidiv.</w:t>
      </w:r>
    </w:p>
    <w:p>
      <w:r>
        <w:rPr>
          <w:b/>
        </w:rPr>
        <w:t xml:space="preserve">Ergebnis: </w:t>
      </w:r>
      <w:r>
        <w:t>EGCG reduzierte weder die EBV-DNA-Reaktivierungsrate noch die Rezidivrate signifikant. Positive plasma-EBV-DNA war jedoch stark mit hoher Rezidivrate und kürzerer rezidivfreier sowie Gesamtüberlebenszeit assoziiert (alle p&lt;0,05). EBV-DNA eignet sich als Überwachungsmarker.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Taiwan-Studie, aber Methodik und Ergebnis sind auf HNO-Zentren übertragbar</w:t>
      </w:r>
    </w:p>
    <w:p>
      <w:r>
        <w:rPr>
          <w:color w:val="5A7D3A"/>
          <w:sz w:val="18"/>
        </w:rPr>
        <w:t>https://pubmed.ncbi.nlm.nih.gov/42833136/</w:t>
      </w:r>
    </w:p>
    <w:p>
      <w:pPr>
        <w:pStyle w:val="Heading2"/>
      </w:pPr>
      <w:r>
        <w:t>Mosunetuzumab-Polatuzumab bei älteren fragilen Patienten mit großzelligem B-Lymphom</w:t>
      </w:r>
    </w:p>
    <w:p>
      <w:r>
        <w:rPr>
          <w:i/>
          <w:color w:val="666666"/>
          <w:sz w:val="18"/>
        </w:rPr>
        <w:t>Olszewski AJ et al.  ·  Blood  ·  05.10.2026  ·  PMID 42832423</w:t>
      </w:r>
    </w:p>
    <w:p>
      <w:r>
        <w:t>Offene Phase-I/II-Studie mit 101 älteren/unfitness Patienten mit neu diagnostiziertem diffusem großzelligem B-Lymphom (Medianalter 81 Jahre): Mosunetuzumab plus Polatuzumab vedotin für bis zu 8 Zyklen, bewertet nach geriatrischer Assessmentklassifikation.</w:t>
      </w:r>
    </w:p>
    <w:p>
      <w:r>
        <w:rPr>
          <w:b/>
        </w:rPr>
        <w:t xml:space="preserve">Ergebnis: </w:t>
      </w:r>
      <w:r>
        <w:t>ORR 61,4%, komplette Remission 56,4%. Zwei-Jahres-PFS 52,2%, Zwei-Jahres-OS 62,4% (Median nicht erreicht). Cytokine-Release-Syndrome in 30,6% (überwiegend Grad 1). Infektionsbedingte Mortalität vor allem bei als 'frail' klassifizierten Patienten und während COVID-19-Pandemie.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Design, deutschsprachiger Co-Autor, vergleichbare Behandlungsstandards</w:t>
      </w:r>
    </w:p>
    <w:p>
      <w:r>
        <w:rPr>
          <w:color w:val="5A7D3A"/>
          <w:sz w:val="18"/>
        </w:rPr>
        <w:t>https://pubmed.ncbi.nlm.nih.gov/42832423/</w:t>
      </w:r>
    </w:p>
    <w:p>
      <w:pPr>
        <w:pStyle w:val="Heading2"/>
      </w:pPr>
      <w:r>
        <w:t>RVD-lite bewährt sich langfristig bei älteren Multiplem Myelom</w:t>
      </w:r>
    </w:p>
    <w:p>
      <w:r>
        <w:rPr>
          <w:i/>
          <w:color w:val="666666"/>
          <w:sz w:val="18"/>
        </w:rPr>
        <w:t>Gustine JN et al.  ·  Clin Cancer Res  ·  05.10.2026  ·  PMID 42832368</w:t>
      </w:r>
    </w:p>
    <w:p>
      <w:r>
        <w:t>Phase-II-Studie mit 50 transplantationsungeeigneten Myelom-Patienten (Medianalter 73 Jahre): modifizierte Intensität von Lenalidomid, Bortezomib, Dexamethason über 9 Induktions- und 6 Konsolidierungszyklen, Mediannachverfolgung 72 Monate.</w:t>
      </w:r>
    </w:p>
    <w:p>
      <w:r>
        <w:rPr>
          <w:b/>
        </w:rPr>
        <w:t xml:space="preserve">Ergebnis: </w:t>
      </w:r>
      <w:r>
        <w:t>ORR 90%, ≥VGPR 66%. Median-PFS 42 Monate (5-Jahres-PFS 40%), Median-OS 76 Monate (5-Jahres-OS 63%). ECOG-Status 2 assoziiert mit schlechterer PFS und OS. Nur 4% Therapieabbau wegen Toxizität, keine behandlungsbedingte 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US-akademisches Zentrum, aber Outcome-Daten für deutschsprachige Praxen relevant</w:t>
      </w:r>
    </w:p>
    <w:p>
      <w:r>
        <w:rPr>
          <w:color w:val="5A7D3A"/>
          <w:sz w:val="18"/>
        </w:rPr>
        <w:t>https://pubmed.ncbi.nlm.nih.gov/42832368/</w:t>
      </w:r>
    </w:p>
    <w:p>
      <w:pPr>
        <w:pStyle w:val="Heading2"/>
      </w:pPr>
      <w:r>
        <w:t>Finanzielle Anreize fördern Rauchstopp bei Lungenkrebsscreening</w:t>
      </w:r>
    </w:p>
    <w:p>
      <w:r>
        <w:rPr>
          <w:i/>
          <w:color w:val="666666"/>
          <w:sz w:val="18"/>
        </w:rPr>
        <w:t>Hart JL et al.  ·  JAMA  ·  05.10.2026  ·  PMID 42832220</w:t>
      </w:r>
    </w:p>
    <w:p>
      <w:r>
        <w:t>Randomisierte Studie mit 3.220 unterversorgten Rauchern beim Lungenkrebsscreening in USA: vier Strategien verglichen – Standardberatung, plus freie Pharmakotherapie, plus finanzielle Anreize bis 600 USD, plus mobile Health-App.</w:t>
      </w:r>
    </w:p>
    <w:p>
      <w:r>
        <w:rPr>
          <w:b/>
        </w:rPr>
        <w:t xml:space="preserve">Ergebnis: </w:t>
      </w:r>
      <w:r>
        <w:t>Sustained Abstinenz über 6 Monate: 4,3% (Standardberatung), 5,1% (Pharmaka), 8,8% (Anreize), 7,2% (Anreize+App). Anreize zeigten adjustierte Differenz von +4,6% gegenüber Standard (p&lt;0,001) und +4,1% gegenüber Standard+Pharmaka (p&lt;0,001). Freie Medikation allein war nicht überlegen.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 mit anderer Krankenversicherung, aber Befund zu Anreizmechanismen gesundheitssystemübergreifend relevant</w:t>
      </w:r>
    </w:p>
    <w:p>
      <w:r>
        <w:rPr>
          <w:color w:val="5A7D3A"/>
          <w:sz w:val="18"/>
        </w:rPr>
        <w:t>https://pubmed.ncbi.nlm.nih.gov/42832220/</w:t>
      </w:r>
    </w:p>
    <w:p>
      <w:pPr>
        <w:pStyle w:val="Heading2"/>
      </w:pPr>
      <w:r>
        <w:t>Sequenzierung von Regorafenib vor Anti-EGFR ist möglich – Studie aber unterbesetzt</w:t>
      </w:r>
    </w:p>
    <w:p>
      <w:r>
        <w:rPr>
          <w:i/>
          <w:color w:val="666666"/>
          <w:sz w:val="18"/>
        </w:rPr>
        <w:t>Abidoye OB et al.  ·  Oncologist  ·  03.10.2026  ·  PMID 42830449</w:t>
      </w:r>
    </w:p>
    <w:p>
      <w:r>
        <w:t>Phase-II-Randomisierungsstudie REVERCE II mit 22 Patienten mit RAS/BRAF-WT metastasiertem Kolorektalkarzinom nach Standardchemotherapie: Regorafenib → Anti-EGFR versus Anti-EGFR → Regorafenib sequenziell, primärer Endpunkt Gesamtüberleben.</w:t>
      </w:r>
    </w:p>
    <w:p>
      <w:r>
        <w:rPr>
          <w:b/>
        </w:rPr>
        <w:t xml:space="preserve">Ergebnis: </w:t>
      </w:r>
      <w:r>
        <w:t>Wegen langsamer Rekrutierung vorzeitig geschlossen. Median-OS: Regorafenib-First 21,9 vs. EGFR-First 13,3 Monate (einseitig p=0,114). PFS1 2,5 vs. 5,6 Monate (p=0,998), PFS2 3,7 vs. 2,0 Monate (p=0,086). Regorafenib-First zeigte numerischen OS-Vorteil ohne Signifikanz. Keine wesentlichen Unterschiede in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USA-amerikanische Studie, unterbesetzt, aber Sequenzierungsfrage für deutsche Praxen relevant</w:t>
      </w:r>
    </w:p>
    <w:p>
      <w:r>
        <w:rPr>
          <w:color w:val="5A7D3A"/>
          <w:sz w:val="18"/>
        </w:rPr>
        <w:t>https://pubmed.ncbi.nlm.nih.gov/42830449/</w:t>
      </w:r>
    </w:p>
    <w:p>
      <w:pPr>
        <w:pStyle w:val="Heading2"/>
      </w:pPr>
      <w:r>
        <w:t>Molekulares Profiling von Schweißdrüsenkarzinomen identifiziert Therapieziele</w:t>
      </w:r>
    </w:p>
    <w:p>
      <w:r>
        <w:rPr>
          <w:i/>
          <w:color w:val="666666"/>
          <w:sz w:val="18"/>
        </w:rPr>
        <w:t>Racz L et al.  ·  Eur J Cancer  ·  16.10.2026  ·  PMID 42762558</w:t>
      </w:r>
    </w:p>
    <w:p>
      <w:r>
        <w:t>Narrative Übersicht über genetische Landschaft von über 20 seltenen Schweißdrüsenkarzinom-Entitäten (SGC) mit Fokus auf Mutationslandschaften und therapeutische Angriffspunkte für aggressive Tumoren ohne Therapieoptionen im fortgeschrittenen Stadium.</w:t>
      </w:r>
    </w:p>
    <w:p>
      <w:r>
        <w:rPr>
          <w:b/>
        </w:rPr>
        <w:t xml:space="preserve">Ergebnis: </w:t>
      </w:r>
      <w:r>
        <w:t>SGCs zeigen hohe Mutationslast, UV-induzierte DNA-Schädigungssignaturen, EGFR-Dysregulation, Defekte in Homolog-Rekombinations-Reparatur. Rezidivierende Alterationen in TP53, PIK3CA, CDKN2A/B identifiziert. Fusionsgene teilweise entitätsspezifisch; digital-papilläres Adenokarzinom einziges HPV42-getriebenes SGC. Empfehlung: umfassendes molekulares Profiling + Systemregistern für seltene Krebsarten.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Autor:innen, deutschsprachige Zentren einbezogen, gültig für Zertifizierungsanforderungen</w:t>
      </w:r>
    </w:p>
    <w:p>
      <w:r>
        <w:rPr>
          <w:color w:val="5A7D3A"/>
          <w:sz w:val="18"/>
        </w:rPr>
        <w:t>https://pubmed.ncbi.nlm.nih.gov/42762558/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