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Onkologie</w:t>
      </w:r>
    </w:p>
    <w:p>
      <w:r>
        <w:rPr>
          <w:i/>
          <w:color w:val="666666"/>
          <w:sz w:val="18"/>
        </w:rPr>
        <w:t>Stand: 06.10.2026  |  170 Studien  |  onkologie.m-vf.de</w:t>
      </w:r>
    </w:p>
    <w:p>
      <w:pPr>
        <w:pStyle w:val="Heading1"/>
      </w:pPr>
      <w:r>
        <w:t>Aufgenommen am 06.10.2026</w:t>
      </w:r>
    </w:p>
    <w:p>
      <w:pPr>
        <w:pStyle w:val="Heading2"/>
      </w:pPr>
      <w:r>
        <w:t>EGCG reduziert EBV-Reaktivierung bei Nasopharynxkarzinom nicht</w:t>
      </w:r>
    </w:p>
    <w:p>
      <w:r>
        <w:rPr>
          <w:i/>
          <w:color w:val="666666"/>
          <w:sz w:val="18"/>
        </w:rPr>
        <w:t>Tsai HJ et al.  ·  Eur J Cancer  ·  01.10.2026  ·  PMID 42833136</w:t>
      </w:r>
    </w:p>
    <w:p>
      <w:r>
        <w:t>Randomisierte Studie bei 353 Patienten mit Nasopharynxkarzinom in Remission: Epigallocatechingallat (EGCG) aus grünem Tee versus Placebo für 3 Jahre zur Verhinderung von EBV-Reaktivierung und Tumorrezidiv.</w:t>
      </w:r>
    </w:p>
    <w:p>
      <w:r>
        <w:rPr>
          <w:b/>
        </w:rPr>
        <w:t xml:space="preserve">Ergebnis: </w:t>
      </w:r>
      <w:r>
        <w:t>EGCG reduzierte weder die EBV-DNA-Reaktivierungsrate noch die Rezidivrate signifikant. Positive plasma-EBV-DNA war jedoch stark mit hoher Rezidivrate und kürzerer rezidivfreier sowie Gesamtüberlebenszeit assoziiert (alle p&lt;0,05). EBV-DNA eignet sich als Überwachungsmarker.</w:t>
      </w:r>
    </w:p>
    <w:p>
      <w:r>
        <w:rPr>
          <w:b/>
          <w:sz w:val="19"/>
        </w:rPr>
        <w:t xml:space="preserve">Übertragbarkeit: </w:t>
      </w:r>
      <w:r>
        <w:rPr>
          <w:sz w:val="19"/>
        </w:rPr>
        <w:t>Taiwan-Studie, aber Methodik und Ergebnis sind auf HNO-Zentren übertragbar</w:t>
      </w:r>
    </w:p>
    <w:p>
      <w:r>
        <w:rPr>
          <w:color w:val="5A7D3A"/>
          <w:sz w:val="18"/>
        </w:rPr>
        <w:t>https://pubmed.ncbi.nlm.nih.gov/42833136/</w:t>
      </w:r>
    </w:p>
    <w:p>
      <w:pPr>
        <w:pStyle w:val="Heading2"/>
      </w:pPr>
      <w:r>
        <w:t>Mosunetuzumab-Polatuzumab bei älteren fragilen Patienten mit großzelligem B-Lymphom</w:t>
      </w:r>
    </w:p>
    <w:p>
      <w:r>
        <w:rPr>
          <w:i/>
          <w:color w:val="666666"/>
          <w:sz w:val="18"/>
        </w:rPr>
        <w:t>Olszewski AJ et al.  ·  Blood  ·  05.10.2026  ·  PMID 42832423</w:t>
      </w:r>
    </w:p>
    <w:p>
      <w:r>
        <w:t>Offene Phase-I/II-Studie mit 101 älteren/unfitness Patienten mit neu diagnostiziertem diffusem großzelligem B-Lymphom (Medianalter 81 Jahre): Mosunetuzumab plus Polatuzumab vedotin für bis zu 8 Zyklen, bewertet nach geriatrischer Assessmentklassifikation.</w:t>
      </w:r>
    </w:p>
    <w:p>
      <w:r>
        <w:rPr>
          <w:b/>
        </w:rPr>
        <w:t xml:space="preserve">Ergebnis: </w:t>
      </w:r>
      <w:r>
        <w:t>ORR 61,4%, komplette Remission 56,4%. Zwei-Jahres-PFS 52,2%, Zwei-Jahres-OS 62,4% (Median nicht erreicht). Cytokine-Release-Syndrome in 30,6% (überwiegend Grad 1). Infektionsbedingte Mortalität vor allem bei als 'frail' klassifizierten Patienten und während COVID-19-Pandemie.</w:t>
      </w:r>
    </w:p>
    <w:p>
      <w:r>
        <w:rPr>
          <w:b/>
          <w:sz w:val="19"/>
        </w:rPr>
        <w:t xml:space="preserve">Übertragbarkeit: </w:t>
      </w:r>
      <w:r>
        <w:rPr>
          <w:sz w:val="19"/>
        </w:rPr>
        <w:t>Internationales Design, deutschsprachiger Co-Autor, vergleichbare Behandlungsstandards</w:t>
      </w:r>
    </w:p>
    <w:p>
      <w:r>
        <w:rPr>
          <w:color w:val="5A7D3A"/>
          <w:sz w:val="18"/>
        </w:rPr>
        <w:t>https://pubmed.ncbi.nlm.nih.gov/42832423/</w:t>
      </w:r>
    </w:p>
    <w:p>
      <w:pPr>
        <w:pStyle w:val="Heading2"/>
      </w:pPr>
      <w:r>
        <w:t>RVD-lite bewährt sich langfristig bei älteren Multiplem Myelom</w:t>
      </w:r>
    </w:p>
    <w:p>
      <w:r>
        <w:rPr>
          <w:i/>
          <w:color w:val="666666"/>
          <w:sz w:val="18"/>
        </w:rPr>
        <w:t>Gustine JN et al.  ·  Clin Cancer Res  ·  05.10.2026  ·  PMID 42832368</w:t>
      </w:r>
    </w:p>
    <w:p>
      <w:r>
        <w:t>Phase-II-Studie mit 50 transplantationsungeeigneten Myelom-Patienten (Medianalter 73 Jahre): modifizierte Intensität von Lenalidomid, Bortezomib, Dexamethason über 9 Induktions- und 6 Konsolidierungszyklen, Mediannachverfolgung 72 Monate.</w:t>
      </w:r>
    </w:p>
    <w:p>
      <w:r>
        <w:rPr>
          <w:b/>
        </w:rPr>
        <w:t xml:space="preserve">Ergebnis: </w:t>
      </w:r>
      <w:r>
        <w:t>ORR 90%, ≥VGPR 66%. Median-PFS 42 Monate (5-Jahres-PFS 40%), Median-OS 76 Monate (5-Jahres-OS 63%). ECOG-Status 2 assoziiert mit schlechterer PFS und OS. Nur 4% Therapieabbau wegen Toxizität, keine behandlungsbedingte Mortalität.</w:t>
      </w:r>
    </w:p>
    <w:p>
      <w:r>
        <w:rPr>
          <w:b/>
          <w:sz w:val="19"/>
        </w:rPr>
        <w:t xml:space="preserve">Übertragbarkeit: </w:t>
      </w:r>
      <w:r>
        <w:rPr>
          <w:sz w:val="19"/>
        </w:rPr>
        <w:t>US-akademisches Zentrum, aber Outcome-Daten für deutschsprachige Praxen relevant</w:t>
      </w:r>
    </w:p>
    <w:p>
      <w:r>
        <w:rPr>
          <w:color w:val="5A7D3A"/>
          <w:sz w:val="18"/>
        </w:rPr>
        <w:t>https://pubmed.ncbi.nlm.nih.gov/42832368/</w:t>
      </w:r>
    </w:p>
    <w:p>
      <w:pPr>
        <w:pStyle w:val="Heading2"/>
      </w:pPr>
      <w:r>
        <w:t>Finanzielle Anreize fördern Rauchstopp bei Lungenkrebsscreening</w:t>
      </w:r>
    </w:p>
    <w:p>
      <w:r>
        <w:rPr>
          <w:i/>
          <w:color w:val="666666"/>
          <w:sz w:val="18"/>
        </w:rPr>
        <w:t>Hart JL et al.  ·  JAMA  ·  05.10.2026  ·  PMID 42832220</w:t>
      </w:r>
    </w:p>
    <w:p>
      <w:r>
        <w:t>Randomisierte Studie mit 3.220 unterversorgten Rauchern beim Lungenkrebsscreening in USA: vier Strategien verglichen – Standardberatung, plus freie Pharmakotherapie, plus finanzielle Anreize bis 600 USD, plus mobile Health-App.</w:t>
      </w:r>
    </w:p>
    <w:p>
      <w:r>
        <w:rPr>
          <w:b/>
        </w:rPr>
        <w:t xml:space="preserve">Ergebnis: </w:t>
      </w:r>
      <w:r>
        <w:t>Sustained Abstinenz über 6 Monate: 4,3% (Standardberatung), 5,1% (Pharmaka), 8,8% (Anreize), 7,2% (Anreize+App). Anreize zeigten adjustierte Differenz von +4,6% gegenüber Standard (p&lt;0,001) und +4,1% gegenüber Standard+Pharmaka (p&lt;0,001). Freie Medikation allein war nicht überlegen.</w:t>
      </w:r>
    </w:p>
    <w:p>
      <w:r>
        <w:rPr>
          <w:b/>
          <w:sz w:val="19"/>
        </w:rPr>
        <w:t xml:space="preserve">Übertragbarkeit: </w:t>
      </w:r>
      <w:r>
        <w:rPr>
          <w:sz w:val="19"/>
        </w:rPr>
        <w:t>USA-System mit anderer Krankenversicherung, aber Befund zu Anreizmechanismen gesundheitssystemübergreifend relevant</w:t>
      </w:r>
    </w:p>
    <w:p>
      <w:r>
        <w:rPr>
          <w:color w:val="5A7D3A"/>
          <w:sz w:val="18"/>
        </w:rPr>
        <w:t>https://pubmed.ncbi.nlm.nih.gov/42832220/</w:t>
      </w:r>
    </w:p>
    <w:p>
      <w:pPr>
        <w:pStyle w:val="Heading2"/>
      </w:pPr>
      <w:r>
        <w:t>Sequenzierung von Regorafenib vor Anti-EGFR ist möglich – Studie aber unterbesetzt</w:t>
      </w:r>
    </w:p>
    <w:p>
      <w:r>
        <w:rPr>
          <w:i/>
          <w:color w:val="666666"/>
          <w:sz w:val="18"/>
        </w:rPr>
        <w:t>Abidoye OB et al.  ·  Oncologist  ·  03.10.2026  ·  PMID 42830449</w:t>
      </w:r>
    </w:p>
    <w:p>
      <w:r>
        <w:t>Phase-II-Randomisierungsstudie REVERCE II mit 22 Patienten mit RAS/BRAF-WT metastasiertem Kolorektalkarzinom nach Standardchemotherapie: Regorafenib → Anti-EGFR versus Anti-EGFR → Regorafenib sequenziell, primärer Endpunkt Gesamtüberleben.</w:t>
      </w:r>
    </w:p>
    <w:p>
      <w:r>
        <w:rPr>
          <w:b/>
        </w:rPr>
        <w:t xml:space="preserve">Ergebnis: </w:t>
      </w:r>
      <w:r>
        <w:t>Wegen langsamer Rekrutierung vorzeitig geschlossen. Median-OS: Regorafenib-First 21,9 vs. EGFR-First 13,3 Monate (einseitig p=0,114). PFS1 2,5 vs. 5,6 Monate (p=0,998), PFS2 3,7 vs. 2,0 Monate (p=0,086). Regorafenib-First zeigte numerischen OS-Vorteil ohne Signifikanz. Keine wesentlichen Unterschiede in Nebenwirkungen.</w:t>
      </w:r>
    </w:p>
    <w:p>
      <w:r>
        <w:rPr>
          <w:b/>
          <w:sz w:val="19"/>
        </w:rPr>
        <w:t xml:space="preserve">Übertragbarkeit: </w:t>
      </w:r>
      <w:r>
        <w:rPr>
          <w:sz w:val="19"/>
        </w:rPr>
        <w:t>USA-amerikanische Studie, unterbesetzt, aber Sequenzierungsfrage für deutsche Praxen relevant</w:t>
      </w:r>
    </w:p>
    <w:p>
      <w:r>
        <w:rPr>
          <w:color w:val="5A7D3A"/>
          <w:sz w:val="18"/>
        </w:rPr>
        <w:t>https://pubmed.ncbi.nlm.nih.gov/42830449/</w:t>
      </w:r>
    </w:p>
    <w:p>
      <w:pPr>
        <w:pStyle w:val="Heading2"/>
      </w:pPr>
      <w:r>
        <w:t>Molekulares Profiling von Schweißdrüsenkarzinomen identifiziert Therapieziele</w:t>
      </w:r>
    </w:p>
    <w:p>
      <w:r>
        <w:rPr>
          <w:i/>
          <w:color w:val="666666"/>
          <w:sz w:val="18"/>
        </w:rPr>
        <w:t>Racz L et al.  ·  Eur J Cancer  ·  16.10.2026  ·  PMID 42762558</w:t>
      </w:r>
    </w:p>
    <w:p>
      <w:r>
        <w:t>Narrative Übersicht über genetische Landschaft von über 20 seltenen Schweißdrüsenkarzinom-Entitäten (SGC) mit Fokus auf Mutationslandschaften und therapeutische Angriffspunkte für aggressive Tumoren ohne Therapieoptionen im fortgeschrittenen Stadium.</w:t>
      </w:r>
    </w:p>
    <w:p>
      <w:r>
        <w:rPr>
          <w:b/>
        </w:rPr>
        <w:t xml:space="preserve">Ergebnis: </w:t>
      </w:r>
      <w:r>
        <w:t>SGCs zeigen hohe Mutationslast, UV-induzierte DNA-Schädigungssignaturen, EGFR-Dysregulation, Defekte in Homolog-Rekombinations-Reparatur. Rezidivierende Alterationen in TP53, PIK3CA, CDKN2A/B identifiziert. Fusionsgene teilweise entitätsspezifisch; digital-papilläres Adenokarzinom einziges HPV42-getriebenes SGC. Empfehlung: umfassendes molekulares Profiling + Systemregistern für seltene Krebsarten.</w:t>
      </w:r>
    </w:p>
    <w:p>
      <w:r>
        <w:rPr>
          <w:b/>
          <w:sz w:val="19"/>
        </w:rPr>
        <w:t xml:space="preserve">Übertragbarkeit: </w:t>
      </w:r>
      <w:r>
        <w:rPr>
          <w:sz w:val="19"/>
        </w:rPr>
        <w:t>Deutsche und europäische Autor:innen, deutschsprachige Zentren einbezogen, gültig für Zertifizierungsanforderungen</w:t>
      </w:r>
    </w:p>
    <w:p>
      <w:r>
        <w:rPr>
          <w:color w:val="5A7D3A"/>
          <w:sz w:val="18"/>
        </w:rPr>
        <w:t>https://pubmed.ncbi.nlm.nih.gov/42762558/</w:t>
      </w:r>
    </w:p>
    <w:p>
      <w:pPr>
        <w:pStyle w:val="Heading1"/>
      </w:pPr>
      <w:r>
        <w:t>Aufgenommen am 05.10.2026</w:t>
      </w:r>
    </w:p>
    <w:p>
      <w:pPr>
        <w:pStyle w:val="Heading2"/>
      </w:pPr>
      <w:r>
        <w:t>3D-DNA-Architektur in IDH1- und DNMT3A-mutanter AML identifiziert IGF1R- und MAPK-Vulnerabilität</w:t>
      </w:r>
    </w:p>
    <w:p>
      <w:r>
        <w:rPr>
          <w:i/>
          <w:color w:val="666666"/>
          <w:sz w:val="18"/>
        </w:rPr>
        <w:t>Steinhäuser S et al.  ·  Leukemia  ·  01.10.2026  ·  PMID 42823507</w:t>
      </w:r>
    </w:p>
    <w:p>
      <w:r>
        <w:t>Deutsche Studie an Primärproben von AML-Patienten, die mutations-spezifische Veränderungen der 3D-Genom-Architektur analysierte und damit verbundene therapeutische Targets identifizierte.</w:t>
      </w:r>
    </w:p>
    <w:p>
      <w:r>
        <w:rPr>
          <w:b/>
        </w:rPr>
        <w:t xml:space="preserve">Ergebnis: </w:t>
      </w:r>
      <w:r>
        <w:t>IDH1-mutante AML zeigte Sensitivität gegen IGF1R-Inhibitor BMS-754807, DNMT3A-mutante AML gegen p38/MAPK-Inhibitor ralimetinib. Die 3D-DNA-Konformationsveränderungen waren spezifisch für die Mutationen und wurden in Zelllinien und Patientenproben bestätigt.</w:t>
      </w:r>
    </w:p>
    <w:p>
      <w:r>
        <w:rPr>
          <w:b/>
          <w:sz w:val="19"/>
        </w:rPr>
        <w:t xml:space="preserve">Übertragbarkeit: </w:t>
      </w:r>
      <w:r>
        <w:rPr>
          <w:sz w:val="19"/>
        </w:rPr>
        <w:t>Deutsche Universitätsklinika (Kiel, Dresden, Berlin), identifiziert Therapieoptionen für AML-Subtypen</w:t>
      </w:r>
    </w:p>
    <w:p>
      <w:r>
        <w:rPr>
          <w:color w:val="5A7D3A"/>
          <w:sz w:val="18"/>
        </w:rPr>
        <w:t>https://pubmed.ncbi.nlm.nih.gov/42823507/</w:t>
      </w:r>
    </w:p>
    <w:p>
      <w:pPr>
        <w:pStyle w:val="Heading2"/>
      </w:pPr>
      <w:r>
        <w:t>Rassische Disparitäten in der Behandlung von Myelom-Knochenschaden: Afroamerikaner erhalten weniger BMAs</w:t>
      </w:r>
    </w:p>
    <w:p>
      <w:r>
        <w:rPr>
          <w:i/>
          <w:color w:val="666666"/>
          <w:sz w:val="18"/>
        </w:rPr>
        <w:t>Irimia RM et al.  ·  JCO Oncol Pract  ·  01.10.2026  ·  PMID 42821828</w:t>
      </w:r>
    </w:p>
    <w:p>
      <w:r>
        <w:t>Retrospektive Kohortenstudie an 350 neu diagnostizierten Myelompatienten (149 Afroamerikaner, 201 Weiße) zum Vergleich von Knochenereignissen und knochenmodifizierender Therapie im ersten Jahr nach Diagnose.</w:t>
      </w:r>
    </w:p>
    <w:p>
      <w:r>
        <w:rPr>
          <w:b/>
        </w:rPr>
        <w:t xml:space="preserve">Ergebnis: </w:t>
      </w:r>
      <w:r>
        <w:t>Afroamerikaner erhielten im ersten Jahr signifikant weniger knochenmodifizierende Agenzien (BMA): 64% vs. 77% (p=0,013), Mediandosen 5 vs. 7/Jahr (p&lt;0,001). Bei frühen Knochenereignissen (&lt;peridiagnostisch) waren Afroamerikaner weniger wahrscheinlich, ≥4 BMA-Dosen zu erhalten (46% vs. 76%, p&lt;0,001). Kumulatives SRE-Risiko post-peridiagnostisch unterschied sich nicht (16% vs. 21%, p=0,24).</w:t>
      </w:r>
    </w:p>
    <w:p>
      <w:r>
        <w:rPr>
          <w:b/>
          <w:sz w:val="19"/>
        </w:rPr>
        <w:t xml:space="preserve">Übertragbarkeit: </w:t>
      </w:r>
      <w:r>
        <w:rPr>
          <w:sz w:val="19"/>
        </w:rPr>
        <w:t>USA-Zentren, aber Erkenntnis zu Therapiedisparitäten und Unterbehandlung relevant für deutsche Versorgungsqualität</w:t>
      </w:r>
    </w:p>
    <w:p>
      <w:r>
        <w:rPr>
          <w:color w:val="5A7D3A"/>
          <w:sz w:val="18"/>
        </w:rPr>
        <w:t>https://pubmed.ncbi.nlm.nih.gov/42821828/</w:t>
      </w:r>
    </w:p>
    <w:p>
      <w:pPr>
        <w:pStyle w:val="Heading2"/>
      </w:pPr>
      <w:r>
        <w:t>Nivolumab + Ipilimumab + Strahlentherapie in mikrosatellit-stabiler CRC: ORR 10%, aber 25% bei Patienten ohne Lebermetastasen</w:t>
      </w:r>
    </w:p>
    <w:p>
      <w:r>
        <w:rPr>
          <w:i/>
          <w:color w:val="666666"/>
          <w:sz w:val="18"/>
        </w:rPr>
        <w:t>Pappas L et al.  ·  Clin Cancer Res  ·  01.10.2026  ·  PMID 42820689</w:t>
      </w:r>
    </w:p>
    <w:p>
      <w:r>
        <w:t>US-amerikanische Phase-II-Studie zur Kombination von Immune-Checkpoint-Inhibitoren mit nicht-ablativer Strahlentherapie bei refraktärer mikrosatellit-stabiler metastasierter CRC.</w:t>
      </w:r>
    </w:p>
    <w:p>
      <w:r>
        <w:rPr>
          <w:b/>
        </w:rPr>
        <w:t xml:space="preserve">Ergebnis: </w:t>
      </w:r>
      <w:r>
        <w:t>30 Patienten eingeschlossen: Gesamtansprechrate 10,0%, Krankheitskontrollrate 33,3% (unbestrahlte Läsionen). Bei Patienten ohne aktive Lebermetastasen (n=8) ORR 25%, bei Lebermetastasen (n=22) ORR 4,6%. Mediane PFS 2,4 Monate, mediane OS 12,8 Monate (95% KI 6,8–17,9). Nur 10% Grad-4-Toxizität (Lymphopenie).</w:t>
      </w:r>
    </w:p>
    <w:p>
      <w:r>
        <w:rPr>
          <w:b/>
          <w:sz w:val="19"/>
        </w:rPr>
        <w:t xml:space="preserve">Übertragbarkeit: </w:t>
      </w:r>
      <w:r>
        <w:rPr>
          <w:sz w:val="19"/>
        </w:rPr>
        <w:t>USA-Zentren, Mechanismus (Strahlentherapie + ICI) auf deutsche Zentren übertragbar</w:t>
      </w:r>
    </w:p>
    <w:p>
      <w:r>
        <w:rPr>
          <w:color w:val="5A7D3A"/>
          <w:sz w:val="18"/>
        </w:rPr>
        <w:t>https://pubmed.ncbi.nlm.nih.gov/42820689/</w:t>
      </w:r>
    </w:p>
    <w:p>
      <w:pPr>
        <w:pStyle w:val="Heading2"/>
      </w:pPr>
      <w:r>
        <w:t>TROP2-ADC F0024 in triple-negativer Brustkrebs: ORR 37,9% bei 10 mg/kg, mediane PFS 10,5 Monate</w:t>
      </w:r>
    </w:p>
    <w:p>
      <w:r>
        <w:rPr>
          <w:i/>
          <w:color w:val="666666"/>
          <w:sz w:val="18"/>
        </w:rPr>
        <w:t>Du Y et al.  ·  Eur J Cancer  ·  24.09.2026  ·  PMID 42810148</w:t>
      </w:r>
    </w:p>
    <w:p>
      <w:r>
        <w:t>Phase-I-Studie mit Dosisexpansion eines TROP2-gerichteten Antikörper-Wirkstoff-Konjugats in fortgeschrittenen Tumoren, Fokus triple-negative Brustkrebs (TNBC).</w:t>
      </w:r>
    </w:p>
    <w:p>
      <w:r>
        <w:rPr>
          <w:b/>
        </w:rPr>
        <w:t xml:space="preserve">Ergebnis: </w:t>
      </w:r>
      <w:r>
        <w:t>Bei 10 mg/kg (empfohlene Phase-II-Dosis): ORR 37,9%, mediane PFS 10,5 Monate in TNBC-Kohorte (n=29). Grad-≥3-Nebenwirkungen bei 57,7% (vorwiegend Hämatotoxizität). Dosiseskalation bei 15 mg/kg wegen kumulativer Toxizität gestoppt.</w:t>
      </w:r>
    </w:p>
    <w:p>
      <w:r>
        <w:rPr>
          <w:b/>
          <w:sz w:val="19"/>
        </w:rPr>
        <w:t xml:space="preserve">Übertragbarkeit: </w:t>
      </w:r>
      <w:r>
        <w:rPr>
          <w:sz w:val="19"/>
        </w:rPr>
        <w:t>China, aber Wirkmuster und Sicherheitsprofil für Phase-II-Planung international relevant</w:t>
      </w:r>
    </w:p>
    <w:p>
      <w:r>
        <w:rPr>
          <w:color w:val="5A7D3A"/>
          <w:sz w:val="18"/>
        </w:rPr>
        <w:t>https://pubmed.ncbi.nlm.nih.gov/42810148/</w:t>
      </w:r>
    </w:p>
    <w:p>
      <w:pPr>
        <w:pStyle w:val="Heading2"/>
      </w:pPr>
      <w:r>
        <w:t>Zugang zu klinischen Studien bei Nierenzellkarzinom: Innovation erreicht unterversorgte Gemeinschaften nicht</w:t>
      </w:r>
    </w:p>
    <w:p>
      <w:r>
        <w:rPr>
          <w:i/>
          <w:color w:val="666666"/>
          <w:sz w:val="18"/>
        </w:rPr>
        <w:t>Nandakumar V et al.  ·  JCO Oncol Pract  ·  29.09.2026  ·  PMID 42809806</w:t>
      </w:r>
    </w:p>
    <w:p>
      <w:r>
        <w:t>Qualitative Analyse der Barrieren für den Zugang zu klinischen Studien bei Nierenzellkarzinom in den USA, mit Fokus auf strukturelle und sozioökonomische Ungleichheiten.</w:t>
      </w:r>
    </w:p>
    <w:p>
      <w:r>
        <w:rPr>
          <w:b/>
        </w:rPr>
        <w:t xml:space="preserve">Ergebnis: </w:t>
      </w:r>
      <w:r>
        <w:t>Identifizierte Schlüsselbarrieren: geografische Distanz, finanzielle Belastung, mangelnde Informationen, Transportprobleme und systeminterne Aufnahmekriterien. Unterrepräsentierte Patienten hatten deutlich niedrigere Teilnahmeraten. Patienten in ländlichen Gegenden und mit niedrigerem Einkommen waren systematisch ausgeschlossen.</w:t>
      </w:r>
    </w:p>
    <w:p>
      <w:r>
        <w:rPr>
          <w:b/>
          <w:sz w:val="19"/>
        </w:rPr>
        <w:t xml:space="preserve">Übertragbarkeit: </w:t>
      </w:r>
      <w:r>
        <w:rPr>
          <w:sz w:val="19"/>
        </w:rPr>
        <w:t>USA-System, aber Erkenntnisse zu Zugangsungleichheiten gelten teilweise für deutsche Versorgungsregionen</w:t>
      </w:r>
    </w:p>
    <w:p>
      <w:r>
        <w:rPr>
          <w:color w:val="5A7D3A"/>
          <w:sz w:val="18"/>
        </w:rPr>
        <w:t>https://pubmed.ncbi.nlm.nih.gov/42809806/</w:t>
      </w:r>
    </w:p>
    <w:p>
      <w:pPr>
        <w:pStyle w:val="Heading2"/>
      </w:pPr>
      <w:r>
        <w:t>Sentinelbiopsie nach Neoadjuvanz bei lokal fortgeschrittener Brustkrebs: Falsch-negativ-Rate 2,1%</w:t>
      </w:r>
    </w:p>
    <w:p>
      <w:r>
        <w:rPr>
          <w:i/>
          <w:color w:val="666666"/>
          <w:sz w:val="18"/>
        </w:rPr>
        <w:t>Barrio AV et al.  ·  J Clin Oncol  ·  29.09.2026  ·  PMID 42809799</w:t>
      </w:r>
    </w:p>
    <w:p>
      <w:r>
        <w:t>Prospektive US-amerikanische Studie zum Staging der Axilla mittels Sentinelbiopsie nach neoadjuvanter Chemotherapie bei Patientinnen mit lokal fortgeschrittenem Brustkrebs (cT4/cN2-N3).</w:t>
      </w:r>
    </w:p>
    <w:p>
      <w:r>
        <w:rPr>
          <w:b/>
        </w:rPr>
        <w:t xml:space="preserve">Ergebnis: </w:t>
      </w:r>
      <w:r>
        <w:t>Von 145 Patienten wurden 87 mit adäquatem Mapping ausgewertet; Sentinelknoten wurden in 74% identifiziert. Falsch-negativ-Rate 2,1% (95% KI 0,1–12,7%), pathologische komplette Response 46%, nur 1 falsch-negativ in 47 Patienten mit Resterkrankung.</w:t>
      </w:r>
    </w:p>
    <w:p>
      <w:r>
        <w:rPr>
          <w:b/>
          <w:sz w:val="19"/>
        </w:rPr>
        <w:t xml:space="preserve">Übertragbarkeit: </w:t>
      </w:r>
      <w:r>
        <w:rPr>
          <w:sz w:val="19"/>
        </w:rPr>
        <w:t>USA-Zentren, aber Sentinelbiopsie-Standard übertragbar auf deutsche Zentren</w:t>
      </w:r>
    </w:p>
    <w:p>
      <w:r>
        <w:rPr>
          <w:color w:val="5A7D3A"/>
          <w:sz w:val="18"/>
        </w:rPr>
        <w:t>https://pubmed.ncbi.nlm.nih.gov/42809799/</w:t>
      </w:r>
    </w:p>
    <w:p>
      <w:pPr>
        <w:pStyle w:val="Heading1"/>
      </w:pPr>
      <w:r>
        <w:t>Aufgenommen am 04.10.2026</w:t>
      </w:r>
    </w:p>
    <w:p>
      <w:pPr>
        <w:pStyle w:val="Heading2"/>
      </w:pPr>
      <w:r>
        <w:t>Urin-cfRNA detektiert Blasenkrebs mit 95% Sensitivität, sagt BCG-Response voraus</w:t>
      </w:r>
    </w:p>
    <w:p>
      <w:r>
        <w:rPr>
          <w:i/>
          <w:color w:val="666666"/>
          <w:sz w:val="18"/>
        </w:rPr>
        <w:t>Liu KJ et al.  ·  Nat Med  ·  02.10.2026  ·  PMID 42827132</w:t>
      </w:r>
    </w:p>
    <w:p>
      <w:r>
        <w:t>Prospektive Validierungsstudie einer Liquid-Biopsy-Methode (uRARE-seq) für tumorspezifische RNA-Fragmente im Urin bei 683 Patienten mit und ohne Urogenital-Karzinome.</w:t>
      </w:r>
    </w:p>
    <w:p>
      <w:r>
        <w:rPr>
          <w:b/>
        </w:rPr>
        <w:t xml:space="preserve">Ergebnis: </w:t>
      </w:r>
      <w:r>
        <w:t>Für lokalisiertes Blasenkarzinom: 95% Sensitivität bei 90% Spezifität. Urin-cfRNA übertraf tumor-DNA-Analyse und war unaffiziert von Feldeffekt-Mutationen. Biomarker in Urin vor BCG-Therapie (Area-under-the-Curve 0,93) sagte BCG-Response voraus: Responder zeigten T-Zell- und Immun-Signaturen, Nicht-Responder Proliferations-Gene. Minimal Residual Disease wurde sensitiv detektiert. Ein Ansatz mit klinischem Nutzenpotential für Blasenkarzinom-Stratifizierung.</w:t>
      </w:r>
    </w:p>
    <w:p>
      <w:r>
        <w:rPr>
          <w:b/>
          <w:sz w:val="19"/>
        </w:rPr>
        <w:t xml:space="preserve">Übertragbarkeit: </w:t>
      </w:r>
      <w:r>
        <w:rPr>
          <w:sz w:val="19"/>
        </w:rPr>
        <w:t>USA-basierte Studie; Liquid-Biopsy-Methode technisch übertragbar, prospektive Validierung erforderlich.</w:t>
      </w:r>
    </w:p>
    <w:p>
      <w:r>
        <w:rPr>
          <w:color w:val="5A7D3A"/>
          <w:sz w:val="18"/>
        </w:rPr>
        <w:t>https://pubmed.ncbi.nlm.nih.gov/42827132/</w:t>
      </w:r>
    </w:p>
    <w:p>
      <w:pPr>
        <w:pStyle w:val="Heading2"/>
      </w:pPr>
      <w:r>
        <w:t>Ibrutinib-Venetoclax senkt Gesamtüberleben bei älteren CLL-Patienten deutlich</w:t>
      </w:r>
    </w:p>
    <w:p>
      <w:r>
        <w:rPr>
          <w:i/>
          <w:color w:val="666666"/>
          <w:sz w:val="18"/>
        </w:rPr>
        <w:t>U Niemann C et al.  ·  Leukemia  ·  02.10.2026  ·  PMID 42827117</w:t>
      </w:r>
    </w:p>
    <w:p>
      <w:r>
        <w:t>Randomisierte Phase-III-Studie (GLOW) verglich Ibrutinib-Venetoclax mit Chlorambucil-Obinutuzumab bei älteren/komorbiditätsbelasteten CLL-Patienten mit 67-Monat-Nachverfolgung.</w:t>
      </w:r>
    </w:p>
    <w:p>
      <w:r>
        <w:rPr>
          <w:b/>
        </w:rPr>
        <w:t xml:space="preserve">Ergebnis: </w:t>
      </w:r>
      <w:r>
        <w:t>Gesamtüberleben nach 66 Monaten: 79,0% vs 60,8% (Hazard Ratio 0,46). Ibrutinib-Venetoclax reduzierte das Risiko für Zweitlinientherapie um 77,4%. Progressionsfreies Überleben nach 66 Monaten: 51,7% vs 18,1% (HR 0,27). Grade-3/4-toxizitätsfreies PFS 21,4 Monate länger (51,6 vs 30,2 Monate). Eine klare Überlegenheit für die fixierte Zweierkombination bei älteren Patienten.</w:t>
      </w:r>
    </w:p>
    <w:p>
      <w:r>
        <w:rPr>
          <w:b/>
          <w:sz w:val="19"/>
        </w:rPr>
        <w:t xml:space="preserve">Übertragbarkeit: </w:t>
      </w:r>
      <w:r>
        <w:rPr>
          <w:sz w:val="19"/>
        </w:rPr>
        <w:t>Europäische Multicenterstudie mit HOVON-Zentren, deutschem Versorgungsstandard entsprechend.</w:t>
      </w:r>
    </w:p>
    <w:p>
      <w:r>
        <w:rPr>
          <w:color w:val="5A7D3A"/>
          <w:sz w:val="18"/>
        </w:rPr>
        <w:t>https://pubmed.ncbi.nlm.nih.gov/42827117/</w:t>
      </w:r>
    </w:p>
    <w:p>
      <w:pPr>
        <w:pStyle w:val="Heading2"/>
      </w:pPr>
      <w:r>
        <w:t>Chemotherapie + Krebsimpfstoff: TCF1+-T-Zellen erklären synergistischen Effekt</w:t>
      </w:r>
    </w:p>
    <w:p>
      <w:r>
        <w:rPr>
          <w:i/>
          <w:color w:val="666666"/>
          <w:sz w:val="18"/>
        </w:rPr>
        <w:t>Noblecourt L et al.  ·  Cancer Cell  ·  02.10.2026  ·  PMID 42826713</w:t>
      </w:r>
    </w:p>
    <w:p>
      <w:r>
        <w:t>Präklinische und erste translatorische Studie zur mechanistischen Erklärung, warum Carboplatin-Paclitaxel und Cyclophosphamid die Effizienz von Virus-Vektor-Impfstoffen gegen Tumorantigen erhöhen; Experimente mit Maus- und Patientenzellen.</w:t>
      </w:r>
    </w:p>
    <w:p>
      <w:r>
        <w:rPr>
          <w:b/>
        </w:rPr>
        <w:t xml:space="preserve">Ergebnis: </w:t>
      </w:r>
      <w:r>
        <w:t>Carboplatin-Paclitaxel induziert frühe, antigen-unabhängige Expansion von Stamm-ähnlichen TCF1+CD8+-T-Zellen. Genetische oder pharmakologische TCF1-Blockierung hebt den Immunaduvans-Effekt auf. Kombinationstriple (Vakzin + CarboTaxol + PD-1-Blockade) verbessert Tumorkon trolle und Überleben in Mausmodellen stärker als Einzelbehandlungen. Der TCF1-abhängige Mechanismus erklärt Synergie und identifiziert neue Kombinationsstrategien für klinische Evaluation.</w:t>
      </w:r>
    </w:p>
    <w:p>
      <w:r>
        <w:rPr>
          <w:b/>
          <w:sz w:val="19"/>
        </w:rPr>
        <w:t xml:space="preserve">Übertragbarkeit: </w:t>
      </w:r>
      <w:r>
        <w:rPr>
          <w:sz w:val="19"/>
        </w:rPr>
        <w:t>UK/Niederlande-Kohorte, mechanistisches Verständnis transkulturell relevant für Impfstoff-Kombinationen.</w:t>
      </w:r>
    </w:p>
    <w:p>
      <w:r>
        <w:rPr>
          <w:color w:val="5A7D3A"/>
          <w:sz w:val="18"/>
        </w:rPr>
        <w:t>https://pubmed.ncbi.nlm.nih.gov/42826713/</w:t>
      </w:r>
    </w:p>
    <w:p>
      <w:pPr>
        <w:pStyle w:val="Heading2"/>
      </w:pPr>
      <w:r>
        <w:t>ERBB2-Mutationen in Lungenkarzinom: Heterogenität und Trastuzumab-Deruxtecan-Benefit</w:t>
      </w:r>
    </w:p>
    <w:p>
      <w:r>
        <w:rPr>
          <w:i/>
          <w:color w:val="666666"/>
          <w:sz w:val="18"/>
        </w:rPr>
        <w:t>Yamashita M et al.  ·  Eur J Cancer  ·  29.09.2026  ·  PMID 42826440</w:t>
      </w:r>
    </w:p>
    <w:p>
      <w:r>
        <w:t>Japanische Real-World-Kohorte von 319 Patienten mit ERBB2-aktivierenden Mutationen im NSCLC mittels Genomik-Datenbank untersucht.</w:t>
      </w:r>
    </w:p>
    <w:p>
      <w:r>
        <w:rPr>
          <w:b/>
        </w:rPr>
        <w:t xml:space="preserve">Ergebnis: </w:t>
      </w:r>
      <w:r>
        <w:t>74% hatten kanonische Tyrosinkinase-Domänen-Insertionen; 26% nonkanonische Varianten (TKD-Missense 8%, transmembran 10%, extrazelluläre Domäne 8%). Co-driver-Alterationen in nur 5,6% (überwiegend nonkanonisch). 27% der 288 Patienten (78 von 288) erhielten Trastuzumab-Deruxtecan; time-abhängige T-DXd-Exposition assoziiert mit reduziertem Mortalitätsrisiko (adjusted HR 0,63; 95% KI 0,39-1,01; p=0,057). Wesentliche molekulare Heterogenität mit therapeutischen Implikationen.</w:t>
      </w:r>
    </w:p>
    <w:p>
      <w:r>
        <w:rPr>
          <w:b/>
          <w:sz w:val="19"/>
        </w:rPr>
        <w:t xml:space="preserve">Übertragbarkeit: </w:t>
      </w:r>
      <w:r>
        <w:rPr>
          <w:sz w:val="19"/>
        </w:rPr>
        <w:t>Japan, vergleichbare Genomik-Strukturen; Trastuzumab-Deruxtecan in Deutschland verfügbar.</w:t>
      </w:r>
    </w:p>
    <w:p>
      <w:r>
        <w:rPr>
          <w:color w:val="5A7D3A"/>
          <w:sz w:val="18"/>
        </w:rPr>
        <w:t>https://pubmed.ncbi.nlm.nih.gov/42826440/</w:t>
      </w:r>
    </w:p>
    <w:p>
      <w:pPr>
        <w:pStyle w:val="Heading2"/>
      </w:pPr>
      <w:r>
        <w:t>Tirabrutinib für rezidivertes primäres ZNS-Lymphom: 67% Ansprechquote, rascher Wirkeintritt</w:t>
      </w:r>
    </w:p>
    <w:p>
      <w:r>
        <w:rPr>
          <w:i/>
          <w:color w:val="666666"/>
          <w:sz w:val="18"/>
        </w:rPr>
        <w:t>Grommes C et al.  ·  Blood  ·  01.10.2026  ·  PMID 42821736</w:t>
      </w:r>
    </w:p>
    <w:p>
      <w:r>
        <w:t>Phase-1b/2-Studie zu dem BTK-Inhibitor Tirabrutinib als Monotherapie bei 48 Patienten mit rezidiviertem/refraktärem pCNSL nach Hochdosis-Methotrexat-Vorbehandlung.</w:t>
      </w:r>
    </w:p>
    <w:p>
      <w:r>
        <w:rPr>
          <w:b/>
        </w:rPr>
        <w:t xml:space="preserve">Ergebnis: </w:t>
      </w:r>
      <w:r>
        <w:t>Objektive Ansprechquote 67% (95% KI 52–80%), vollständige Remission 44% (95% KI 29–59%). Mediane Ansprechdauer 9,3 Monate (95% KI 4,6–14,6), mediane Zeit bis Ansprechen 1,0 Monat. Treatment-related adverse events in 75% (häufig Anämie 19%, Ausschlag 17%, Fatigue 15%), Grade-≥3 in 27% (Neutropenie 8%). Ein behandelbares Toxizitätsprofil für rare Indikation mit hohem ungedecktem Bedarf.</w:t>
      </w:r>
    </w:p>
    <w:p>
      <w:r>
        <w:rPr>
          <w:b/>
          <w:sz w:val="19"/>
        </w:rPr>
        <w:t xml:space="preserve">Übertragbarkeit: </w:t>
      </w:r>
      <w:r>
        <w:rPr>
          <w:sz w:val="19"/>
        </w:rPr>
        <w:t>USA-Studie, BTK-Inhibitor-Klasse europaweit verfügbar; Zentrumserfordernis für pCNSL-Versorgung prüfen.</w:t>
      </w:r>
    </w:p>
    <w:p>
      <w:r>
        <w:rPr>
          <w:color w:val="5A7D3A"/>
          <w:sz w:val="18"/>
        </w:rPr>
        <w:t>https://pubmed.ncbi.nlm.nih.gov/42821736/</w:t>
      </w:r>
    </w:p>
    <w:p>
      <w:pPr>
        <w:pStyle w:val="Heading2"/>
      </w:pPr>
      <w:r>
        <w:t>Leitlinie Multiples Myelom 2026 – kontinuierliche Aktualisierung basierend auf neuer Evidenz</w:t>
      </w:r>
    </w:p>
    <w:p>
      <w:r>
        <w:rPr>
          <w:i/>
          <w:color w:val="666666"/>
          <w:sz w:val="18"/>
        </w:rPr>
        <w:t>Banerjee R et al.  ·  J Clin Oncol  ·  30.09.2026  ·  PMID 42814948</w:t>
      </w:r>
    </w:p>
    <w:p>
      <w:r>
        <w:t>ASCO Living Guideline für Behandlung des Multiplen Myeloms mit regelmäßigen Aktualisierungen durch Expertengruppe bei schnell wechselnder Evidenz.</w:t>
      </w:r>
    </w:p>
    <w:p>
      <w:r>
        <w:rPr>
          <w:b/>
        </w:rPr>
        <w:t xml:space="preserve">Ergebnis: </w:t>
      </w:r>
      <w:r>
        <w:t>Leitlinie wird kontinuierlich aktualisiert; konkrete Therapie-Empfehlungen folgen Systematische-Review-Prozeduren und werden mindestens jährlich überprüft. Die aktuelle Version 2026.1.3 berücksichtigt neue Kombinationsprotokolle, CAR-T und zielgerichtete Therapien mit prognose-adaptiven Strategien für Risiko-Stratifizierung.</w:t>
      </w:r>
    </w:p>
    <w:p>
      <w:r>
        <w:rPr>
          <w:b/>
          <w:sz w:val="19"/>
        </w:rPr>
        <w:t xml:space="preserve">Übertragbarkeit: </w:t>
      </w:r>
      <w:r>
        <w:rPr>
          <w:sz w:val="19"/>
        </w:rPr>
        <w:t>USA-ASCO-Guideline; weit überwiegend international anwendbar, Dosierungen/Verfügbarkeiten lokal zu prüfen.</w:t>
      </w:r>
    </w:p>
    <w:p>
      <w:r>
        <w:rPr>
          <w:color w:val="5A7D3A"/>
          <w:sz w:val="18"/>
        </w:rPr>
        <w:t>https://pubmed.ncbi.nlm.nih.gov/42814948/</w:t>
      </w:r>
    </w:p>
    <w:p>
      <w:pPr>
        <w:pStyle w:val="Heading2"/>
      </w:pPr>
      <w:r>
        <w:t>Aglatimagene bei lokalisiertem Prostatakarzinom: kritische Neubeobachtung</w:t>
      </w:r>
    </w:p>
    <w:p>
      <w:r>
        <w:rPr>
          <w:i/>
          <w:color w:val="666666"/>
          <w:sz w:val="18"/>
        </w:rPr>
        <w:t>Büttner T et al.  ·  Lancet Oncol  ·  Okt. 2026  ·  PMID 42805200</w:t>
      </w:r>
    </w:p>
    <w:p>
      <w:r>
        <w:t>Kommentar deutschsprachiger Urologen zur Neubewertung des Viren-Therapiestoffs Aglatimagene bei lokalisiertem Prostatakarzinom.</w:t>
      </w:r>
    </w:p>
    <w:p>
      <w:r>
        <w:rPr>
          <w:b/>
        </w:rPr>
        <w:t xml:space="preserve">Ergebnis: </w:t>
      </w:r>
      <w:r>
        <w:t>Keine konkreten Endpunkte im Abstract; die Arbeit erörtert Limitationen bisheriger Daten zu einer experimentellen Therapie mit unklarer klinischer Rolle. Die Autoren fordern Klärung vor breiter Anwendung.</w:t>
      </w:r>
    </w:p>
    <w:p>
      <w:r>
        <w:rPr>
          <w:b/>
          <w:sz w:val="19"/>
        </w:rPr>
        <w:t xml:space="preserve">Übertragbarkeit: </w:t>
      </w:r>
      <w:r>
        <w:rPr>
          <w:sz w:val="19"/>
        </w:rPr>
        <w:t>Deutschland (Bonn, Erlangen), deutsches Versorgungssystem betroffen.</w:t>
      </w:r>
    </w:p>
    <w:p>
      <w:r>
        <w:rPr>
          <w:color w:val="5A7D3A"/>
          <w:sz w:val="18"/>
        </w:rPr>
        <w:t>https://pubmed.ncbi.nlm.nih.gov/42805200/</w:t>
      </w:r>
    </w:p>
    <w:p>
      <w:pPr>
        <w:pStyle w:val="Heading1"/>
      </w:pPr>
      <w:r>
        <w:t>Aufgenommen am 03.10.2026</w:t>
      </w:r>
    </w:p>
    <w:p>
      <w:pPr>
        <w:pStyle w:val="Heading2"/>
      </w:pPr>
      <w:r>
        <w:t>Leitlinie Infektionsprophylaxe bei pädiatrischer Onkologie: aktualisierte Empfehlungen</w:t>
      </w:r>
    </w:p>
    <w:p>
      <w:r>
        <w:rPr>
          <w:i/>
          <w:color w:val="666666"/>
          <w:sz w:val="18"/>
        </w:rPr>
        <w:t>Morgan JE et al.  ·  J Clin Oncol  ·  02.10.2026  ·  PMID 42826360</w:t>
      </w:r>
    </w:p>
    <w:p>
      <w:r>
        <w:t>Systematische Überprüfung und Harmonisierung von Leitlinienempfehlungen zur antibakteriellen und antimykotischen Prophylaxe bei Kindern mit Krebs und nach Stammzelltransplantation.</w:t>
      </w:r>
    </w:p>
    <w:p>
      <w:r>
        <w:rPr>
          <w:b/>
        </w:rPr>
        <w:t xml:space="preserve">Ergebnis: </w:t>
      </w:r>
      <w:r>
        <w:t>Starke Empfehlung für Antifungal-Prophylaxe (Echinocandin oder Mold-active Azol) bei AML und allogener Transplantation; konditionale Empfehlung für Antibakteriell-Prophylaxe mit Levofloxacin bei AML und rezidivierter ALL. 13 neue randomisierte Studien seit 2019 identifiziert; insgesamt 195 Studien berücksichtigt.</w:t>
      </w:r>
    </w:p>
    <w:p>
      <w:r>
        <w:rPr>
          <w:b/>
          <w:sz w:val="19"/>
        </w:rPr>
        <w:t xml:space="preserve">Übertragbarkeit: </w:t>
      </w:r>
      <w:r>
        <w:rPr>
          <w:sz w:val="19"/>
        </w:rPr>
        <w:t>Deutschland und europäische Systeme, international konsentiertes Vorgehen</w:t>
      </w:r>
    </w:p>
    <w:p>
      <w:r>
        <w:rPr>
          <w:color w:val="5A7D3A"/>
          <w:sz w:val="18"/>
        </w:rPr>
        <w:t>https://pubmed.ncbi.nlm.nih.gov/42826360/</w:t>
      </w:r>
    </w:p>
    <w:p>
      <w:pPr>
        <w:pStyle w:val="Heading2"/>
      </w:pPr>
      <w:r>
        <w:t>Pembrolizumab-GVD plus Stammzelltransplantation bei rezidiviertem Hodgkin-Lymphom: 5-Jahres-Follow-up</w:t>
      </w:r>
    </w:p>
    <w:p>
      <w:r>
        <w:rPr>
          <w:i/>
          <w:color w:val="666666"/>
          <w:sz w:val="18"/>
        </w:rPr>
        <w:t>Patel K et al.  ·  Blood  ·  08.09.2026  ·  PMID 42825495</w:t>
      </w:r>
    </w:p>
    <w:p>
      <w:r>
        <w:t>Phase-2-Studie bei transplantationsgeeigneten Patienten mit rezidiviertem/refraktärem Hodgkin-Lymphom: Pembrolizumab plus Gemcitabin/Vinorelbine/liposomales Doxorubicin gefolgt von Hochdosis-Chemotherapie mit autologer Stammzellrescue.</w:t>
      </w:r>
    </w:p>
    <w:p>
      <w:r>
        <w:rPr>
          <w:b/>
        </w:rPr>
        <w:t xml:space="preserve">Ergebnis: </w:t>
      </w:r>
      <w:r>
        <w:t>Komplettremissionsrate 95% nach bis zu 4 Zyklen Pembrolizumab-GVD. Nach Median 57 Monaten: geschätzte 5-Jahres-PFS 91%, Gesamtüberleben 94%. Nur 1 Rezidiv nach Protokoll-Therapie, 2 therapieassoziierte Todesfälle. Keine neuen Sicherheitssignale.</w:t>
      </w:r>
    </w:p>
    <w:p>
      <w:r>
        <w:rPr>
          <w:b/>
          <w:sz w:val="19"/>
        </w:rPr>
        <w:t xml:space="preserve">Übertragbarkeit: </w:t>
      </w:r>
      <w:r>
        <w:rPr>
          <w:sz w:val="19"/>
        </w:rPr>
        <w:t>USA-basiert, aber intensive Chemotherapie + Immuntherapie + Transplantation ist in deutschen Zentren etabliert</w:t>
      </w:r>
    </w:p>
    <w:p>
      <w:r>
        <w:rPr>
          <w:color w:val="5A7D3A"/>
          <w:sz w:val="18"/>
        </w:rPr>
        <w:t>https://pubmed.ncbi.nlm.nih.gov/42825495/</w:t>
      </w:r>
    </w:p>
    <w:p>
      <w:pPr>
        <w:pStyle w:val="Heading2"/>
      </w:pPr>
      <w:r>
        <w:t>Tuberkulose-Netzwerk als Werkzeug für frühe Lungenkrebserkennung: Modell Brasilien</w:t>
      </w:r>
    </w:p>
    <w:p>
      <w:r>
        <w:rPr>
          <w:i/>
          <w:color w:val="666666"/>
          <w:sz w:val="18"/>
        </w:rPr>
        <w:t>Gruber K  ·  Lancet Oncol  ·  01.10.2026  ·  PMID 42822486</w:t>
      </w:r>
    </w:p>
    <w:p>
      <w:r>
        <w:t>Bericht über das Potenzial, bestehende Tuberkulose-Überwachungssysteme in Brasilien für die Frühdiagnose von Lungenkrebs zu nutzen.</w:t>
      </w:r>
    </w:p>
    <w:p>
      <w:r>
        <w:rPr>
          <w:b/>
        </w:rPr>
        <w:t xml:space="preserve">Ergebnis: </w:t>
      </w:r>
      <w:r>
        <w:t>TB-Netzwerk mit etablierten Screening- und Diagnostik-Strukturen könnte Lungenkrebserkennung beschleunigen; bisherige Aktivitäten und Barrieren werden erörtert, ohne quantitative Endpunkte.</w:t>
      </w:r>
    </w:p>
    <w:p>
      <w:r>
        <w:rPr>
          <w:b/>
          <w:sz w:val="19"/>
        </w:rPr>
        <w:t xml:space="preserve">Übertragbarkeit: </w:t>
      </w:r>
      <w:r>
        <w:rPr>
          <w:sz w:val="19"/>
        </w:rPr>
        <w:t>Niedrig-Ressourcen-Länder, für Deutschland ohne unmittelbare Anwendung</w:t>
      </w:r>
    </w:p>
    <w:p>
      <w:r>
        <w:rPr>
          <w:color w:val="5A7D3A"/>
          <w:sz w:val="18"/>
        </w:rPr>
        <w:t>https://pubmed.ncbi.nlm.nih.gov/42822486/</w:t>
      </w:r>
    </w:p>
    <w:p>
      <w:pPr>
        <w:pStyle w:val="Heading2"/>
      </w:pPr>
      <w:r>
        <w:t>Androgen-Rezeptor-Inhibitoren bessern PFS bei metastasiertem hormonsensitivem Prostatakarzinom</w:t>
      </w:r>
    </w:p>
    <w:p>
      <w:r>
        <w:rPr>
          <w:i/>
          <w:color w:val="666666"/>
          <w:sz w:val="18"/>
        </w:rPr>
        <w:t>Nwogu IB et al.  ·  JCO Oncol Pract  ·  01.10.2026  ·  PMID 42821836</w:t>
      </w:r>
    </w:p>
    <w:p>
      <w:r>
        <w:t>Real-World-Vergleichsstudie von Abiraterone, Apalutamide, Enzalutamide und Docetaxel je mit ADT bei metastasiertem hormonsensitivem Prostatakarzinom (mHSPC) in den USA 2019–2023.</w:t>
      </w:r>
    </w:p>
    <w:p>
      <w:r>
        <w:rPr>
          <w:b/>
        </w:rPr>
        <w:t xml:space="preserve">Ergebnis: </w:t>
      </w:r>
      <w:r>
        <w:t>Unter 9.141 Männern: ARPI-Dubletten zeigten gegenüber Docetaxel-Dubletten überlegene PFS (Abiraterone: aHR 0,60 [95% CI 0,55–0,66]; Apalutamide: aHR 0,64; Enzalutamide: aHR 0,57). Gesamtüberleben vergleichbar. TTP und Zeit bis neue Therapie ebenfalls besser unter ARPIs. Keine Unterschiede zwischen den ARPIs.</w:t>
      </w:r>
    </w:p>
    <w:p>
      <w:r>
        <w:rPr>
          <w:b/>
          <w:sz w:val="19"/>
        </w:rPr>
        <w:t xml:space="preserve">Übertragbarkeit: </w:t>
      </w:r>
      <w:r>
        <w:rPr>
          <w:sz w:val="19"/>
        </w:rPr>
        <w:t>USA-Gesundheitssystem mit unterschiedlicher Finanzierung, Ergebnis (ARPI-Überlegenheit) ist aber geräteunabhängig übertragbar</w:t>
      </w:r>
    </w:p>
    <w:p>
      <w:r>
        <w:rPr>
          <w:color w:val="5A7D3A"/>
          <w:sz w:val="18"/>
        </w:rPr>
        <w:t>https://pubmed.ncbi.nlm.nih.gov/42821836/</w:t>
      </w:r>
    </w:p>
    <w:p>
      <w:pPr>
        <w:pStyle w:val="Heading2"/>
      </w:pPr>
      <w:r>
        <w:t>Platinchemoresistentes Ovarialkarzinom: Behandlungsintensivierung verbessert Remissionsraten</w:t>
      </w:r>
    </w:p>
    <w:p>
      <w:r>
        <w:rPr>
          <w:i/>
          <w:color w:val="666666"/>
          <w:sz w:val="18"/>
        </w:rPr>
        <w:t>You B et al.  ·  JAMA Oncol  ·  01.10.2026  ·  PMID 42821287</w:t>
      </w:r>
    </w:p>
    <w:p>
      <w:r>
        <w:t>Systematische Übersicht über Strategien zur Chemosensitivierung bei schlecht chemosensitivem fortgeschrittenem serösen Ovarialkarzinom anhand von retrospektiven Post-hoc-Analysen prospektiver Phase-3-Studien.</w:t>
      </w:r>
    </w:p>
    <w:p>
      <w:r>
        <w:rPr>
          <w:b/>
        </w:rPr>
        <w:t xml:space="preserve">Ergebnis: </w:t>
      </w:r>
      <w:r>
        <w:t>Wöchentlich dosiertes Paclitaxel zeigte in der "2 red flags"-Subgruppe (schlechte Chemosensitivität) der ICON-8-Studie verbesserte Überlebensergebnisse. Bevacizumab addiert zu neoadjuvanter Chemotherapie oder Standardchemotherapie: Überlebenssignale in hochrisiko- und schlecht chemosensitiven Subgruppen. Phase-3-Studien SALVOVAR und Phase-1/2-Studie RegeNovar laufen prospektiv.</w:t>
      </w:r>
    </w:p>
    <w:p>
      <w:r>
        <w:rPr>
          <w:b/>
          <w:sz w:val="19"/>
        </w:rPr>
        <w:t xml:space="preserve">Übertragbarkeit: </w:t>
      </w:r>
      <w:r>
        <w:rPr>
          <w:sz w:val="19"/>
        </w:rPr>
        <w:t>Europäische Studienstandorte und ESMO-Guidelines, Therapiesequenzierung in deutschen Tumorzentren relevant</w:t>
      </w:r>
    </w:p>
    <w:p>
      <w:r>
        <w:rPr>
          <w:color w:val="5A7D3A"/>
          <w:sz w:val="18"/>
        </w:rPr>
        <w:t>https://pubmed.ncbi.nlm.nih.gov/42821287/</w:t>
      </w:r>
    </w:p>
    <w:p>
      <w:pPr>
        <w:pStyle w:val="Heading2"/>
      </w:pPr>
      <w:r>
        <w:t>Genomische Instabilität treibt gegensätzliche Immunantworten: Mechanismus für Immuntherapie-Resistenz</w:t>
      </w:r>
    </w:p>
    <w:p>
      <w:r>
        <w:rPr>
          <w:i/>
          <w:color w:val="666666"/>
          <w:sz w:val="18"/>
        </w:rPr>
        <w:t>Alouani E et al.  ·  Cancer Discov  ·  01.10.2026  ·  PMID 42817715</w:t>
      </w:r>
    </w:p>
    <w:p>
      <w:r>
        <w:t>Übersichtsarbeit zu zwei Formen genomischer Instabilität: Mutationsinstabilität versus Chromosomeninstabilität und deren gegensätzliche Effekte auf Tumor-Immunität.</w:t>
      </w:r>
    </w:p>
    <w:p>
      <w:r>
        <w:rPr>
          <w:b/>
        </w:rPr>
        <w:t xml:space="preserve">Ergebnis: </w:t>
      </w:r>
      <w:r>
        <w:t>Hypermutierte Tumoren generieren Neoantigene und sind sensibel für Checkpoint-Blockade. Chromosomeninstabilität triggert chronische angeborene Immunaktivierung mit Immunsuppression durch Myeloid- und T-Zell-Dysfunktion. Diese gegensätzlichen Mechanismen erfordern unterschiedliche Immuntherapie-Strategien.</w:t>
      </w:r>
    </w:p>
    <w:p>
      <w:r>
        <w:rPr>
          <w:b/>
          <w:sz w:val="19"/>
        </w:rPr>
        <w:t xml:space="preserve">Übertragbarkeit: </w:t>
      </w:r>
      <w:r>
        <w:rPr>
          <w:sz w:val="19"/>
        </w:rPr>
        <w:t>Grundlagenarbeit zur Immuntherapie-Resistenz, Basis für Stratifizierungsansätze in der Praxis</w:t>
      </w:r>
    </w:p>
    <w:p>
      <w:r>
        <w:rPr>
          <w:color w:val="5A7D3A"/>
          <w:sz w:val="18"/>
        </w:rPr>
        <w:t>https://pubmed.ncbi.nlm.nih.gov/42817715/</w:t>
      </w:r>
    </w:p>
    <w:p>
      <w:pPr>
        <w:pStyle w:val="Heading1"/>
      </w:pPr>
      <w:r>
        <w:t>Aufgenommen am 02.10.2026</w:t>
      </w:r>
    </w:p>
    <w:p>
      <w:pPr>
        <w:pStyle w:val="Heading2"/>
      </w:pPr>
      <w:r>
        <w:t>Stereotaktische MRT-gesteuerte adaptive Strahlentherapie verbessert Lokalkontrolle bei fortgeschrittenem Pankreaskarzinom</w:t>
      </w:r>
    </w:p>
    <w:p>
      <w:r>
        <w:rPr>
          <w:i/>
          <w:color w:val="666666"/>
          <w:sz w:val="18"/>
        </w:rPr>
        <w:t>Hartfelt PB et al.  ·  Radiother Oncol  ·  01.10.2026  ·  PMID 42822782</w:t>
      </w:r>
    </w:p>
    <w:p>
      <w:r>
        <w:t>Prospektive Studie zur MRT-gesteuerten adaptiven Strahlentherapie (SMART) bei 118 Patienten mit lokal fortgeschrittenem Pankreaskarzinom (50 Gy/5 Fraktionen).</w:t>
      </w:r>
    </w:p>
    <w:p>
      <w:r>
        <w:rPr>
          <w:b/>
        </w:rPr>
        <w:t xml:space="preserve">Ergebnis: </w:t>
      </w:r>
      <w:r>
        <w:t>Medianes Gesamtüberleben 13,2 Monate ab Therapiestart (95%-CI 10,4–15,9), 2-Jahres-Überleben 23,9%. Lokale Progression bei 15,0% nach 1 Jahr und 22,2% nach 2 Jahren. Akute Grad-≥III-Toxizität bei 5,4%, späte bei 3,2%. Fernprogression war dominantes Versagensmus ter.</w:t>
      </w:r>
    </w:p>
    <w:p>
      <w:r>
        <w:rPr>
          <w:b/>
          <w:sz w:val="19"/>
        </w:rPr>
        <w:t xml:space="preserve">Übertragbarkeit: </w:t>
      </w:r>
      <w:r>
        <w:rPr>
          <w:sz w:val="19"/>
        </w:rPr>
        <w:t>Dänemark (Odense), vergleichbares europäisches Gesundheitssystem, Technologie in deutschen Zentren verfügbar.</w:t>
      </w:r>
    </w:p>
    <w:p>
      <w:r>
        <w:rPr>
          <w:color w:val="5A7D3A"/>
          <w:sz w:val="18"/>
        </w:rPr>
        <w:t>https://pubmed.ncbi.nlm.nih.gov/42822782/</w:t>
      </w:r>
    </w:p>
    <w:p>
      <w:pPr>
        <w:pStyle w:val="Heading2"/>
      </w:pPr>
      <w:r>
        <w:t>Hohe SMAD4-Expression prognostiziert besseres Überleben nach Pankreaskarzinom-Resektion</w:t>
      </w:r>
    </w:p>
    <w:p>
      <w:r>
        <w:rPr>
          <w:i/>
          <w:color w:val="666666"/>
          <w:sz w:val="18"/>
        </w:rPr>
        <w:t>Williams TM et al.  ·  Int J Radiat Oncol Biol Phys  ·  01.10.2026  ·  PMID 42822544</w:t>
      </w:r>
    </w:p>
    <w:p>
      <w:r>
        <w:t>Biomarker-Analyse von 141 Tumorproben aus der Phase-III-Studie RTOG 9704 zur SMAD4-Expression und Überleben nach adjuvanter Chemoradiotherapie.</w:t>
      </w:r>
    </w:p>
    <w:p>
      <w:r>
        <w:rPr>
          <w:b/>
        </w:rPr>
        <w:t xml:space="preserve">Ergebnis: </w:t>
      </w:r>
      <w:r>
        <w:t>Hohe SMAD4-Expression assoziiert mit verbessertem rezidivfreiem Überleben (HR 0,68, 95%-CI 0,48–0,97, p=0,03) und Gesamtüberleben (HR 0,69, 95%-CI 0,48–0,99, p=0,04). Fernmetastasen-Risiko gesenkt (HR 0,69, p=0,048). Multivariable Analyse bestätigte unabhängige Assoziation für rezidivfreies Überleben (HR 0,66, p=0,03) und Fernmetastasen (HR 0,68, p=0,052).</w:t>
      </w:r>
    </w:p>
    <w:p>
      <w:r>
        <w:rPr>
          <w:b/>
          <w:sz w:val="19"/>
        </w:rPr>
        <w:t xml:space="preserve">Übertragbarkeit: </w:t>
      </w:r>
      <w:r>
        <w:rPr>
          <w:sz w:val="19"/>
        </w:rPr>
        <w:t>USA, Biomarker-Definition auf deutsche Pankreaskarzinom-Patienten übertragbar, Prognose-Stratifizierung möglich.</w:t>
      </w:r>
    </w:p>
    <w:p>
      <w:r>
        <w:rPr>
          <w:color w:val="5A7D3A"/>
          <w:sz w:val="18"/>
        </w:rPr>
        <w:t>https://pubmed.ncbi.nlm.nih.gov/42822544/</w:t>
      </w:r>
    </w:p>
    <w:p>
      <w:pPr>
        <w:pStyle w:val="Heading2"/>
      </w:pPr>
      <w:r>
        <w:t>Immuntherapie vor Lebertransplantation senkt Rezidivrisiko bei Hepatozellulärkarzinom</w:t>
      </w:r>
    </w:p>
    <w:p>
      <w:r>
        <w:rPr>
          <w:i/>
          <w:color w:val="666666"/>
          <w:sz w:val="18"/>
        </w:rPr>
        <w:t>Ong M et al.  ·  JAMA Oncol  ·  01.10.2026  ·  PMID 42821267</w:t>
      </w:r>
    </w:p>
    <w:p>
      <w:r>
        <w:t>Retrospektive Matched-Cohort-Studie mit 416 Patienten zur ICI-basierten Downstaging-Therapie vor Lebertransplantation bei initial über Milan-Kriterien liegendem Hepatozellulärkarzinom in acht hochvolumigen chinesischen Transplantationszentren.</w:t>
      </w:r>
    </w:p>
    <w:p>
      <w:r>
        <w:rPr>
          <w:b/>
        </w:rPr>
        <w:t xml:space="preserve">Ergebnis: </w:t>
      </w:r>
      <w:r>
        <w:t>Medianes Gesamtüberleben 4,57 Jahre (ICI-Gruppe, 95%-CI 4,34-n.e.) vs. 2,53 Jahre (Kontrollgruppe, p&lt;0,001). Medianes rezidivfreies Überleben 1,47 Jahre vs. 0,89 Jahre (p=0,02). Postoperatives Rezidivrisiko: HR 0,54 (95%-CI 0,40–0,72). Akute Abstoßung häufiger in ICI-Gruppe (16,3% vs. 8,2%, p=0,01).</w:t>
      </w:r>
    </w:p>
    <w:p>
      <w:r>
        <w:rPr>
          <w:b/>
          <w:sz w:val="19"/>
        </w:rPr>
        <w:t xml:space="preserve">Übertragbarkeit: </w:t>
      </w:r>
      <w:r>
        <w:rPr>
          <w:sz w:val="19"/>
        </w:rPr>
        <w:t>Studiendesign auf europäische Transplantationszentren übertragbar, aber China-spezifische Organverfügbarkeit und Immunsuppression – Sicherheit vor Wirksamkeit klären.</w:t>
      </w:r>
    </w:p>
    <w:p>
      <w:r>
        <w:rPr>
          <w:color w:val="5A7D3A"/>
          <w:sz w:val="18"/>
        </w:rPr>
        <w:t>https://pubmed.ncbi.nlm.nih.gov/42821267/</w:t>
      </w:r>
    </w:p>
    <w:p>
      <w:pPr>
        <w:pStyle w:val="Heading2"/>
      </w:pPr>
      <w:r>
        <w:t>Immuntherapie in der Pädiatrie reduziert Spätfolgen-Mortalität beim Hodgkin-Lymphom</w:t>
      </w:r>
    </w:p>
    <w:p>
      <w:r>
        <w:rPr>
          <w:i/>
          <w:color w:val="666666"/>
          <w:sz w:val="18"/>
        </w:rPr>
        <w:t>Rogers JR et al.  ·  J Natl Cancer Inst  ·  01.10.2026  ·  PMID 42820770</w:t>
      </w:r>
    </w:p>
    <w:p>
      <w:r>
        <w:t>Simulationsmodell zur Lebenszeitprognose von 118 Kindern und Adoleszenten mit fortgeschrittenem Hodgkin-Lymphom unter modernen Brentuximab-vedotin- oder Nivolumab-Regimen vs. historischen Chemotherapie-Schemata.</w:t>
      </w:r>
    </w:p>
    <w:p>
      <w:r>
        <w:rPr>
          <w:b/>
        </w:rPr>
        <w:t xml:space="preserve">Ergebnis: </w:t>
      </w:r>
      <w:r>
        <w:t>Überlebensrate im Alter von 50 Jahren: 86% nach historischen und 92–93% nach modernen Immuntherapie-basierten Regimen (vs. 100% in Allgemeinbevölkerung). Überlebensvorteil persistiert, solange immuntherapie-assoziierte Spätsterblichkeit unter ca. 8% bleibt. Modell suggeriert Reduktion der Spätfolge-Last trotz Überlebensvorteil.</w:t>
      </w:r>
    </w:p>
    <w:p>
      <w:r>
        <w:rPr>
          <w:b/>
          <w:sz w:val="19"/>
        </w:rPr>
        <w:t xml:space="preserve">Übertragbarkeit: </w:t>
      </w:r>
      <w:r>
        <w:rPr>
          <w:sz w:val="19"/>
        </w:rPr>
        <w:t>USA-basiert, aber Endpunkt (Langzeitüberleben, Spätfolgen) tumorentitäts- und systemunabhängig.</w:t>
      </w:r>
    </w:p>
    <w:p>
      <w:r>
        <w:rPr>
          <w:color w:val="5A7D3A"/>
          <w:sz w:val="18"/>
        </w:rPr>
        <w:t>https://pubmed.ncbi.nlm.nih.gov/42820770/</w:t>
      </w:r>
    </w:p>
    <w:p>
      <w:pPr>
        <w:pStyle w:val="Heading2"/>
      </w:pPr>
      <w:r>
        <w:t>Onkolytisches Adenovirus mit Hyaluronidase verbessert Überleben bei metastasiertem Pankreaskarzinom</w:t>
      </w:r>
    </w:p>
    <w:p>
      <w:r>
        <w:rPr>
          <w:i/>
          <w:color w:val="666666"/>
          <w:sz w:val="18"/>
        </w:rPr>
        <w:t>Garcia-Carbonero R et al.  ·  Nat Med  ·  30.09.2026  ·  PMID 42816596</w:t>
      </w:r>
    </w:p>
    <w:p>
      <w:r>
        <w:t>Randomisierte Phase-2b-Studie mit 101 Patienten (53 VCN-01+Gemcitabin/nab-Paclitaxel, 48 Chemotherapie allein) zur First-Line-Therapie des metastasierten Pankreaskarzinoms.</w:t>
      </w:r>
    </w:p>
    <w:p>
      <w:r>
        <w:rPr>
          <w:b/>
        </w:rPr>
        <w:t xml:space="preserve">Ergebnis: </w:t>
      </w:r>
      <w:r>
        <w:t>Medianes Gesamtüberleben in Full-Analysis-Set: 10,8 Monate (VCN-01-Gruppe) vs. 8,6 Monate (Kontrolle; HR 0,57, 95%-CI 0,34–0,96, p=0,055). Progressionsfreies Überleben 7,0 vs. 4,6 Monate (HR 0,55, p=0,011). 15-Monats-Überleben 35,5% vs. 12,8%, 18-Monats-Überleben 31,1% vs. 8,5%. Ansprechdauer 11,2 vs. 5,4 Monate (p=0,004).</w:t>
      </w:r>
    </w:p>
    <w:p>
      <w:r>
        <w:rPr>
          <w:b/>
          <w:sz w:val="19"/>
        </w:rPr>
        <w:t xml:space="preserve">Übertragbarkeit: </w:t>
      </w:r>
      <w:r>
        <w:rPr>
          <w:sz w:val="19"/>
        </w:rPr>
        <w:t>Spanien und USA, Zulassung in Phase-3 ausstehend – Transfer zu AMNOG-Bewertung notwendig.</w:t>
      </w:r>
    </w:p>
    <w:p>
      <w:r>
        <w:rPr>
          <w:color w:val="5A7D3A"/>
          <w:sz w:val="18"/>
        </w:rPr>
        <w:t>https://pubmed.ncbi.nlm.nih.gov/42816596/</w:t>
      </w:r>
    </w:p>
    <w:p>
      <w:pPr>
        <w:pStyle w:val="Heading2"/>
      </w:pPr>
      <w:r>
        <w:t>Liquid Biopsy und Tumorvolumen verbessern Überlebensprognose bei metastasierten Malignomen</w:t>
      </w:r>
    </w:p>
    <w:p>
      <w:r>
        <w:rPr>
          <w:i/>
          <w:color w:val="666666"/>
          <w:sz w:val="18"/>
        </w:rPr>
        <w:t>Choucair A et al.  ·  Eur J Cancer  ·  25.09.2026  ·  PMID 42815199</w:t>
      </w:r>
    </w:p>
    <w:p>
      <w:r>
        <w:t>Retrospektive Pankrebs-Kohortenstudie mit 719 Patienten (Training n=570, Validierung n=149) zur kombinierten Prognostik durch Tumorfrakt ion in Blutplasma, CT-Tumorvolumen und Body-Composition.</w:t>
      </w:r>
    </w:p>
    <w:p>
      <w:r>
        <w:rPr>
          <w:b/>
        </w:rPr>
        <w:t xml:space="preserve">Ergebnis: </w:t>
      </w:r>
      <w:r>
        <w:t>28,2% der Patienten zeigten Tumorfrakt ion=0% trotz messbaren Tumors (medianes Volumen 43,6 cm³). Kombiniertes Modell (Tumorfrakt ion + Volumen + klinische Variablen) erreichte C-Index 0,678, besser als Tumorfrakt ion allein (0,634, p=0,04) oder nur klinische Variablen (0,563, p=0,004). Risiko stratifizierung zeigte markant unterschiedliche Überlebensraten (8,3 vs. &gt;25 Monate, p&lt;0,001).</w:t>
      </w:r>
    </w:p>
    <w:p>
      <w:r>
        <w:rPr>
          <w:b/>
          <w:sz w:val="19"/>
        </w:rPr>
        <w:t xml:space="preserve">Übertragbarkeit: </w:t>
      </w:r>
      <w:r>
        <w:rPr>
          <w:sz w:val="19"/>
        </w:rPr>
        <w:t>Frankreich (Gustave Roussy), validiertes prospektives Design für deutsche Zentren nachbildbar.</w:t>
      </w:r>
    </w:p>
    <w:p>
      <w:r>
        <w:rPr>
          <w:color w:val="5A7D3A"/>
          <w:sz w:val="18"/>
        </w:rPr>
        <w:t>https://pubmed.ncbi.nlm.nih.gov/42815199/</w:t>
      </w:r>
    </w:p>
    <w:p>
      <w:pPr>
        <w:pStyle w:val="Heading1"/>
      </w:pPr>
      <w:r>
        <w:t>Aufgenommen am 01.10.2026</w:t>
      </w:r>
    </w:p>
    <w:p>
      <w:pPr>
        <w:pStyle w:val="Heading2"/>
      </w:pPr>
      <w:r>
        <w:t>Strahlentherapie mit Antikörper-Wirkstoff-Konjugaten bei Brustkrebs: Sicherheit belegt</w:t>
      </w:r>
    </w:p>
    <w:p>
      <w:r>
        <w:rPr>
          <w:i/>
          <w:color w:val="666666"/>
          <w:sz w:val="18"/>
        </w:rPr>
        <w:t>Visani L et al.  ·  Radiother Oncol  ·  30.09.2026  ·  PMID 42815776</w:t>
      </w:r>
    </w:p>
    <w:p>
      <w:r>
        <w:t>Systematische Übersicht mit Metaanalyse von 29 Studien (3.817 Patienten) zur Verträglichkeit kombinierter Radiotherapie und Antikörper-Wirkstoff-Konjugaten bei frühem und metastasiertem Brustkrebs.</w:t>
      </w:r>
    </w:p>
    <w:p>
      <w:r>
        <w:rPr>
          <w:b/>
        </w:rPr>
        <w:t xml:space="preserve">Ergebnis: </w:t>
      </w:r>
      <w:r>
        <w:t>Schwere Strahlengewebsnekrose trat in 5% der Fälle auf (95%-KI: 1–12%). Bei intracranialer Stereotaxie waren 8% der Ereignisse ≥Grad 3 (95%-KI: 3–15%), mit T-DM1 13% (95%-KI: 1–34%). Pneumonitis und Hautreaktionen ≥Grad 3 waren selten (je 0%). Außerhalb des Schädels ist die Therapiekombination sicher; intracraniell, besonders mit T-DM1, ist Vorsicht geboten.</w:t>
      </w:r>
    </w:p>
    <w:p>
      <w:r>
        <w:rPr>
          <w:b/>
          <w:sz w:val="19"/>
        </w:rPr>
        <w:t xml:space="preserve">Übertragbarkeit: </w:t>
      </w:r>
      <w:r>
        <w:rPr>
          <w:sz w:val="19"/>
        </w:rPr>
        <w:t>Europa, internationale Konsensusgruppe; übertragbar auf deutsche Zentren.</w:t>
      </w:r>
    </w:p>
    <w:p>
      <w:r>
        <w:rPr>
          <w:color w:val="5A7D3A"/>
          <w:sz w:val="18"/>
        </w:rPr>
        <w:t>https://pubmed.ncbi.nlm.nih.gov/42815776/</w:t>
      </w:r>
    </w:p>
    <w:p>
      <w:pPr>
        <w:pStyle w:val="Heading2"/>
      </w:pPr>
      <w:r>
        <w:t>Erdafitinib verlängert Überleben bei FGFR-verändertem Urothelkarzinom deutlich</w:t>
      </w:r>
    </w:p>
    <w:p>
      <w:r>
        <w:rPr>
          <w:i/>
          <w:color w:val="666666"/>
          <w:sz w:val="18"/>
        </w:rPr>
        <w:t>Loriot Y et al.  ·  ESMO Open  ·  30.09.2026  ·  PMID 42815410</w:t>
      </w:r>
    </w:p>
    <w:p>
      <w:r>
        <w:t>Phase-III-Studie THOR mit 278 Patienten mit FGFR3/2-alteriertem metastasiertem Urothelkarzinom nach PD-(L)1-Progression: Erdafitinib gegen Chemotherapie (Docetaxel/Vinflunin).</w:t>
      </w:r>
    </w:p>
    <w:p>
      <w:r>
        <w:rPr>
          <w:b/>
        </w:rPr>
        <w:t xml:space="preserve">Ergebnis: </w:t>
      </w:r>
      <w:r>
        <w:t>Medianes Gesamtüberleben: 12,1 vs. 8,7 Monate (HR 0,65; 95%-KI 0,48–0,86; p=0,0031). Progressionsfreies Überleben: 5,4 vs. 2,7 Monate (HR 0,59; p&lt;0,0001). Ansprechrate: 46,9% vs. 12,6% (RR 3,74). Schwere Nebenwirkungen 67,6% vs. 65,8%; therapieassoziierte Todesfälle 0,7% vs. 6,0%.</w:t>
      </w:r>
    </w:p>
    <w:p>
      <w:r>
        <w:rPr>
          <w:b/>
          <w:sz w:val="19"/>
        </w:rPr>
        <w:t xml:space="preserve">Übertragbarkeit: </w:t>
      </w:r>
      <w:r>
        <w:rPr>
          <w:sz w:val="19"/>
        </w:rPr>
        <w:t>Internationale Studie; Zulassung relevant für Deutschland.</w:t>
      </w:r>
    </w:p>
    <w:p>
      <w:r>
        <w:rPr>
          <w:color w:val="5A7D3A"/>
          <w:sz w:val="18"/>
        </w:rPr>
        <w:t>https://pubmed.ncbi.nlm.nih.gov/42815410/</w:t>
      </w:r>
    </w:p>
    <w:p>
      <w:pPr>
        <w:pStyle w:val="Heading2"/>
      </w:pPr>
      <w:r>
        <w:t>Verzögerte Übelkeit unter moderater Chemoemesis-Gefährdung: Untererfassung über 120 Stunden hinaus</w:t>
      </w:r>
    </w:p>
    <w:p>
      <w:r>
        <w:rPr>
          <w:i/>
          <w:color w:val="666666"/>
          <w:sz w:val="18"/>
        </w:rPr>
        <w:t>Iimura Y et al.  ·  ESMO Open  ·  30.09.2026  ·  PMID 42815409</w:t>
      </w:r>
    </w:p>
    <w:p>
      <w:r>
        <w:t>Scoping Review systematischer Erfassung verzögerter chemotherapieassoziierter Übelkeit/Erbrechen (&gt;120 h) in 26 prospektiven Antiemetika-Studien (15 Phase III, 11 Phase II).</w:t>
      </w:r>
    </w:p>
    <w:p>
      <w:r>
        <w:rPr>
          <w:b/>
        </w:rPr>
        <w:t xml:space="preserve">Ergebnis: </w:t>
      </w:r>
      <w:r>
        <w:t>80,8% der Studien beschränkten Erfassung auf konventionelle 24–120 h. Komplette Remissionsquoten fielen von 71% in der Standardphase auf 62% in der Langzeitphase (&gt;120 h). Neurokinin-1-Antagonisten und ältere Patienten zeigten bessere Raten, höherer Frauenanteil schlechtere. Verlängerung der Erfassung wird empfohlen.</w:t>
      </w:r>
    </w:p>
    <w:p>
      <w:r>
        <w:rPr>
          <w:b/>
          <w:sz w:val="19"/>
        </w:rPr>
        <w:t xml:space="preserve">Übertragbarkeit: </w:t>
      </w:r>
      <w:r>
        <w:rPr>
          <w:sz w:val="19"/>
        </w:rPr>
        <w:t>Multizentrisch mit deutschen Autoren; Versorgungsforschungsfrage.</w:t>
      </w:r>
    </w:p>
    <w:p>
      <w:r>
        <w:rPr>
          <w:color w:val="5A7D3A"/>
          <w:sz w:val="18"/>
        </w:rPr>
        <w:t>https://pubmed.ncbi.nlm.nih.gov/42815409/</w:t>
      </w:r>
    </w:p>
    <w:p>
      <w:pPr>
        <w:pStyle w:val="Heading2"/>
      </w:pPr>
      <w:r>
        <w:t>Abemaciclib plus endokrine Therapie bei HR-positivem Brustkrebs: Nutzen über Lymphknoten-Subgruppen konsistent</w:t>
      </w:r>
    </w:p>
    <w:p>
      <w:r>
        <w:rPr>
          <w:i/>
          <w:color w:val="666666"/>
          <w:sz w:val="18"/>
        </w:rPr>
        <w:t>Cortes J et al.  ·  ESMO Open  ·  30.09.2026  ·  PMID 42815408</w:t>
      </w:r>
    </w:p>
    <w:p>
      <w:r>
        <w:t>Nachfolgeanalyse monarchE-Studie, Kohort 1 (91% der Gesamtpopulation): Abemaciclib + endokrine Therapie über 2 Jahre bei knoten-positiven Hochrisiko-Patienten mit HR-positivem, HER2-negativem frühem Brustkrebs nach medianer Nachbeobachtung 76,8 Monate.</w:t>
      </w:r>
    </w:p>
    <w:p>
      <w:r>
        <w:rPr>
          <w:b/>
        </w:rPr>
        <w:t xml:space="preserve">Ergebnis: </w:t>
      </w:r>
      <w:r>
        <w:t>Konsistent anhaltender Rückgang des Rezidivrisikos (invasives krankheitsfreies Überleben) und fernmetastasenfreies Überleben über alle Lymphknoten-Subgruppen (N1-Hochrisiko, N2, N3). Ähnliches Rezidivrisiko zwischen N1-Hochrisiko (68,6% Grad 3) und N2; Nutzen in allen Subgruppen bestätigt.</w:t>
      </w:r>
    </w:p>
    <w:p>
      <w:r>
        <w:rPr>
          <w:b/>
          <w:sz w:val="19"/>
        </w:rPr>
        <w:t xml:space="preserve">Übertragbarkeit: </w:t>
      </w:r>
      <w:r>
        <w:rPr>
          <w:sz w:val="19"/>
        </w:rPr>
        <w:t>Zulassungsrelevante Phase-III-Studie; Zentrenstandard.</w:t>
      </w:r>
    </w:p>
    <w:p>
      <w:r>
        <w:rPr>
          <w:color w:val="5A7D3A"/>
          <w:sz w:val="18"/>
        </w:rPr>
        <w:t>https://pubmed.ncbi.nlm.nih.gov/42815408/</w:t>
      </w:r>
    </w:p>
    <w:p>
      <w:pPr>
        <w:pStyle w:val="Heading2"/>
      </w:pPr>
      <w:r>
        <w:t>Giredestrant + Everolimus verdoppelt progressionsfreies Überleben bei HR+/HER2- metastasiertem Brustkrebs</w:t>
      </w:r>
    </w:p>
    <w:p>
      <w:r>
        <w:rPr>
          <w:i/>
          <w:color w:val="666666"/>
          <w:sz w:val="18"/>
        </w:rPr>
        <w:t>Mayer EL et al.  ·  N Engl J Med  ·  01.10.2026  ·  PMID 42814929</w:t>
      </w:r>
    </w:p>
    <w:p>
      <w:r>
        <w:t>Phase-III-Studie evERA mit 373 Patienten HR-positiv/HER2-negativ fortgeschrittenem Brustkrebs nach CDK4/6-Inhibitor-Versagen: Giredestrant + Everolimus vs. Standard endokrine Therapie + Everolimus.</w:t>
      </w:r>
    </w:p>
    <w:p>
      <w:r>
        <w:rPr>
          <w:b/>
        </w:rPr>
        <w:t xml:space="preserve">Ergebnis: </w:t>
      </w:r>
      <w:r>
        <w:t>Medianes progressionsfreies Überleben gesamt: 8,8 vs. 5,5 Monate (HR 0,56; 95%-KI 0,44–0,71; p&lt;0,001). Bei ESR1-mutiert (n=207): 10,0 vs. 5,5 Monate (HR 0,38; 95%-KI 0,27–0,54). Nebenwirkungsraten ähnlich: Stomatitis 47,3% vs. 48,9%, Diarrhö 26,9% vs. 22,6%, Anämie 23,6% vs. 21,0%.</w:t>
      </w:r>
    </w:p>
    <w:p>
      <w:r>
        <w:rPr>
          <w:b/>
          <w:sz w:val="19"/>
        </w:rPr>
        <w:t xml:space="preserve">Übertragbarkeit: </w:t>
      </w:r>
      <w:r>
        <w:rPr>
          <w:sz w:val="19"/>
        </w:rPr>
        <w:t>Zulassungsrelevant; breites europäisches Netzwerk.</w:t>
      </w:r>
    </w:p>
    <w:p>
      <w:r>
        <w:rPr>
          <w:color w:val="5A7D3A"/>
          <w:sz w:val="18"/>
        </w:rPr>
        <w:t>https://pubmed.ncbi.nlm.nih.gov/42814929/</w:t>
      </w:r>
    </w:p>
    <w:p>
      <w:pPr>
        <w:pStyle w:val="Heading2"/>
      </w:pPr>
      <w:r>
        <w:t>Tumor-Adipozyten-Kontakt prognostiziert schlechteres Überleben beim Pankreaskarzinom unabhängig</w:t>
      </w:r>
    </w:p>
    <w:p>
      <w:r>
        <w:rPr>
          <w:i/>
          <w:color w:val="666666"/>
          <w:sz w:val="18"/>
        </w:rPr>
        <w:t>Günther M et al.  ·  Eur J Cancer  ·  16.10.2026  ·  PMID 42777382</w:t>
      </w:r>
    </w:p>
    <w:p>
      <w:r>
        <w:t>Internationale Multicenter-Studie (941 resezierte PDAC aus 5 Kohorten: München n=400, Bern n=215, Graz n=111, Erlangen n=101, TCGA n=114): Direkte Tumor-Adipozyten-Kontaktflächen (TAC/SARIFA) auf H&amp;E-Schnitten als prognostisches Merkmal.</w:t>
      </w:r>
    </w:p>
    <w:p>
      <w:r>
        <w:rPr>
          <w:b/>
        </w:rPr>
        <w:t xml:space="preserve">Ergebnis: </w:t>
      </w:r>
      <w:r>
        <w:t>TAC/SARIFA in 53% positiv, Cohen's Kappa 0,71 (Interobserver-Agreement). TAC+ assoziiert mit höherem N-Stadium, höherem Grad, älteren Patienten (alle p&lt;0,01). Medianes Gesamtüberleben 14,1 vs. 28,0 Monate (p&lt;0,001); unabhängiger Prognosefaktor (gepoolte HR 1,84; 95%-KI 1,59–2,14; p&lt;0,001). Geschlechtsspezifischer Effekt: HR 2,46 bei Männern vs. 1,50 bei Frauen.</w:t>
      </w:r>
    </w:p>
    <w:p>
      <w:r>
        <w:rPr>
          <w:b/>
          <w:sz w:val="19"/>
        </w:rPr>
        <w:t xml:space="preserve">Übertragbarkeit: </w:t>
      </w:r>
      <w:r>
        <w:rPr>
          <w:sz w:val="19"/>
        </w:rPr>
        <w:t>Deutschsprachige Klinikdaten, vergleichbare Dokumentation; Routine-H&amp;E-Slides.</w:t>
      </w:r>
    </w:p>
    <w:p>
      <w:r>
        <w:rPr>
          <w:color w:val="5A7D3A"/>
          <w:sz w:val="18"/>
        </w:rPr>
        <w:t>https://pubmed.ncbi.nlm.nih.gov/42777382/</w:t>
      </w:r>
    </w:p>
    <w:p>
      <w:pPr>
        <w:pStyle w:val="Heading2"/>
      </w:pPr>
      <w:r>
        <w:t>Futibatinib nach nicht-kovalenten FGFR-Inhibitoren bei FGFR2-verändertem Gallengangskarzinom wirksam</w:t>
      </w:r>
    </w:p>
    <w:p>
      <w:r>
        <w:rPr>
          <w:i/>
          <w:color w:val="666666"/>
          <w:sz w:val="18"/>
        </w:rPr>
        <w:t>Casalino S et al.  ·  Eur J Cancer  ·  16.10.2026  ·  PMID 42731348</w:t>
      </w:r>
    </w:p>
    <w:p>
      <w:r>
        <w:t>Retrospektive europäische Multicenter-Studie (3 Zentren) an 16 Patienten mit FGFR2-rearrangiertem intrahepatischem Cholangiokarziom: Futibatinib nach Progression unter nicht-kovalenten FGFR-Inhibitoren.</w:t>
      </w:r>
    </w:p>
    <w:p>
      <w:r>
        <w:rPr>
          <w:b/>
        </w:rPr>
        <w:t xml:space="preserve">Ergebnis: </w:t>
      </w:r>
      <w:r>
        <w:t>Medianes PFS unter nicht-kovalenten Inhibitoren: 10,2 Monate (95%-KI 7,0–15,5), Ansprechrate 60,0%. Mit Futibatinib (Viertlinien-Median): ORR 31,3%, Kontrolle 50,0%, medianes PFS 4,5 Monate (95%-KI 2,0–9,1), medianes OS 9,9 Monate (95%-KI 5,7–nicht erreicht). FGFR2-Resistenzmutationen in 100% (n=11), polyklonal 45,5%. Effizienz unabhängig von Anzahl Resistenzmutationen.</w:t>
      </w:r>
    </w:p>
    <w:p>
      <w:r>
        <w:rPr>
          <w:b/>
          <w:sz w:val="19"/>
        </w:rPr>
        <w:t xml:space="preserve">Übertragbarkeit: </w:t>
      </w:r>
      <w:r>
        <w:rPr>
          <w:sz w:val="19"/>
        </w:rPr>
        <w:t>Deutschland und italienische/britische Zentren; Mechanismus-Beweis für kovalente Nachfolgetherapie.</w:t>
      </w:r>
    </w:p>
    <w:p>
      <w:r>
        <w:rPr>
          <w:color w:val="5A7D3A"/>
          <w:sz w:val="18"/>
        </w:rPr>
        <w:t>https://pubmed.ncbi.nlm.nih.gov/42731348/</w:t>
      </w:r>
    </w:p>
    <w:p>
      <w:pPr>
        <w:pStyle w:val="Heading1"/>
      </w:pPr>
      <w:r>
        <w:t>Aufgenommen am 30.09.2026</w:t>
      </w:r>
    </w:p>
    <w:p>
      <w:pPr>
        <w:pStyle w:val="Heading2"/>
      </w:pPr>
      <w:r>
        <w:t>Bewegungsintervention verbessert Aufmerksamkeit bei Brustkrebsüberlebenden.</w:t>
      </w:r>
    </w:p>
    <w:p>
      <w:r>
        <w:rPr>
          <w:i/>
          <w:color w:val="666666"/>
          <w:sz w:val="18"/>
        </w:rPr>
        <w:t>Hartman SJ et al.  ·  J Natl Cancer Inst  ·  30.09.2026  ·  PMID 42810736</w:t>
      </w:r>
    </w:p>
    <w:p>
      <w:r>
        <w:t>Randomisierte kontrollierte Studie mit 253 Brustkrebsüberlebenden: 12 Monate ferngesteuerte Bewegungsintervention vs. Kontakt-gematchte Health-&amp;-Wellness-Kontrolle auf Kognition und körperliche Aktivität.</w:t>
      </w:r>
    </w:p>
    <w:p>
      <w:r>
        <w:rPr>
          <w:b/>
        </w:rPr>
        <w:t xml:space="preserve">Ergebnis: </w:t>
      </w:r>
      <w:r>
        <w:t>Bewegungsarm zeigte größere Zunahme an moderater bis intensiver Aktivität (18 auf 23,5 Min./Tag vs. 15 auf 15,5 Min.). Kein signifikanter Unterschied in primären Outcomes (Selbstbericht Kognition, Processing Speed, 6 und 12 Monate, p &gt; 0,05). Sekundäre Outcomes: Bewegungsarm bessere Aufmerksamkeit (6 Mo.: b = 0,14, p = 0,03; 12 Mo.: b = 0,21, p = 0,002) und kurzfristig besseres Gedächtnis (6 Mo.: b = 0,18, p &lt; 0,01).</w:t>
      </w:r>
    </w:p>
    <w:p>
      <w:r>
        <w:rPr>
          <w:b/>
          <w:sz w:val="19"/>
        </w:rPr>
        <w:t xml:space="preserve">Übertragbarkeit: </w:t>
      </w:r>
      <w:r>
        <w:rPr>
          <w:sz w:val="19"/>
        </w:rPr>
        <w:t>USA-amerikanisches Forschungssetting, aber patientenrelevanter Endpunkt und gut skalierbare Fernintervention.</w:t>
      </w:r>
    </w:p>
    <w:p>
      <w:r>
        <w:rPr>
          <w:color w:val="5A7D3A"/>
          <w:sz w:val="18"/>
        </w:rPr>
        <w:t>https://pubmed.ncbi.nlm.nih.gov/42810736/</w:t>
      </w:r>
    </w:p>
    <w:p>
      <w:pPr>
        <w:pStyle w:val="Heading2"/>
      </w:pPr>
      <w:r>
        <w:t>Bewegung verlangsamt epigenetisches Altern bei Brustkrebsüberlebenden.</w:t>
      </w:r>
    </w:p>
    <w:p>
      <w:r>
        <w:rPr>
          <w:i/>
          <w:color w:val="666666"/>
          <w:sz w:val="18"/>
        </w:rPr>
        <w:t>Carlin D et al.  ·  J Natl Cancer Inst  ·  30.09.2026  ·  PMID 42810733</w:t>
      </w:r>
    </w:p>
    <w:p>
      <w:r>
        <w:t>Sekundäranalyse einer RCT mit 124 Brustkrebsüberlebenden: Auswirkung einer 12-Monate-Bewegungsintervention auf DNA-Methylierungsmuster (epigenetische Uhren).</w:t>
      </w:r>
    </w:p>
    <w:p>
      <w:r>
        <w:rPr>
          <w:b/>
        </w:rPr>
        <w:t xml:space="preserve">Ergebnis: </w:t>
      </w:r>
      <w:r>
        <w:t>Bewegungsarm zeigte verlangsamtes epigenetisches Altern nach GrimAge2 (p = 0,02) und DNAmFitAge (p = 0,002) vs. Kontrolle über 12 Monate. Schnelleres epigenetisches Altern mit größerem kognitiven Abbau assoziiert. Genomweite Analyse: differenziell methylierte Stellen mit Anreicherung in BDNF-Signalwegen. Epigenetisches Altern als modifizierbar durch Bewegung und möglicherweise mechanistisches Bindeglied zu kognitiven Effekten.</w:t>
      </w:r>
    </w:p>
    <w:p>
      <w:r>
        <w:rPr>
          <w:b/>
          <w:sz w:val="19"/>
        </w:rPr>
        <w:t xml:space="preserve">Übertragbarkeit: </w:t>
      </w:r>
      <w:r>
        <w:rPr>
          <w:sz w:val="19"/>
        </w:rPr>
        <w:t>USA-Studie, aber biologischer Mechanismus und patientenrelevantes Outcome übertragbar.</w:t>
      </w:r>
    </w:p>
    <w:p>
      <w:r>
        <w:rPr>
          <w:color w:val="5A7D3A"/>
          <w:sz w:val="18"/>
        </w:rPr>
        <w:t>https://pubmed.ncbi.nlm.nih.gov/42810733/</w:t>
      </w:r>
    </w:p>
    <w:p>
      <w:pPr>
        <w:pStyle w:val="Heading2"/>
      </w:pPr>
      <w:r>
        <w:t>Pembrolizumab-Monotherapie beim Nierenzellkarzinom: Biomarker und Langzeitergebnisse.</w:t>
      </w:r>
    </w:p>
    <w:p>
      <w:r>
        <w:rPr>
          <w:i/>
          <w:color w:val="666666"/>
          <w:sz w:val="18"/>
        </w:rPr>
        <w:t>McDermott DF et al.  ·  Ann Oncol  ·  29.09.2026  ·  PMID 42810586</w:t>
      </w:r>
    </w:p>
    <w:p>
      <w:r>
        <w:t>Phase-II-Studie KEYNOTE-427 nach Median 61 Monaten Follow-up: Objektives Ansprechen und Prognosefaktoren für Pembrolizumab ohne Kombinationstherapie bei klarzelliger und nicht-klarzelliger RCC.</w:t>
      </w:r>
    </w:p>
    <w:p>
      <w:r>
        <w:rPr>
          <w:b/>
        </w:rPr>
        <w:t xml:space="preserve">Ergebnis: </w:t>
      </w:r>
      <w:r>
        <w:t>Objektive Ansprechrate 36,4 % (klarzelliges RCC) und 26,7 % (nicht-klarzelliges RCC). T-Zell-entzündliches Genexpressionsprofil (TcellinfGEP) assoziiert mit höherem Ansprechen (p = 0,0208 bzw. p = 0,0021). PD-L1 CPS kontinuierlich mit Gesamtüberleben korreliert (nicht-klarzelliges RCC: p = 0,0014). Patienten mit nachweisbarer ctDNA am Baseline hatten kürzeres OS (30,5 vs. 53,7 Monate). Treibermutationen zeigten keine konsistenten Muster.</w:t>
      </w:r>
    </w:p>
    <w:p>
      <w:r>
        <w:rPr>
          <w:b/>
          <w:sz w:val="19"/>
        </w:rPr>
        <w:t xml:space="preserve">Übertragbarkeit: </w:t>
      </w:r>
      <w:r>
        <w:rPr>
          <w:sz w:val="19"/>
        </w:rPr>
        <w:t>Nordamerikanische Kohorte, internationale Zentren, Biomarker-Erkenntnisse für Präzisionstherapie übertragbar.</w:t>
      </w:r>
    </w:p>
    <w:p>
      <w:r>
        <w:rPr>
          <w:color w:val="5A7D3A"/>
          <w:sz w:val="18"/>
        </w:rPr>
        <w:t>https://pubmed.ncbi.nlm.nih.gov/42810586/</w:t>
      </w:r>
    </w:p>
    <w:p>
      <w:pPr>
        <w:pStyle w:val="Heading2"/>
      </w:pPr>
      <w:r>
        <w:t>Lebensqualität in Adjuvansstudien: Neue Standards zur Berichterstattung.</w:t>
      </w:r>
    </w:p>
    <w:p>
      <w:r>
        <w:rPr>
          <w:i/>
          <w:color w:val="666666"/>
          <w:sz w:val="18"/>
        </w:rPr>
        <w:t>Tannock IF et al.  ·  Lancet Oncol  ·  29.09.2026  ·  PMID 42810369</w:t>
      </w:r>
    </w:p>
    <w:p>
      <w:r>
        <w:t>Konsensempfehlungen europäischer und kanadischer Leitlinienautoren zur Erfassung und Darstellung der gesundheitsbezogenen Lebensqualität in Publikationen von Zulassungsstudien der adjuvanten Systemtherapie.</w:t>
      </w:r>
    </w:p>
    <w:p>
      <w:r>
        <w:rPr>
          <w:b/>
        </w:rPr>
        <w:t xml:space="preserve">Ergebnis: </w:t>
      </w:r>
      <w:r>
        <w:t>Die Studienautoren empfehlen, den Anteil der Patienten mit vordefinierter Verschlechterung in validierten Lebensqualitätsskalen sowie die Dauer dieser Beeinträchtigung während und nach Therapie zu dokumentieren. Symptome, Funktionsfähigkeit und Gesamtlebensqualität sollen differenzieren zwischen Patienten mit und ohne klinisch bedeutsame Toxizität. Diese Angaben sind im Primärbericht essentiell für informed treatment decisions.</w:t>
      </w:r>
    </w:p>
    <w:p>
      <w:r>
        <w:rPr>
          <w:b/>
          <w:sz w:val="19"/>
        </w:rPr>
        <w:t xml:space="preserve">Übertragbarkeit: </w:t>
      </w:r>
      <w:r>
        <w:rPr>
          <w:sz w:val="19"/>
        </w:rPr>
        <w:t>Europäische Autorenschaft, Standard für randomisierte Therapiestudien, übertragbar auf deutsches Zulassungswesen.</w:t>
      </w:r>
    </w:p>
    <w:p>
      <w:r>
        <w:rPr>
          <w:color w:val="5A7D3A"/>
          <w:sz w:val="18"/>
        </w:rPr>
        <w:t>https://pubmed.ncbi.nlm.nih.gov/42810369/</w:t>
      </w:r>
    </w:p>
    <w:p>
      <w:pPr>
        <w:pStyle w:val="Heading2"/>
      </w:pPr>
      <w:r>
        <w:t>Pembrolizumab-Lenvatinib bei metastasiertem Endometriumkarzinom: Real-World-Wirksamkeit.</w:t>
      </w:r>
    </w:p>
    <w:p>
      <w:r>
        <w:rPr>
          <w:i/>
          <w:color w:val="666666"/>
          <w:sz w:val="18"/>
        </w:rPr>
        <w:t>Bello Roufai D et al.  ·  ESMO Open  ·  29.09.2026  ·  PMID 42810020</w:t>
      </w:r>
    </w:p>
    <w:p>
      <w:r>
        <w:t>Französisches Programm für frühzeitigen Zugang: Wirksamkeit und Sicherheit von Pembrolizumab-Lenvatinib bei 351 Patienten mit metastasiertem Endometriumkarzinom in 25 Zentren, einschließlich älterer und fragiler Patienten.</w:t>
      </w:r>
    </w:p>
    <w:p>
      <w:r>
        <w:rPr>
          <w:b/>
        </w:rPr>
        <w:t xml:space="preserve">Ergebnis: </w:t>
      </w:r>
      <w:r>
        <w:t>Medianes Progressions-freies Überleben 6,0 Monate, medianes Gesamtüberleben 21 Monate. Objektive Ansprechrate 41 %, klinischer Benefit 68 %. Mismatch-Repair-Defizienz mit verlängertem PFS assoziiert (16 vs. 6 Monate, p &lt; 0,001). 27,6 % permanentes Absetzen von Lenvatinib wegen Toxizität; reduzierte Startdosen (37,2 %) beeinträchtigten PFS nicht. Wirksam auch in realen Populationen jenseits von Studienbedingungen.</w:t>
      </w:r>
    </w:p>
    <w:p>
      <w:r>
        <w:rPr>
          <w:b/>
          <w:sz w:val="19"/>
        </w:rPr>
        <w:t xml:space="preserve">Übertragbarkeit: </w:t>
      </w:r>
      <w:r>
        <w:rPr>
          <w:sz w:val="19"/>
        </w:rPr>
        <w:t>Französisches Versicherungssystem, Zentrumserfahrung, klinische Kohorten ähnlich deutschem Patientengut.</w:t>
      </w:r>
    </w:p>
    <w:p>
      <w:r>
        <w:rPr>
          <w:color w:val="5A7D3A"/>
          <w:sz w:val="18"/>
        </w:rPr>
        <w:t>https://pubmed.ncbi.nlm.nih.gov/42810020/</w:t>
      </w:r>
    </w:p>
    <w:p>
      <w:pPr>
        <w:pStyle w:val="Heading2"/>
      </w:pPr>
      <w:r>
        <w:t>Entscheidungshilfe für Palliativbehandlung beim Pankreaskarzinom: Real-World-Implementierung.</w:t>
      </w:r>
    </w:p>
    <w:p>
      <w:r>
        <w:rPr>
          <w:i/>
          <w:color w:val="666666"/>
          <w:sz w:val="18"/>
        </w:rPr>
        <w:t>Graus MUJE et al.  ·  Oncologist  ·  29.09.2026  ·  PMID 42809229</w:t>
      </w:r>
    </w:p>
    <w:p>
      <w:r>
        <w:t>Prospektive Multizenter-Studie an 10 niederländischen Expertenzentren: Einsatz einer Shared-Decision-Making-Hilfe bei 181 Patienten mit metastasiertem Pankreaskarzinom zur Unterstützung von Therapieentscheidungen.</w:t>
      </w:r>
    </w:p>
    <w:p>
      <w:r>
        <w:rPr>
          <w:b/>
        </w:rPr>
        <w:t xml:space="preserve">Ergebnis: </w:t>
      </w:r>
      <w:r>
        <w:t>Patienten mit ausreichend Bedenkzeit verwendeten die Entscheidungshilfe häufiger (p &lt; 0,01). Mediane Bewertung durch Patienten und Kliniker: 8/10. Diskordanz zwischen Arzt- und Patientenpreferenzen in 37 % beobachtet; Unterschiede zur finalen Therapieentscheidung häufig. Struktur-unterstützte SDM-Hilfe wird hochwertig akzeptiert und kann erfolgreich implementiert werden.</w:t>
      </w:r>
    </w:p>
    <w:p>
      <w:r>
        <w:rPr>
          <w:b/>
          <w:sz w:val="19"/>
        </w:rPr>
        <w:t xml:space="preserve">Übertragbarkeit: </w:t>
      </w:r>
      <w:r>
        <w:rPr>
          <w:sz w:val="19"/>
        </w:rPr>
        <w:t>Niederländisches System, vergleichbar mit deutschem Gesundheitswesen, SDM-Verfahren direkt übertragbar.</w:t>
      </w:r>
    </w:p>
    <w:p>
      <w:r>
        <w:rPr>
          <w:color w:val="5A7D3A"/>
          <w:sz w:val="18"/>
        </w:rPr>
        <w:t>https://pubmed.ncbi.nlm.nih.gov/42809229/</w:t>
      </w:r>
    </w:p>
    <w:p>
      <w:pPr>
        <w:pStyle w:val="Heading1"/>
      </w:pPr>
      <w:r>
        <w:t>Aufgenommen am 29.09.2026</w:t>
      </w:r>
    </w:p>
    <w:p>
      <w:pPr>
        <w:pStyle w:val="Heading2"/>
      </w:pPr>
      <w:r>
        <w:t>Hypofractionierte Postmastektomie-Radiotherapie ohne Anstieg schwerer Toxizitäten</w:t>
      </w:r>
    </w:p>
    <w:p>
      <w:r>
        <w:rPr>
          <w:i/>
          <w:color w:val="666666"/>
          <w:sz w:val="18"/>
        </w:rPr>
        <w:t>Sun GY et al.  ·  Lancet Oncol  ·  Okt. 2026  ·  PMID 42805199</w:t>
      </w:r>
    </w:p>
    <w:p>
      <w:r>
        <w:t>Randomisierte Phase-3-Studie mit 10-Jahres-Nachbeobachtung von 820 Patientinnen mit hochrisiko-Brustkrebs nach Mastektomie.</w:t>
      </w:r>
    </w:p>
    <w:p>
      <w:r>
        <w:rPr>
          <w:b/>
        </w:rPr>
        <w:t xml:space="preserve">Ergebnis: </w:t>
      </w:r>
      <w:r>
        <w:t>Lokoregionales Rezidiv nach 10 Jahren: 10,3 % (konventionell) vs. 12,0 % (hypofraktioniert; Hazard Ratio 1,19; 95%-KI 0,79–1,82). Grade-3-Toxizitäten waren selten und ähnlich in beiden Gruppen (je &lt;1–2 %). Hypofraktionierung ist zeiteffizient und gleichwertig sicher.</w:t>
      </w:r>
    </w:p>
    <w:p>
      <w:r>
        <w:rPr>
          <w:b/>
          <w:sz w:val="19"/>
        </w:rPr>
        <w:t xml:space="preserve">Übertragbarkeit: </w:t>
      </w:r>
      <w:r>
        <w:rPr>
          <w:sz w:val="19"/>
        </w:rPr>
        <w:t>China, vergleichbare onkologische Versorgung; Ergebnis sollte Leitlinien beeinflussen.</w:t>
      </w:r>
    </w:p>
    <w:p>
      <w:r>
        <w:rPr>
          <w:color w:val="5A7D3A"/>
          <w:sz w:val="18"/>
        </w:rPr>
        <w:t>https://pubmed.ncbi.nlm.nih.gov/42805199/</w:t>
      </w:r>
    </w:p>
    <w:p>
      <w:pPr>
        <w:pStyle w:val="Heading2"/>
      </w:pPr>
      <w:r>
        <w:t>2,3 Millionen Krebsfälle weltweit durch Infektionen: Prävention möglich</w:t>
      </w:r>
    </w:p>
    <w:p>
      <w:r>
        <w:rPr>
          <w:i/>
          <w:color w:val="666666"/>
          <w:sz w:val="18"/>
        </w:rPr>
        <w:t>Rumgay H et al.  ·  Lancet Oncol  ·  Okt. 2026  ·  PMID 42805198</w:t>
      </w:r>
    </w:p>
    <w:p>
      <w:r>
        <w:t>Analyse der Global Cancer Observatory 2024 zu Krebslast durch 12 klassifizierten Karzinogene (H. pylori, HPV, HBV, HCV, EBV u. a.).</w:t>
      </w:r>
    </w:p>
    <w:p>
      <w:r>
        <w:rPr>
          <w:b/>
        </w:rPr>
        <w:t xml:space="preserve">Ergebnis: </w:t>
      </w:r>
      <w:r>
        <w:t>12 % aller Krebsinzidenz 2024 (2,3 Mio. Fälle) attributabel: H. pylori 760.000 (4 %), HPV 750.000 (4 %), HBV 360.000 (2 %). Höchste Lasten in Ostasien (990.000 Fälle; 31,9/100.000), Sub-Sahara-Afrika (28,5/100.000). Prävention durch Impfung, Test-and-Treat möglich.</w:t>
      </w:r>
    </w:p>
    <w:p>
      <w:r>
        <w:rPr>
          <w:b/>
          <w:sz w:val="19"/>
        </w:rPr>
        <w:t xml:space="preserve">Übertragbarkeit: </w:t>
      </w:r>
      <w:r>
        <w:rPr>
          <w:sz w:val="19"/>
        </w:rPr>
        <w:t>Global applikabel, auch für Deutschland bei Präventionsplanung relevant.</w:t>
      </w:r>
    </w:p>
    <w:p>
      <w:r>
        <w:rPr>
          <w:color w:val="5A7D3A"/>
          <w:sz w:val="18"/>
        </w:rPr>
        <w:t>https://pubmed.ncbi.nlm.nih.gov/42805198/</w:t>
      </w:r>
    </w:p>
    <w:p>
      <w:pPr>
        <w:pStyle w:val="Heading2"/>
      </w:pPr>
      <w:r>
        <w:t>Keimbahnvariantenscreening: Nutzen vs. Schaden für Population?</w:t>
      </w:r>
    </w:p>
    <w:p>
      <w:r>
        <w:rPr>
          <w:i/>
          <w:color w:val="666666"/>
          <w:sz w:val="18"/>
        </w:rPr>
        <w:t>Turnbull C et al.  ·  Lancet Oncol  ·  25.09.2026  ·  PMID 42790443</w:t>
      </w:r>
    </w:p>
    <w:p>
      <w:r>
        <w:t>Policy Review von Experten zu Expansion von Cancer-Susceptibility-Testing von Genetik-Kliniken in die Bevölkerung; Fokus auf klinische Evidenz und Health-System-Implikationen.</w:t>
      </w:r>
    </w:p>
    <w:p>
      <w:r>
        <w:rPr>
          <w:b/>
        </w:rPr>
        <w:t xml:space="preserve">Ergebnis: </w:t>
      </w:r>
      <w:r>
        <w:t>Nur für wenige Gene (BRCA1, BRCA2, MLH1, MSH2) etablierte Risiken und evidenzgestützte Interventionen. Für viele Panel-Gene: unsichere Penetranz, fehlende Mortalitätsreduktion und Kosteneffektivität. Polygene Risikoscores diskriminatorisch begrenzt, abhängig von Ethnizität. Tiered, kontextabhängiger Implementierungsansatz empfohlen.</w:t>
      </w:r>
    </w:p>
    <w:p>
      <w:r>
        <w:rPr>
          <w:b/>
          <w:sz w:val="19"/>
        </w:rPr>
        <w:t xml:space="preserve">Übertragbarkeit: </w:t>
      </w:r>
      <w:r>
        <w:rPr>
          <w:sz w:val="19"/>
        </w:rPr>
        <w:t>Direkt auf Deutschland übertragbar; könnte AMNOG-, Zertifizierungs- und Leitlinien-Entscheidungen beeinflussen.</w:t>
      </w:r>
    </w:p>
    <w:p>
      <w:r>
        <w:rPr>
          <w:color w:val="5A7D3A"/>
          <w:sz w:val="18"/>
        </w:rPr>
        <w:t>https://pubmed.ncbi.nlm.nih.gov/42790443/</w:t>
      </w:r>
    </w:p>
    <w:p>
      <w:pPr>
        <w:pStyle w:val="Heading2"/>
      </w:pPr>
      <w:r>
        <w:t>Real-World-Überleben HER2-positiver metastastischer Brustkrebs: 41,4 Monate</w:t>
      </w:r>
    </w:p>
    <w:p>
      <w:r>
        <w:rPr>
          <w:i/>
          <w:color w:val="666666"/>
          <w:sz w:val="18"/>
        </w:rPr>
        <w:t>Lee SC et al.  ·  ESMO Open  ·  25.09.2026  ·  PMID 42790263</w:t>
      </w:r>
    </w:p>
    <w:p>
      <w:r>
        <w:t>Retrospektive HER2 REAL Study aus 6 Ländern mit 763 Patienten und HER2-positivem metastasiertem Brustkrebs; Treatment Patterns und OS.</w:t>
      </w:r>
    </w:p>
    <w:p>
      <w:r>
        <w:rPr>
          <w:b/>
        </w:rPr>
        <w:t xml:space="preserve">Ergebnis: </w:t>
      </w:r>
      <w:r>
        <w:t>Mediales Gesamtüberleben: 41,4 Monate (95%-KI 38,1–45,8). Erste Linie Trastuzumab+Pertuzumab+CT: 58,1 % erhalten, medianes OS 46,8 Monate. Zweite Linie T-DM1: 45,5 %, medianes OS 23,9 Monate. Heterogenes Therapiemuster, Optimierungsbedarf identifiziert.</w:t>
      </w:r>
    </w:p>
    <w:p>
      <w:r>
        <w:rPr>
          <w:b/>
          <w:sz w:val="19"/>
        </w:rPr>
        <w:t xml:space="preserve">Übertragbarkeit: </w:t>
      </w:r>
      <w:r>
        <w:rPr>
          <w:sz w:val="19"/>
        </w:rPr>
        <w:t>6 Länder, Patientenauswahl pragmatisch, Real-World-Vergleichswert aber limitiert aussagekräftig für Deutschland.</w:t>
      </w:r>
    </w:p>
    <w:p>
      <w:r>
        <w:rPr>
          <w:color w:val="5A7D3A"/>
          <w:sz w:val="18"/>
        </w:rPr>
        <w:t>https://pubmed.ncbi.nlm.nih.gov/42790263/</w:t>
      </w:r>
    </w:p>
    <w:p>
      <w:pPr>
        <w:pStyle w:val="Heading2"/>
      </w:pPr>
      <w:r>
        <w:t>Daratumumab mit VRd verbessert Remissionstiefe bei transplantuntauglichem Myelom</w:t>
      </w:r>
    </w:p>
    <w:p>
      <w:r>
        <w:rPr>
          <w:i/>
          <w:color w:val="666666"/>
          <w:sz w:val="18"/>
        </w:rPr>
        <w:t>Usmani SZ et al.  ·  J Clin Oncol  ·  25.09.2026  ·  PMID 42789828</w:t>
      </w:r>
    </w:p>
    <w:p>
      <w:r>
        <w:t>Phase-3-Studie CEPHEUS mit 289 transplantuntauglichen Patienten (median 58,7 Monate Nachfolge): DVRd versus VRd.</w:t>
      </w:r>
    </w:p>
    <w:p>
      <w:r>
        <w:rPr>
          <w:b/>
        </w:rPr>
        <w:t xml:space="preserve">Ergebnis: </w:t>
      </w:r>
      <w:r>
        <w:t>MRD-Negativität (10⁻⁵): 60,4 % (DVRd) vs. 39,3 % (VRd; p=0,0004). Progressionsfreies Überleben: HR 0,51 (95%-KI 0,35–0,74; p=0,0003). Nachhaltige MRD ≥12 Monate: 47,2 % vs. 28,3 % (p=0,0010).</w:t>
      </w:r>
    </w:p>
    <w:p>
      <w:r>
        <w:rPr>
          <w:b/>
          <w:sz w:val="19"/>
        </w:rPr>
        <w:t xml:space="preserve">Übertragbarkeit: </w:t>
      </w:r>
      <w:r>
        <w:rPr>
          <w:sz w:val="19"/>
        </w:rPr>
        <w:t>Zulassungsrelevante Studie, Datenlage für AMNOG-Bewertung verfügbar.</w:t>
      </w:r>
    </w:p>
    <w:p>
      <w:r>
        <w:rPr>
          <w:color w:val="5A7D3A"/>
          <w:sz w:val="18"/>
        </w:rPr>
        <w:t>https://pubmed.ncbi.nlm.nih.gov/42789828/</w:t>
      </w:r>
    </w:p>
    <w:p>
      <w:pPr>
        <w:pStyle w:val="Heading2"/>
      </w:pPr>
      <w:r>
        <w:t>Symptomcluster nach Schilddrüsenkrebs-OP beeinflussen Lebensqualität</w:t>
      </w:r>
    </w:p>
    <w:p>
      <w:r>
        <w:rPr>
          <w:i/>
          <w:color w:val="666666"/>
          <w:sz w:val="18"/>
        </w:rPr>
        <w:t>Gao J et al.  ·  Oncologist  ·  24.09.2026  ·  PMID 42786665</w:t>
      </w:r>
    </w:p>
    <w:p>
      <w:r>
        <w:t>Nationale multizentrische Querschnittsstudie mit 1.093 Patienten 4 Wochen post-Thyreoidektomie; Symptome und Lebensqualität mittels EORTC QLQ erhoben.</w:t>
      </w:r>
    </w:p>
    <w:p>
      <w:r>
        <w:rPr>
          <w:b/>
        </w:rPr>
        <w:t xml:space="preserve">Ergebnis: </w:t>
      </w:r>
      <w:r>
        <w:t>Drei Symptomcluster identifiziert: psychologisch-somatisch, Schilddrüsenhormon-bezogen, Operations-bezogen. Psychologisch-somatischer Cluster stärker mit schlechterer Lebensqualität assoziiert (β=−0,596; 95%-KI −0,713 bis −0,581). Frauen und Totalthyreoidektomie zeigten höhere Risikomarker.</w:t>
      </w:r>
    </w:p>
    <w:p>
      <w:r>
        <w:rPr>
          <w:b/>
          <w:sz w:val="19"/>
        </w:rPr>
        <w:t xml:space="preserve">Übertragbarkeit: </w:t>
      </w:r>
      <w:r>
        <w:rPr>
          <w:sz w:val="19"/>
        </w:rPr>
        <w:t>China, Symptomerfassung übertragbar, strukturierte Nachsorge-Interventionen ableitbar.</w:t>
      </w:r>
    </w:p>
    <w:p>
      <w:r>
        <w:rPr>
          <w:color w:val="5A7D3A"/>
          <w:sz w:val="18"/>
        </w:rPr>
        <w:t>https://pubmed.ncbi.nlm.nih.gov/42786665/</w:t>
      </w:r>
    </w:p>
    <w:p>
      <w:pPr>
        <w:pStyle w:val="Heading2"/>
      </w:pPr>
      <w:r>
        <w:t>TA-Wiederholungen als Schwachstelle extrachromosomaler DNA im Tumor</w:t>
      </w:r>
    </w:p>
    <w:p>
      <w:r>
        <w:rPr>
          <w:i/>
          <w:color w:val="666666"/>
          <w:sz w:val="18"/>
        </w:rPr>
        <w:t>Billing D et al.  ·  Nature  ·  23.09.2026  ·  PMID 42778593</w:t>
      </w:r>
    </w:p>
    <w:p>
      <w:r>
        <w:t>Grundlagenarbeit zur Mechanik der Aufrechterhaltung extrachromosomaler DNA (ecDNA) in Krebszellen mittels Single-Cell-Sequenzierung und funktionellen Studien.</w:t>
      </w:r>
    </w:p>
    <w:p>
      <w:r>
        <w:rPr>
          <w:b/>
        </w:rPr>
        <w:t xml:space="preserve">Ergebnis: </w:t>
      </w:r>
      <w:r>
        <w:t>Polymerase-θ (Polθ) und FANCM supprimieren Bruchbildung an TA-reichen Stellen. MMEJ-Reparatur hält ecDNA stabil; Polθ-Inhibition destabilisiert ecDNA selektiv, induziert Fitnessverlust in ecDNA-abhängigen Tumoren. Therapeutisches Potenzial identifiziert.</w:t>
      </w:r>
    </w:p>
    <w:p>
      <w:r>
        <w:rPr>
          <w:b/>
          <w:sz w:val="19"/>
        </w:rPr>
        <w:t xml:space="preserve">Übertragbarkeit: </w:t>
      </w:r>
      <w:r>
        <w:rPr>
          <w:sz w:val="19"/>
        </w:rPr>
        <w:t>USA und Deutschland (Charité beteiligt); Zielstruktur für neue Wirkstoff-entwicklung, noch präklinisch.</w:t>
      </w:r>
    </w:p>
    <w:p>
      <w:r>
        <w:rPr>
          <w:color w:val="5A7D3A"/>
          <w:sz w:val="18"/>
        </w:rPr>
        <w:t>https://pubmed.ncbi.nlm.nih.gov/42778593/</w:t>
      </w:r>
    </w:p>
    <w:p>
      <w:pPr>
        <w:pStyle w:val="Heading1"/>
      </w:pPr>
      <w:r>
        <w:t>Aufgenommen am 28.09.2026</w:t>
      </w:r>
    </w:p>
    <w:p>
      <w:pPr>
        <w:pStyle w:val="Heading2"/>
      </w:pPr>
      <w:r>
        <w:t>Kanonische Action Research verbessert Protontherapie-Zuweisungsquoten: Niederländische Versorgungsstudie zeigt Implementierungsdefizite</w:t>
      </w:r>
    </w:p>
    <w:p>
      <w:r>
        <w:rPr>
          <w:i/>
          <w:color w:val="666666"/>
          <w:sz w:val="18"/>
        </w:rPr>
        <w:t>Ho F et al.  ·  Radiother Oncol  ·  27.09.2026  ·  PMID 42801959</w:t>
      </w:r>
    </w:p>
    <w:p>
      <w:r>
        <w:t>Qualitative Implementierungsstudie mit Canonical Action Research in niederländischen Radiotherapie-Zentren zu Barrieren und Interventionen bei Protontherapie-Zuweisungen für Lungen- und Ösophaguskarzinome.</w:t>
      </w:r>
    </w:p>
    <w:p>
      <w:r>
        <w:rPr>
          <w:b/>
        </w:rPr>
        <w:t xml:space="preserve">Ergebnis: </w:t>
      </w:r>
      <w:r>
        <w:t>Diagnose-Phase identifizierte Barrieren (Wissenslücken, unzureichende Koordination, Logistik). Implementierte stakeholder-entwickelte Interventionen (Logistik-Verbesserungen, Patienten-Begleiter) waren mit erhöhten Überweisungs- und Behandlungsraten an einem Zentrum assoziiert. Stakeholder-Wahrnehmung von Pathway-Design und Intervention-Angemessenheit verbesserte sich; Patienten-Zufriedenheit blieb stabil.</w:t>
      </w:r>
    </w:p>
    <w:p>
      <w:r>
        <w:rPr>
          <w:b/>
          <w:sz w:val="19"/>
        </w:rPr>
        <w:t xml:space="preserve">Übertragbarkeit: </w:t>
      </w:r>
      <w:r>
        <w:rPr>
          <w:sz w:val="19"/>
        </w:rPr>
        <w:t>Niederlande, vergleichbares Versicherungssystem; Modell übertragbar auf deutsche Zentrumsvernetzung</w:t>
      </w:r>
    </w:p>
    <w:p>
      <w:r>
        <w:rPr>
          <w:color w:val="5A7D3A"/>
          <w:sz w:val="18"/>
        </w:rPr>
        <w:t>https://pubmed.ncbi.nlm.nih.gov/42801959/</w:t>
      </w:r>
    </w:p>
    <w:p>
      <w:pPr>
        <w:pStyle w:val="Heading2"/>
      </w:pPr>
      <w:r>
        <w:t>Schlafstörungen und Müdigkeit bei Oropharyngeal-Karzinom-Radiotherapie-Überlebenden korrelieren mit Gesamtüberleben</w:t>
      </w:r>
    </w:p>
    <w:p>
      <w:r>
        <w:rPr>
          <w:i/>
          <w:color w:val="666666"/>
          <w:sz w:val="18"/>
        </w:rPr>
        <w:t>Carevic G et al.  ·  Radiother Oncol  ·  26.09.2026  ·  PMID 42800678</w:t>
      </w:r>
    </w:p>
    <w:p>
      <w:r>
        <w:t>Prospektive Longitudinalkohorte (372 Patienten mit Oropharyngeal-Karzinom unter kurativer Strahlentherapie ± Chemotherapie) zum Symptom-Verlauf und Überleben anhand patientenberichteter Outcomes (MDASI-HN).</w:t>
      </w:r>
    </w:p>
    <w:p>
      <w:r>
        <w:rPr>
          <w:b/>
        </w:rPr>
        <w:t xml:space="preserve">Ergebnis: </w:t>
      </w:r>
      <w:r>
        <w:t>Schwere Müdigkeit, Schlafstörung und Schläfrigkeit erreichten Höhepunkt bei RT-Ende (26%, 15%, 18%) und normalisierten sich bis Monat 6. Schwere longitudinale Müdigkeit (HR 5,05), Schlafstörung (HR 3,86) und Schläfrigkeit (HR 8,24) waren unabhängig mit schlechterer Overall Survival assoziiert (p &lt; 0,05). Effekt blieb nach multivariater Anpassung signifikant.</w:t>
      </w:r>
    </w:p>
    <w:p>
      <w:r>
        <w:rPr>
          <w:b/>
          <w:sz w:val="19"/>
        </w:rPr>
        <w:t xml:space="preserve">Übertragbarkeit: </w:t>
      </w:r>
      <w:r>
        <w:rPr>
          <w:sz w:val="19"/>
        </w:rPr>
        <w:t>USA-Tertiary Center; Symptom-basierte Risikoidentifikation übertragbar auf deutsche Nachsorge-Protokolle</w:t>
      </w:r>
    </w:p>
    <w:p>
      <w:r>
        <w:rPr>
          <w:color w:val="5A7D3A"/>
          <w:sz w:val="18"/>
        </w:rPr>
        <w:t>https://pubmed.ncbi.nlm.nih.gov/42800678/</w:t>
      </w:r>
    </w:p>
    <w:p>
      <w:pPr>
        <w:pStyle w:val="Heading2"/>
      </w:pPr>
      <w:r>
        <w:t>Präzisionsmedizin bei ungleicher Zugangsverteilung: Global-Audit zeigt massive Lücken zwischen Anspruch und Versorgung</w:t>
      </w:r>
    </w:p>
    <w:p>
      <w:r>
        <w:rPr>
          <w:i/>
          <w:color w:val="666666"/>
          <w:sz w:val="18"/>
        </w:rPr>
        <w:t>Casolino R et al.  ·  Lancet Oncol  ·  25.09.2026  ·  PMID 42790448</w:t>
      </w:r>
    </w:p>
    <w:p>
      <w:r>
        <w:t>Lancet-Onkologie-Kommission analysierte die globale Lage der Krebsgenetik und Präzisionsmedizin und bewertete Implementierungsbarrieren, Ungleichheiten und den Nutzen biomarker-gestützter Therapien.</w:t>
      </w:r>
    </w:p>
    <w:p>
      <w:r>
        <w:rPr>
          <w:b/>
        </w:rPr>
        <w:t xml:space="preserve">Ergebnis: </w:t>
      </w:r>
      <w:r>
        <w:t>Nur wenige validierte Biomarker-Therapie-Paare zeigen konsistente klinische Gewinne; umfassendere genomische Profiling-Ansätze erweitern Optionen für Patienten, doch profitiert nur ein kleiner Anteil von angepasster Therapie. Massive Ungleichheiten bei Zugang zur Genomik und Präzisionsmedizin bestehen länder- und populationsübergreifend. Die Studie liefert ein Implementierungs-Framework für gerechte, nachhaltige Skalierung.</w:t>
      </w:r>
    </w:p>
    <w:p>
      <w:r>
        <w:rPr>
          <w:b/>
          <w:sz w:val="19"/>
        </w:rPr>
        <w:t xml:space="preserve">Übertragbarkeit: </w:t>
      </w:r>
      <w:r>
        <w:rPr>
          <w:sz w:val="19"/>
        </w:rPr>
        <w:t>Deutsches Gesundheitssystem: zentral für Zertifizierung der Zentren und AMNOG-Bewertung</w:t>
      </w:r>
    </w:p>
    <w:p>
      <w:r>
        <w:rPr>
          <w:color w:val="5A7D3A"/>
          <w:sz w:val="18"/>
        </w:rPr>
        <w:t>https://pubmed.ncbi.nlm.nih.gov/42790448/</w:t>
      </w:r>
    </w:p>
    <w:p>
      <w:pPr>
        <w:pStyle w:val="Heading2"/>
      </w:pPr>
      <w:r>
        <w:t>Gesamtüberleben als primärer Endpunkt in Phase-III-Onkologie-Studien: Metaanalyse zeigt konsistente Gewinne</w:t>
      </w:r>
    </w:p>
    <w:p>
      <w:r>
        <w:rPr>
          <w:i/>
          <w:color w:val="666666"/>
          <w:sz w:val="18"/>
        </w:rPr>
        <w:t>Sherry AD et al.  ·  Oncologist  ·  09.09.2026  ·  PMID 42789933</w:t>
      </w:r>
    </w:p>
    <w:p>
      <w:r>
        <w:t>OPTIMA-Metaanalyse mit individualisierten Patientendaten von 159 Phase-III-Studien mit Gesamt-Überleben als primärem Endpunkt (104.740 Patienten).</w:t>
      </w:r>
    </w:p>
    <w:p>
      <w:r>
        <w:rPr>
          <w:b/>
        </w:rPr>
        <w:t xml:space="preserve">Ergebnis: </w:t>
      </w:r>
      <w:r>
        <w:t>Experimentelle Arme zeigten im Zwei-Stufen-Cox-Modell verbesserte Overall Survival (Hazard Ratio 0,87; 95%-KI 0,85–0,89; p &lt; 0,0001), bestätigt im einstufigen stratifizierten Modell (HR 0,88; 95%-KI 0,85–0,90). Befund dokumentiert, dass randomisierte Phase-III-Studien mit OS-Primärendpunkt konsistent therapeutische Fortschritte nachweisen.</w:t>
      </w:r>
    </w:p>
    <w:p>
      <w:r>
        <w:rPr>
          <w:b/>
          <w:sz w:val="19"/>
        </w:rPr>
        <w:t xml:space="preserve">Übertragbarkeit: </w:t>
      </w:r>
      <w:r>
        <w:rPr>
          <w:sz w:val="19"/>
        </w:rPr>
        <w:t>Multinationale Studienpopulation; Befunde unterstützen Regulierungs- und Finanzierungsprioritäten für OS-fokussierte Trials</w:t>
      </w:r>
    </w:p>
    <w:p>
      <w:r>
        <w:rPr>
          <w:color w:val="5A7D3A"/>
          <w:sz w:val="18"/>
        </w:rPr>
        <w:t>https://pubmed.ncbi.nlm.nih.gov/42789933/</w:t>
      </w:r>
    </w:p>
    <w:p>
      <w:pPr>
        <w:pStyle w:val="Heading2"/>
      </w:pPr>
      <w:r>
        <w:t>Alkoholkonsum und Kolorektalkarzinom-Risiko bei Prä-Diabetes und Diabetes: Südkoreanische Kohorten zeigen Synergien</w:t>
      </w:r>
    </w:p>
    <w:p>
      <w:r>
        <w:rPr>
          <w:i/>
          <w:color w:val="666666"/>
          <w:sz w:val="18"/>
        </w:rPr>
        <w:t>Kim TS et al.  ·  J Natl Cancer Inst  ·  24.09.2026  ·  PMID 42786582</w:t>
      </w:r>
    </w:p>
    <w:p>
      <w:r>
        <w:t>Nationale südkoreanische Kohortenstudie (4,475.492 Erwachsene, Median-Follow-up 9,33 Jahre) zur Dosis-Wirkung zwischen Alkoholkonsum und Kolorektalkrebs-Inzidenz nach glykämischem Status.</w:t>
      </w:r>
    </w:p>
    <w:p>
      <w:r>
        <w:rPr>
          <w:b/>
        </w:rPr>
        <w:t xml:space="preserve">Ergebnis: </w:t>
      </w:r>
      <w:r>
        <w:t>51.592 CRC-Fälle dokumentiert. Leichter bis mäßiger Alkoholkonsum erhöhte CRC-Risiko synergistisch bei Prä-Diabetes (HR 1,23; 95%-KI 1,19–1,27; Synergieindex 1,72) und Diabetes (HR 1,48; 95%-KI 1,42–1,54; Synergieindex 2,04). Dose-abhängige lineare Assoziation über alle kolorektalen Subsites, steiler bei Diabetes.</w:t>
      </w:r>
    </w:p>
    <w:p>
      <w:r>
        <w:rPr>
          <w:b/>
          <w:sz w:val="19"/>
        </w:rPr>
        <w:t xml:space="preserve">Übertragbarkeit: </w:t>
      </w:r>
      <w:r>
        <w:rPr>
          <w:sz w:val="19"/>
        </w:rPr>
        <w:t>Südkorea, hohes Screening-Aufkommen; Prävention bei Stoffwechselvorstufen setzt patientenrelevante Endpunkte voraus</w:t>
      </w:r>
    </w:p>
    <w:p>
      <w:r>
        <w:rPr>
          <w:color w:val="5A7D3A"/>
          <w:sz w:val="18"/>
        </w:rPr>
        <w:t>https://pubmed.ncbi.nlm.nih.gov/42786582/</w:t>
      </w:r>
    </w:p>
    <w:p>
      <w:pPr>
        <w:pStyle w:val="Heading2"/>
      </w:pPr>
      <w:r>
        <w:t>KI-Modelle zur Risikoprognose in der Magenkrebsnachsorge: Transfernutzen unklar</w:t>
      </w:r>
    </w:p>
    <w:p>
      <w:r>
        <w:rPr>
          <w:i/>
          <w:color w:val="666666"/>
          <w:sz w:val="18"/>
        </w:rPr>
        <w:t>Rabasco Meneghetti A  ·  Ann Oncol  ·  Okt. 2026  ·  PMID 42760040</w:t>
      </w:r>
    </w:p>
    <w:p>
      <w:r>
        <w:t>Kommentar zu DeepComp, einem KI-System für postoperative Risikostratifizierung beim Magenkarzinom; erörtert Vorhersagekompetenz und Umsetzungserfordernisse.</w:t>
      </w:r>
    </w:p>
    <w:p>
      <w:r>
        <w:rPr>
          <w:b/>
        </w:rPr>
        <w:t xml:space="preserve">Ergebnis: </w:t>
      </w:r>
      <w:r>
        <w:t>Der Kommentar diskutiert Chancen maschineller Lernverfahren zur Risikoklassifizierung, warnt aber vor Interpretationsfallen und nennt fehlende Validierung in prospektiven Kohorten als zentrale Hürde für klinische Adoption.</w:t>
      </w:r>
    </w:p>
    <w:p>
      <w:r>
        <w:rPr>
          <w:b/>
          <w:sz w:val="19"/>
        </w:rPr>
        <w:t xml:space="preserve">Übertragbarkeit: </w:t>
      </w:r>
      <w:r>
        <w:rPr>
          <w:sz w:val="19"/>
        </w:rPr>
        <w:t>Deutschland: Validierung in Zentren notwendig vor Einsatz in AMNOG- und Zertifizierungskontexten</w:t>
      </w:r>
    </w:p>
    <w:p>
      <w:r>
        <w:rPr>
          <w:color w:val="5A7D3A"/>
          <w:sz w:val="18"/>
        </w:rPr>
        <w:t>https://pubmed.ncbi.nlm.nih.gov/42760040/</w:t>
      </w:r>
    </w:p>
    <w:p>
      <w:pPr>
        <w:pStyle w:val="Heading1"/>
      </w:pPr>
      <w:r>
        <w:t>Aufgenommen am 27.09.2026</w:t>
      </w:r>
    </w:p>
    <w:p>
      <w:pPr>
        <w:pStyle w:val="Heading2"/>
      </w:pPr>
      <w:r>
        <w:t>Single-Fraction SABR gleichwertig zu Multi-Fraction bei frühem NSCLC</w:t>
      </w:r>
    </w:p>
    <w:p>
      <w:r>
        <w:rPr>
          <w:i/>
          <w:color w:val="666666"/>
          <w:sz w:val="18"/>
        </w:rPr>
        <w:t>Aguirre-Meneses KA et al.  ·  Radiother Oncol  ·  26.09.2026  ·  PMID 42800679</w:t>
      </w:r>
    </w:p>
    <w:p>
      <w:r>
        <w:t>Bevölkerungsbasierte retrospektive Analyse aus British Columbia (2021-2024): 814 Läsionen bei 778 Patienten mit peripher gelegenem T1-2N0-NSCLC, behandelt mit Single-Fraction (SF) oder Multi-Fraction (MF) SABR, Nachverfolgung median 25,8 Monate.</w:t>
      </w:r>
    </w:p>
    <w:p>
      <w:r>
        <w:rPr>
          <w:b/>
        </w:rPr>
        <w:t xml:space="preserve">Ergebnis: </w:t>
      </w:r>
      <w:r>
        <w:t>Keine signifikanten Unterschiede in 2-Jahres-Lokalversagen (3,5% vs. 4,8%, p=0,11) oder 2-Jahres-Gesamtüberleben (79,3% vs. 79,4%, p=0,62). Grad-2-Toxizität 11,5% vs. 12,4%, Grad-3-5-Toxizität 1,5% vs. 3,9% (p=0,08), Brustwandtoxizität identisch 5,0%. SF-SABR war kein unabhängiger Prädiktor für Lokalversagen oder Toxizität.</w:t>
      </w:r>
    </w:p>
    <w:p>
      <w:r>
        <w:rPr>
          <w:b/>
          <w:sz w:val="19"/>
        </w:rPr>
        <w:t xml:space="preserve">Übertragbarkeit: </w:t>
      </w:r>
      <w:r>
        <w:rPr>
          <w:sz w:val="19"/>
        </w:rPr>
        <w:t>Kanadisches System mit vergleichbarem öffentlichem Versicherungsauftrag; Kostenwirksamkeit für deutsche Strahlenkliniken relevant.</w:t>
      </w:r>
    </w:p>
    <w:p>
      <w:r>
        <w:rPr>
          <w:color w:val="5A7D3A"/>
          <w:sz w:val="18"/>
        </w:rPr>
        <w:t>https://pubmed.ncbi.nlm.nih.gov/42800679/</w:t>
      </w:r>
    </w:p>
    <w:p>
      <w:pPr>
        <w:pStyle w:val="Heading2"/>
      </w:pPr>
      <w:r>
        <w:t>Tumor-First DNA-Testing effizienter als Familienanamnese für BRCA-Screening</w:t>
      </w:r>
    </w:p>
    <w:p>
      <w:r>
        <w:rPr>
          <w:i/>
          <w:color w:val="666666"/>
          <w:sz w:val="18"/>
        </w:rPr>
        <w:t>Kloots ISH et al.  ·  Eur J Cancer  ·  19.09.2026  ·  PMID 42800309</w:t>
      </w:r>
    </w:p>
    <w:p>
      <w:r>
        <w:t>Prospektive Studie (PROMPT) mit 452 Patienten mit metastasiertem Prostatakarzinom: Vergleich tumor-first-workflow (TFW) versus familienanamnese-basierte Testung für Keimbahnvarianten in BRCA1/2, PALB2, ATM, CHEK2.</w:t>
      </w:r>
    </w:p>
    <w:p>
      <w:r>
        <w:rPr>
          <w:b/>
        </w:rPr>
        <w:t xml:space="preserve">Ergebnis: </w:t>
      </w:r>
      <w:r>
        <w:t>TFW identifizierte 22/36 (61%) aller Träger pathogener Keimbahnvarianten mit technischer Sensitivität von 97%. Gegenüber modellierter Familienanamnese-Strategie (8 vs. 22 Träger identifiziert; p&lt;0,001) war TFW deutlich überlegen mit positiv-prädiktivem Wert 51% vs. 13% und niedrigerer Anzahl zum Testen (2,0 vs. 7,9). Kosten pro entdeckter Variante: 998 € vs. 12.246 €.</w:t>
      </w:r>
    </w:p>
    <w:p>
      <w:r>
        <w:rPr>
          <w:b/>
          <w:sz w:val="19"/>
        </w:rPr>
        <w:t xml:space="preserve">Übertragbarkeit: </w:t>
      </w:r>
      <w:r>
        <w:rPr>
          <w:sz w:val="19"/>
        </w:rPr>
        <w:t>Niederländisches Gesundheitssystem mit direkter Übertragbarkeit auf deutsches Mutationsscreening-Protokoll.</w:t>
      </w:r>
    </w:p>
    <w:p>
      <w:r>
        <w:rPr>
          <w:color w:val="5A7D3A"/>
          <w:sz w:val="18"/>
        </w:rPr>
        <w:t>https://pubmed.ncbi.nlm.nih.gov/42800309/</w:t>
      </w:r>
    </w:p>
    <w:p>
      <w:pPr>
        <w:pStyle w:val="Heading2"/>
      </w:pPr>
      <w:r>
        <w:t>Spirituelle Überzeugungen hemmen Studienteilnahme schwarzer Krebspatienten massiv</w:t>
      </w:r>
    </w:p>
    <w:p>
      <w:r>
        <w:rPr>
          <w:i/>
          <w:color w:val="666666"/>
          <w:sz w:val="18"/>
        </w:rPr>
        <w:t>Gomez C et al.  ·  Int J Radiat Oncol Biol Phys  ·  25.09.2026  ·  PMID 42790602</w:t>
      </w:r>
    </w:p>
    <w:p>
      <w:r>
        <w:t>Querschnittstudie an 172 von 247 Patienten (70% Teilnahmequote) nach definitiver Strahlentherapie für GI-, thorakale, gynäkologische und HNO-Malignome (Oktober 2023–Februar 2024): Psychosoziale Faktoren und Studieneinschlusshindernisse.</w:t>
      </w:r>
    </w:p>
    <w:p>
      <w:r>
        <w:rPr>
          <w:b/>
        </w:rPr>
        <w:t xml:space="preserve">Ergebnis: </w:t>
      </w:r>
      <w:r>
        <w:t>Schwarze Patienten (n=42, 24%) waren weniger verheiratet (16,7% vs. 68,8%; p&lt;0,001), geringer gebildet und hatten niedrigeres Einkommen ($69.318 vs. $106.823; p&lt;0,001). Obwohl gleich viele zur Teilnahme eingeladen (17,9% vs. 21,7%), stimmten weniger schwarze Patienten zu (17,1% vs. 31,9%; p&lt;0,001). Höhere Religiosität senkte Teilnahmebereitschaft um 44% (p=0,036). 48% schwarzer vs. 17,3% weißer Patienten glaubten, dass Gott Heilung bestimmt (p=0,024); 18% schwarzer vs. 3,6% weißer Patienten misstrauten klinischer Forschung (p=0,001).</w:t>
      </w:r>
    </w:p>
    <w:p>
      <w:r>
        <w:rPr>
          <w:b/>
          <w:sz w:val="19"/>
        </w:rPr>
        <w:t xml:space="preserve">Übertragbarkeit: </w:t>
      </w:r>
      <w:r>
        <w:rPr>
          <w:sz w:val="19"/>
        </w:rPr>
        <w:t>USA - Disparitäten-fokussiertes qualitatives Forschungsdesign; deutsche Rekrutierungsstrategien müssen kulturelle und religiöse Faktoren adressieren.</w:t>
      </w:r>
    </w:p>
    <w:p>
      <w:r>
        <w:rPr>
          <w:color w:val="5A7D3A"/>
          <w:sz w:val="18"/>
        </w:rPr>
        <w:t>https://pubmed.ncbi.nlm.nih.gov/42790602/</w:t>
      </w:r>
    </w:p>
    <w:p>
      <w:pPr>
        <w:pStyle w:val="Heading2"/>
      </w:pPr>
      <w:r>
        <w:t>Komplexe Genomik verzögert Zugang zu Essential Cancer Medicines global</w:t>
      </w:r>
    </w:p>
    <w:p>
      <w:r>
        <w:rPr>
          <w:i/>
          <w:color w:val="666666"/>
          <w:sz w:val="18"/>
        </w:rPr>
        <w:t>Vokinger KN et al.  ·  Lancet Oncol  ·  25.09.2026  ·  PMID 42790449</w:t>
      </w:r>
    </w:p>
    <w:p>
      <w:r>
        <w:t>Retrospektive Analyse der Verfügbarkeit von 41 Essential Cancer Medicines auf der WHO-Liste zwischen 2002 und 2023 in 71 Ländern, unterschieden nach Anforderung an Immunhistochemie, komplexe Genomik oder keine Diagnostik.</w:t>
      </w:r>
    </w:p>
    <w:p>
      <w:r>
        <w:rPr>
          <w:b/>
        </w:rPr>
        <w:t xml:space="preserve">Ergebnis: </w:t>
      </w:r>
      <w:r>
        <w:t>Arzneien, die komplexe genomische Diagnostik erfordern, zeigen 65% niedrigere Aufnahmevolumina als solche ohne Diagnostik-Anforderung (Regressionskoeffizient −0,453, p&lt;0,0001). In Ländern mit niedrigem BIP (&lt;11.000 USD) werden nur 44% der Arzneien mit komplexer Genomik eingesetzt, gegenüber 79% in Ländern mit hohem BIP (&gt;33.000 USD). Die Aufnahme zeigt, dass WHO-EML-Listung allein für Zugang insufficient ist.</w:t>
      </w:r>
    </w:p>
    <w:p>
      <w:r>
        <w:rPr>
          <w:b/>
          <w:sz w:val="19"/>
        </w:rPr>
        <w:t xml:space="preserve">Übertragbarkeit: </w:t>
      </w:r>
      <w:r>
        <w:rPr>
          <w:sz w:val="19"/>
        </w:rPr>
        <w:t>Zeigt strukturelle Barrieren für Precision Oncology in Ländern mit begrenzter diagnostischer Infrastruktur; international vergleichbar.</w:t>
      </w:r>
    </w:p>
    <w:p>
      <w:r>
        <w:rPr>
          <w:color w:val="5A7D3A"/>
          <w:sz w:val="18"/>
        </w:rPr>
        <w:t>https://pubmed.ncbi.nlm.nih.gov/42790449/</w:t>
      </w:r>
    </w:p>
    <w:p>
      <w:pPr>
        <w:pStyle w:val="Heading2"/>
      </w:pPr>
      <w:r>
        <w:t>Venetoclax + Inotuzumab ozogamicin erzielt 95% komplette Remission im rezidivierten/refraktären B-ALL</w:t>
      </w:r>
    </w:p>
    <w:p>
      <w:r>
        <w:rPr>
          <w:i/>
          <w:color w:val="666666"/>
          <w:sz w:val="18"/>
        </w:rPr>
        <w:t>Luskin MR et al.  ·  Blood  ·  25.09.2026  ·  PMID 42789493</w:t>
      </w:r>
    </w:p>
    <w:p>
      <w:r>
        <w:t>Phase-1-Studie (23 Patienten, 15 ALL, 8 LBL): Kombination BCL-2-Inhibitor Venetoclax (VEN 400 mg/Tag 21 Tage) plus CD22-Antikörper-Wirkstoff-Konjugat Inotuzumab ozogamicin (Standard-Dosis) bei rezidiviertem/refraktärem CD22+ B-ALL/lymphoblastischem Lymphom.</w:t>
      </w:r>
    </w:p>
    <w:p>
      <w:r>
        <w:rPr>
          <w:b/>
        </w:rPr>
        <w:t xml:space="preserve">Ergebnis: </w:t>
      </w:r>
      <w:r>
        <w:t>Von 22 evaluablen Patienten erreichten 21 (95,5%) komplette Remission, 19 nach einem Zyklus. Messbare Resterkrankung (MRD) negativ in 88,9% (Flow &lt;10⁻⁴) und 73,7% (NGS &lt;10⁻⁶). Zwei-Jahres-krankheitsfreies Überleben 48% (95% KI 24–72%), medianes Gesamtüberleben nicht erreicht. Nebenwirkungen Grad ≥3: Thrombozytopenie 43,5%, Neutropenie 39,1%, sinusoidales obstruktives Syndrom 4 Patienten. MRD-Negativität korrelierte mit BCL-2-Abhängigkeit; Progression verband sich mit MCL-1-Abhängigkeit, CD22-Escape, ABCB1-Expression.</w:t>
      </w:r>
    </w:p>
    <w:p>
      <w:r>
        <w:rPr>
          <w:b/>
          <w:sz w:val="19"/>
        </w:rPr>
        <w:t xml:space="preserve">Übertragbarkeit: </w:t>
      </w:r>
      <w:r>
        <w:rPr>
          <w:sz w:val="19"/>
        </w:rPr>
        <w:t>USA-Zentrum, Phase 1; internationale Wirkstoffkombination, Übertragung auf Deutschland abhängig von Zulassung und lokaler ALL-Protokoll-Integration.</w:t>
      </w:r>
    </w:p>
    <w:p>
      <w:r>
        <w:rPr>
          <w:color w:val="5A7D3A"/>
          <w:sz w:val="18"/>
        </w:rPr>
        <w:t>https://pubmed.ncbi.nlm.nih.gov/42789493/</w:t>
      </w:r>
    </w:p>
    <w:p>
      <w:pPr>
        <w:pStyle w:val="Heading2"/>
      </w:pPr>
      <w:r>
        <w:t>Körperliche Aktivität verbessert Krankheitsfreies Überleben bei ctDNA-negativem Kolonkarzinom</w:t>
      </w:r>
    </w:p>
    <w:p>
      <w:r>
        <w:rPr>
          <w:i/>
          <w:color w:val="666666"/>
          <w:sz w:val="18"/>
        </w:rPr>
        <w:t>Zhang GQ et al.  ·  J Natl Cancer Inst  ·  24.09.2026  ·  PMID 42786576</w:t>
      </w:r>
    </w:p>
    <w:p>
      <w:r>
        <w:t>Post-hoc-Analyse der Phase-III-Studie CALGB/SWOG 80702 (763 Patienten Stage III Kolonkarzinom): Assoziation von körperlicher Aktivität (gemessen in MET-Stunden/Woche) und postoperativem Überleben, stratifiziert nach zirkulierender Tumor-DNA (ctDNA).</w:t>
      </w:r>
    </w:p>
    <w:p>
      <w:r>
        <w:rPr>
          <w:b/>
        </w:rPr>
        <w:t xml:space="preserve">Ergebnis: </w:t>
      </w:r>
      <w:r>
        <w:t>Bei ctDNA-negativen Patienten zeigten moderate (HR 0,58, 95% KI 0,37–0,91) und hohe körperliche Aktivität (HR 0,49, 95% KI 0,27–0,86) versus Inaktivität verbessertes krankheitsfreies Überleben. Bei ctDNA-positiven Patienten war körperliche Aktivität nicht prognostisch (p&gt;0,05). Physische Aktivität plus adjuvantes Celecoxib zeigte Vorteil in beiden Gruppen (ctDNA-positiv: HR 0,29, 95% KI 0,15–0,57).</w:t>
      </w:r>
    </w:p>
    <w:p>
      <w:r>
        <w:rPr>
          <w:b/>
          <w:sz w:val="19"/>
        </w:rPr>
        <w:t xml:space="preserve">Übertragbarkeit: </w:t>
      </w:r>
      <w:r>
        <w:rPr>
          <w:sz w:val="19"/>
        </w:rPr>
        <w:t>Nordamerikanische Kohortenstudie; ctDNA-Analytik national nur in Zentren verfügbar, Aktivitätsinterventionen aber universell umsetzbar.</w:t>
      </w:r>
    </w:p>
    <w:p>
      <w:r>
        <w:rPr>
          <w:color w:val="5A7D3A"/>
          <w:sz w:val="18"/>
        </w:rPr>
        <w:t>https://pubmed.ncbi.nlm.nih.gov/42786576/</w:t>
      </w:r>
    </w:p>
    <w:p>
      <w:pPr>
        <w:pStyle w:val="Heading2"/>
      </w:pPr>
      <w:r>
        <w:t>Evorpacept + Trastuzumab/Ramucirumab/Paclitaxel verbessert Ansprechrate im HER2+ Magenkarzinom</w:t>
      </w:r>
    </w:p>
    <w:p>
      <w:r>
        <w:rPr>
          <w:i/>
          <w:color w:val="666666"/>
          <w:sz w:val="18"/>
        </w:rPr>
        <w:t>Shitara K et al.  ·  Nat Med  ·  24.09.2026  ·  PMID 42786305</w:t>
      </w:r>
    </w:p>
    <w:p>
      <w:r>
        <w:t>Phase-2-Portion der randomisierten Studie ASPEN-06 (127 Patienten mit vorbehandeltem HER2-überexprimiertem metastasiertem Magen-/Ösophaguskarzinom): Evorpacept (CD47-SIRPα-Blocker) plus Standard-Tripel (TRP) versus TRP allein.</w:t>
      </w:r>
    </w:p>
    <w:p>
      <w:r>
        <w:rPr>
          <w:b/>
        </w:rPr>
        <w:t xml:space="preserve">Ergebnis: </w:t>
      </w:r>
      <w:r>
        <w:t>Primärer Endpunkt: Objektive Ansprechrate (ORR) investigator-assessed 40,3% (Evo+TRP) vs. 26,6% (TRP) in ITT-Population (Differenz 13,7%, p&lt;0,001), in Fresh-Biopsy-HER2+-Subgruppe 54,8% vs. 23,1% (Differenz 31,7%). Differenzen überschritten Schwellen, aber vs. historischem Benchmark (30%) verfehlte nur Fresh-Biopsy-Gruppe Signifikanz knapp (p=0,030 one-sided). Toxizitäten vergleichbar mit etabliertem Profil.</w:t>
      </w:r>
    </w:p>
    <w:p>
      <w:r>
        <w:rPr>
          <w:b/>
          <w:sz w:val="19"/>
        </w:rPr>
        <w:t xml:space="preserve">Übertragbarkeit: </w:t>
      </w:r>
      <w:r>
        <w:rPr>
          <w:sz w:val="19"/>
        </w:rPr>
        <w:t>Internationale Phase-2-Studie; Zulassungsfähigkeit zu klären, Übertragung auf Deutschland abhängig von Zulassung und Amnog-Bewertung.</w:t>
      </w:r>
    </w:p>
    <w:p>
      <w:r>
        <w:rPr>
          <w:color w:val="5A7D3A"/>
          <w:sz w:val="18"/>
        </w:rPr>
        <w:t>https://pubmed.ncbi.nlm.nih.gov/42786305/</w:t>
      </w:r>
    </w:p>
    <w:p>
      <w:pPr>
        <w:pStyle w:val="Heading1"/>
      </w:pPr>
      <w:r>
        <w:t>Aufgenommen am 26.09.2026</w:t>
      </w:r>
    </w:p>
    <w:p>
      <w:pPr>
        <w:pStyle w:val="Heading2"/>
      </w:pPr>
      <w:r>
        <w:t>Reduzierte Dosis für elektive Halsknotenbest. in Nasopharynxkarzinom: 5-Jahres-Sicherheit</w:t>
      </w:r>
    </w:p>
    <w:p>
      <w:r>
        <w:rPr>
          <w:i/>
          <w:color w:val="666666"/>
          <w:sz w:val="18"/>
        </w:rPr>
        <w:t>Chen X et al.  ·  Radiother Oncol  ·  25.09.2026  ·  PMID 42790787</w:t>
      </w:r>
    </w:p>
    <w:p>
      <w:r>
        <w:t>Retrospektive Kohorte mit 752 Patienten zu Langzeiteffizienz und Organschonung bei De-Eskalation der elektiven Halsknotenbestrahlung von 50 Gy auf 45 Gy EQD2 bei intensitätsmodulierter Radiotherapie.</w:t>
      </w:r>
    </w:p>
    <w:p>
      <w:r>
        <w:rPr>
          <w:b/>
        </w:rPr>
        <w:t xml:space="preserve">Ergebnis: </w:t>
      </w:r>
      <w:r>
        <w:t>5-Jahres-Regionalkontrollen 97,3 %, Gesamtüberleben 89,7 %. Nur 0,7 % isolierte Rezidive in der 45-Gy-Dosis. Vergleichspläne zeigten signifikante Dosisreduktion für alle Risikoorgane (p &lt; 0,001) mit bedeutsamen NTCP-Reduktionen für Parotisfunktionsverlust, Dysphagie und Hypothyreose (alle p &lt; 0,001).</w:t>
      </w:r>
    </w:p>
    <w:p>
      <w:r>
        <w:rPr>
          <w:b/>
          <w:sz w:val="19"/>
        </w:rPr>
        <w:t xml:space="preserve">Übertragbarkeit: </w:t>
      </w:r>
      <w:r>
        <w:rPr>
          <w:sz w:val="19"/>
        </w:rPr>
        <w:t>Chinesische Daten, internationales Standard-Bestrahlungsprotokoll, direkt übertragbar.</w:t>
      </w:r>
    </w:p>
    <w:p>
      <w:r>
        <w:rPr>
          <w:color w:val="5A7D3A"/>
          <w:sz w:val="18"/>
        </w:rPr>
        <w:t>https://pubmed.ncbi.nlm.nih.gov/42790787/</w:t>
      </w:r>
    </w:p>
    <w:p>
      <w:pPr>
        <w:pStyle w:val="Heading2"/>
      </w:pPr>
      <w:r>
        <w:t>Iberdomid + Daratumumab gegen Bortezomib bei Myelom: MRD-negative Remissionen verdoppelt</w:t>
      </w:r>
    </w:p>
    <w:p>
      <w:r>
        <w:rPr>
          <w:i/>
          <w:color w:val="666666"/>
          <w:sz w:val="18"/>
        </w:rPr>
        <w:t>Lonial S et al.  ·  Lancet Oncol  ·  25.09.2026  ·  PMID 42790445</w:t>
      </w:r>
    </w:p>
    <w:p>
      <w:r>
        <w:t>Phase-3-Studie (EXCALIBER-RRMM) mit 420 Patienten, randomisiert zum Vergleich Iberdomid/Daratumumab/Dexamethason vs. Daratumumab/Bortezomib/Dexamethason bei rezidiviertem/refraktärem Myelom.</w:t>
      </w:r>
    </w:p>
    <w:p>
      <w:r>
        <w:rPr>
          <w:b/>
        </w:rPr>
        <w:t xml:space="preserve">Ergebnis: </w:t>
      </w:r>
      <w:r>
        <w:t>MRD-negative komplette Remissionen (Fluoreszenzfluss &lt;10−5) 41 % vs. 21 % (odds ratio 2,8; 95%-KI 1,8–4,3; p &lt; 0,0001). Grad-3/4-Nebenwirkungen in 92 % vs. 70 % (Neutropenie 84 % vs. 11 %, Infektionen 39 % vs. 22 %), managebar mit Supportivtherapie.</w:t>
      </w:r>
    </w:p>
    <w:p>
      <w:r>
        <w:rPr>
          <w:b/>
          <w:sz w:val="19"/>
        </w:rPr>
        <w:t xml:space="preserve">Übertragbarkeit: </w:t>
      </w:r>
      <w:r>
        <w:rPr>
          <w:sz w:val="19"/>
        </w:rPr>
        <w:t>Internationale Studie, zentraler europäischer Einsatz in AMNOG-Verfahren zu prüfen.</w:t>
      </w:r>
    </w:p>
    <w:p>
      <w:r>
        <w:rPr>
          <w:color w:val="5A7D3A"/>
          <w:sz w:val="18"/>
        </w:rPr>
        <w:t>https://pubmed.ncbi.nlm.nih.gov/42790445/</w:t>
      </w:r>
    </w:p>
    <w:p>
      <w:pPr>
        <w:pStyle w:val="Heading2"/>
      </w:pPr>
      <w:r>
        <w:t>Online adaptive Radiotherapie bei Prostatakarzinom: weniger Toxizität, bessere Lebensqualität</w:t>
      </w:r>
    </w:p>
    <w:p>
      <w:r>
        <w:rPr>
          <w:i/>
          <w:color w:val="666666"/>
          <w:sz w:val="18"/>
        </w:rPr>
        <w:t>Kalinauskaite G et al.  ·  Strahlenther Onkol  ·  25.09.2026  ·  PMID 42789071</w:t>
      </w:r>
    </w:p>
    <w:p>
      <w:r>
        <w:t>Prospektive Studie zum Vergleich der akuten Toxizität und Lebensqualität bei adaptiver MRT-gestützter Online-Bestrahlung vs. konventioneller bildgestützter Radiotherapie bei Prostatakarzinom mit moderat hypofraktioniertem Schema.</w:t>
      </w:r>
    </w:p>
    <w:p>
      <w:r>
        <w:rPr>
          <w:b/>
        </w:rPr>
        <w:t xml:space="preserve">Ergebnis: </w:t>
      </w:r>
      <w:r>
        <w:t>Adaptive Radiotherapie war mit günstigerem gastrointestinalem Toxizitätsprofil assoziiert (niedrigere maximale Toxizitätsgrade; p = 0,028). Patienten der Vergleichsgruppe zeigten häufiger klinisch bedeutsame Verschlechterungen bei Fatigue (74 % vs. 37 %; p = 0,004), körperlicher Funktionsfähigkeit (27 % vs. 3 %; p = 0,009) und Rollenerfüllung (48,1 % vs. 22,9 %; p = 0,04).</w:t>
      </w:r>
    </w:p>
    <w:p>
      <w:r>
        <w:rPr>
          <w:b/>
          <w:sz w:val="19"/>
        </w:rPr>
        <w:t xml:space="preserve">Übertragbarkeit: </w:t>
      </w:r>
      <w:r>
        <w:rPr>
          <w:sz w:val="19"/>
        </w:rPr>
        <w:t>Deutsches Zentrumsmodell, Charité und Ulm, validierbar für deutsche Routineversorgung.</w:t>
      </w:r>
    </w:p>
    <w:p>
      <w:r>
        <w:rPr>
          <w:color w:val="5A7D3A"/>
          <w:sz w:val="18"/>
        </w:rPr>
        <w:t>https://pubmed.ncbi.nlm.nih.gov/42789071/</w:t>
      </w:r>
    </w:p>
    <w:p>
      <w:pPr>
        <w:pStyle w:val="Heading2"/>
      </w:pPr>
      <w:r>
        <w:t>Zentralisierte MRT-geführte adaptive Brachytherapie für Zervixkarzinom in Österreich: Durchführbarkeit und Ergebnisse</w:t>
      </w:r>
    </w:p>
    <w:p>
      <w:r>
        <w:rPr>
          <w:i/>
          <w:color w:val="666666"/>
          <w:sz w:val="18"/>
        </w:rPr>
        <w:t>Knoth J et al.  ·  Strahlenther Onkol  ·  25.09.2026  ·  PMID 42789070</w:t>
      </w:r>
    </w:p>
    <w:p>
      <w:r>
        <w:t>Retrospektive Kohortenstudie zur Machbarkeit eines österreichischen Zentranzugangsmodells mit dezentraler Perkutanstrahlung und zentralisierter MRT-gestützter adaptiver Brachytherapie bei 89 Patienten mit FIGO IB–IVA Zervixkarzinom (2018–2022).</w:t>
      </w:r>
    </w:p>
    <w:p>
      <w:r>
        <w:rPr>
          <w:b/>
        </w:rPr>
        <w:t xml:space="preserve">Ergebnis: </w:t>
      </w:r>
      <w:r>
        <w:t>3-Jahres-Gesamtüberleben 74 %, Lokalkontrollen 95 %, Beckenregionalkontrollen 95 %. Grad-≥3-Morbidität bei 26,1 %. Mediane Gesamtbehandlungsdauer 50 Tage. Durchführbarkeit und Qualität bestätigt, auch bei paraaortischen Metastasen (17 %).</w:t>
      </w:r>
    </w:p>
    <w:p>
      <w:r>
        <w:rPr>
          <w:b/>
          <w:sz w:val="19"/>
        </w:rPr>
        <w:t xml:space="preserve">Übertragbarkeit: </w:t>
      </w:r>
      <w:r>
        <w:rPr>
          <w:sz w:val="19"/>
        </w:rPr>
        <w:t>Österreichisches Verbundsystem direkt auf deutsche Zentrumslandschaft übertragbar.</w:t>
      </w:r>
    </w:p>
    <w:p>
      <w:r>
        <w:rPr>
          <w:color w:val="5A7D3A"/>
          <w:sz w:val="18"/>
        </w:rPr>
        <w:t>https://pubmed.ncbi.nlm.nih.gov/42789070/</w:t>
      </w:r>
    </w:p>
    <w:p>
      <w:pPr>
        <w:pStyle w:val="Heading2"/>
      </w:pPr>
      <w:r>
        <w:t>Frühe Palliativversorgung für afroamerikanische und rural wohnhafte Angehörige: Langzeitergebnisse</w:t>
      </w:r>
    </w:p>
    <w:p>
      <w:r>
        <w:rPr>
          <w:i/>
          <w:color w:val="666666"/>
          <w:sz w:val="18"/>
        </w:rPr>
        <w:t>Odom JN et al.  ·  J Natl Cancer Inst  ·  24.09.2026  ·  PMID 42786668</w:t>
      </w:r>
    </w:p>
    <w:p>
      <w:r>
        <w:t>Randomisierte Studie (ENABLE Cornerstone) bei 222 Angehörigen und 165 Patienten mit fortgeschrittenem Krebsleiden; Intervention: Laienkurs-geführte Palliativberatung für Pflegepersonen vs. Standardversorgung über 36–48 Wochen.</w:t>
      </w:r>
    </w:p>
    <w:p>
      <w:r>
        <w:rPr>
          <w:b/>
        </w:rPr>
        <w:t xml:space="preserve">Ergebnis: </w:t>
      </w:r>
      <w:r>
        <w:t>Pflegepersonen der Interventionsgruppe: niedrigere Anforderungsbelastung (Differenz −1,54; Cohen's d −0,41; p = 0,03) bei 36 Wochen. Patienten: niedriger depressive Symptome bei 36 Wochen (Differenz −1,53; p = 0,048) und bessere körperliche Lebensqualität bei 48 Wochen (Differenz +3,93; p = 0,02). Effekte bei Subgruppen mit strukturellen Zugangsbarrieren bedeutsam.</w:t>
      </w:r>
    </w:p>
    <w:p>
      <w:r>
        <w:rPr>
          <w:b/>
          <w:sz w:val="19"/>
        </w:rPr>
        <w:t xml:space="preserve">Übertragbarkeit: </w:t>
      </w:r>
      <w:r>
        <w:rPr>
          <w:sz w:val="19"/>
        </w:rPr>
        <w:t>USA, unterrepräsentierte Bevölkerungsgruppen; Modell für deutsche Versorgungslücken anwendbar.</w:t>
      </w:r>
    </w:p>
    <w:p>
      <w:r>
        <w:rPr>
          <w:color w:val="5A7D3A"/>
          <w:sz w:val="18"/>
        </w:rPr>
        <w:t>https://pubmed.ncbi.nlm.nih.gov/42786668/</w:t>
      </w:r>
    </w:p>
    <w:p>
      <w:pPr>
        <w:pStyle w:val="Heading2"/>
      </w:pPr>
      <w:r>
        <w:t>Keramidsynthese und YAP-Signalweg treiben Kolonkarzinom-Metastasen</w:t>
      </w:r>
    </w:p>
    <w:p>
      <w:r>
        <w:rPr>
          <w:i/>
          <w:color w:val="666666"/>
          <w:sz w:val="18"/>
        </w:rPr>
        <w:t>Goswami S et al.  ·  Science  ·  24.09.2026  ·  PMID 42784694</w:t>
      </w:r>
    </w:p>
    <w:p>
      <w:r>
        <w:t>Mechanistische Studie in Zellsystemen und Tiermodellen zur Rolle von de-novo-Keramidsynthese, Desaturase Degs1 und YAP-Signalweg in der Initiierung von Kolorektalkarzinom-Metastasen unter Einfluss diätetischen Fetts.</w:t>
      </w:r>
    </w:p>
    <w:p>
      <w:r>
        <w:rPr>
          <w:b/>
        </w:rPr>
        <w:t xml:space="preserve">Ergebnis: </w:t>
      </w:r>
      <w:r>
        <w:t>Dietäres Fett löst anhaltende Keramidakkumulation aus → YAP-Aktivierung über PP2A-Dephosphorylierung → YAP-DR-Programm mit Basp1-Expression. Degs1-Knockout reduzierten Keramidspiegel, YAP-Aktivität und Metastasierung ohne Primärtumor-Wachstum zu beeinflussen. Basp1-high-Zellen waren erforderlich für Metastasierungsseeding.</w:t>
      </w:r>
    </w:p>
    <w:p>
      <w:r>
        <w:rPr>
          <w:b/>
          <w:sz w:val="19"/>
        </w:rPr>
        <w:t xml:space="preserve">Übertragbarkeit: </w:t>
      </w:r>
      <w:r>
        <w:rPr>
          <w:sz w:val="19"/>
        </w:rPr>
        <w:t>USA-Daten, Grundlagenarbeit; therapeutisches Ansatzpotential (Keramid-Inhibition) für klinische Translation.</w:t>
      </w:r>
    </w:p>
    <w:p>
      <w:r>
        <w:rPr>
          <w:color w:val="5A7D3A"/>
          <w:sz w:val="18"/>
        </w:rPr>
        <w:t>https://pubmed.ncbi.nlm.nih.gov/42784694/</w:t>
      </w:r>
    </w:p>
    <w:p>
      <w:pPr>
        <w:pStyle w:val="Heading2"/>
      </w:pPr>
      <w:r>
        <w:t>IDH-mutantes Gliom: Hirngeometrie und Hypoxie strukturieren Tumororganisation</w:t>
      </w:r>
    </w:p>
    <w:p>
      <w:r>
        <w:rPr>
          <w:i/>
          <w:color w:val="666666"/>
          <w:sz w:val="18"/>
        </w:rPr>
        <w:t>Hoefflin R et al.  ·  Cancer Cell  ·  14.09.2026  ·  PMID 42735681</w:t>
      </w:r>
    </w:p>
    <w:p>
      <w:r>
        <w:t>Räumlich-translationale Studie kombiniert Einzelzell-Proteomik und räumliche Transkriptomik bei IDH-mutierten Gliomen über alle Tumorgrade hinweg, um organisatorische Prinzipien von Tumorprogression zu identifizieren.</w:t>
      </w:r>
    </w:p>
    <w:p>
      <w:r>
        <w:rPr>
          <w:b/>
        </w:rPr>
        <w:t xml:space="preserve">Ergebnis: </w:t>
      </w:r>
      <w:r>
        <w:t>Frühe Tumore: anatomisch-getriebene Organisation an weiß-grauer Substanzgrenze, Oligodendrozyten-Vorläufer (OPC)-ähnliche Zellen preferenziell dort selektioniert. Intermediate Tumore: Desorganisation mit wenigen Zell-Wechselwirkungen. Hochtgradige: Hypoxie-assoziierte Struktur ähnlich IDH-Wildtyp-Glioblastom. Zwei unabhängige räumliche Organisationsachsen.</w:t>
      </w:r>
    </w:p>
    <w:p>
      <w:r>
        <w:rPr>
          <w:b/>
          <w:sz w:val="19"/>
        </w:rPr>
        <w:t xml:space="preserve">Übertragbarkeit: </w:t>
      </w:r>
      <w:r>
        <w:rPr>
          <w:sz w:val="19"/>
        </w:rPr>
        <w:t>Europäisch-israelische Kooperation, Grundlagen für Zielpriorisierung bei Gliom-Therapie.</w:t>
      </w:r>
    </w:p>
    <w:p>
      <w:r>
        <w:rPr>
          <w:color w:val="5A7D3A"/>
          <w:sz w:val="18"/>
        </w:rPr>
        <w:t>https://pubmed.ncbi.nlm.nih.gov/42735681/</w:t>
      </w:r>
    </w:p>
    <w:p>
      <w:pPr>
        <w:pStyle w:val="Heading1"/>
      </w:pPr>
      <w:r>
        <w:t>Aufgenommen am 25.09.2026</w:t>
      </w:r>
    </w:p>
    <w:p>
      <w:pPr>
        <w:pStyle w:val="Heading2"/>
      </w:pPr>
      <w:r>
        <w:t>Adaptive Hoffnung in der Onkologie – Klinischer Rahmen für patientenzentrierte Kommunikation</w:t>
      </w:r>
    </w:p>
    <w:p>
      <w:r>
        <w:rPr>
          <w:i/>
          <w:color w:val="666666"/>
          <w:sz w:val="18"/>
        </w:rPr>
        <w:t>Cherny NI et al.  ·  ESMO Open  ·  24.07.2026  ·  PMID 42785913</w:t>
      </w:r>
    </w:p>
    <w:p>
      <w:r>
        <w:t>Narrative Übersichtsarbeit (Synthesis empirischer und konzeptioneller Literatur): Hope und Despair als zentrale, oft ko-existierende Dimensionen der Krebserfahrung – ihre Determinanten, klinischen Manifestationen und Implikationen für Kommunikation und Entscheidungsfindung über die Krankheitstrajectory.</w:t>
      </w:r>
    </w:p>
    <w:p>
      <w:r>
        <w:rPr>
          <w:b/>
        </w:rPr>
        <w:t xml:space="preserve">Ergebnis: </w:t>
      </w:r>
      <w:r>
        <w:t>Hoffnung ist dynamisches, multidimensionales Konstrukt, das sich über Zeit evolves – initial auf Heilung ausgerichtet, rekalibriert oft zu erreichbaren Zielen (Symptomkontrolle, Funktion, Sinnstiftung, Würde, spiritueller Frieden). Adaptive, realitätskongruente Hoffnung durch ehrliche, mitfühlende, relational fundierte Kommunikation nachhaltig. Klinische Competency: Psychospiritual-, Relational-, interdisziplinäre Approaches (empathische Kommunikation, Symptommanagement, Meaning-Centered Interventions, Dignity-Conserving Care).</w:t>
      </w:r>
    </w:p>
    <w:p>
      <w:r>
        <w:rPr>
          <w:b/>
          <w:sz w:val="19"/>
        </w:rPr>
        <w:t xml:space="preserve">Übertragbarkeit: </w:t>
      </w:r>
      <w:r>
        <w:rPr>
          <w:sz w:val="19"/>
        </w:rPr>
        <w:t>Internationale Expert-Synthesis, direkt auf deutsches Gesundheitssystem übertragbar.</w:t>
      </w:r>
    </w:p>
    <w:p>
      <w:r>
        <w:rPr>
          <w:color w:val="5A7D3A"/>
          <w:sz w:val="18"/>
        </w:rPr>
        <w:t>https://pubmed.ncbi.nlm.nih.gov/42785913/</w:t>
      </w:r>
    </w:p>
    <w:p>
      <w:pPr>
        <w:pStyle w:val="Heading2"/>
      </w:pPr>
      <w:r>
        <w:t>Trastuzumab emtansine bei HER2+ extramammärer Paget-Erkrankung – 92,9% Ansprechrate</w:t>
      </w:r>
    </w:p>
    <w:p>
      <w:r>
        <w:rPr>
          <w:i/>
          <w:color w:val="666666"/>
          <w:sz w:val="18"/>
        </w:rPr>
        <w:t>Arakawa S et al.  ·  ESMO Open  ·  21.07.2026  ·  PMID 42785912</w:t>
      </w:r>
    </w:p>
    <w:p>
      <w:r>
        <w:t>Phase-II-Studie TEMENOS-2: 14 japanische Patienten mit HER2-positivem metastasiertem Paget-Karzinom (extramammär), Firstline Trastuzumab emtansine 3,6 mg/kg alle 3 Wochen bis 2 Jahre.</w:t>
      </w:r>
    </w:p>
    <w:p>
      <w:r>
        <w:rPr>
          <w:b/>
        </w:rPr>
        <w:t xml:space="preserve">Ergebnis: </w:t>
      </w:r>
      <w:r>
        <w:t>Objektive Ansprechquote (zentrale Bewertung) 92,9% [95% CI 66,1%–99,8%]: 2 komplette, 11 partielle Remissionen, 1 Progression. Median-PFS 16,95 Monate [95% CI 5,75–n.e.]. Median-OS nicht erreicht. Grade-3-Nebenwirkungen in 42,9%, keine ≥4. Erste prospektive Evidenz für HER2-dirigierte ADC in dieser Entität.</w:t>
      </w:r>
    </w:p>
    <w:p>
      <w:r>
        <w:rPr>
          <w:b/>
          <w:sz w:val="19"/>
        </w:rPr>
        <w:t xml:space="preserve">Übertragbarkeit: </w:t>
      </w:r>
      <w:r>
        <w:rPr>
          <w:sz w:val="19"/>
        </w:rPr>
        <w:t>Japanische Studie, kleine Fallzahl (n=14); für Deutschland Übertragbarkeit HER2+ seltene Tumoren.</w:t>
      </w:r>
    </w:p>
    <w:p>
      <w:r>
        <w:rPr>
          <w:color w:val="5A7D3A"/>
          <w:sz w:val="18"/>
        </w:rPr>
        <w:t>https://pubmed.ncbi.nlm.nih.gov/42785912/</w:t>
      </w:r>
    </w:p>
    <w:p>
      <w:pPr>
        <w:pStyle w:val="Heading2"/>
      </w:pPr>
      <w:r>
        <w:t>Atezolizumab plus pertuzumab, trastuzumab, Chemotherapie – kein Vorteil für Gesamtüberleben</w:t>
      </w:r>
    </w:p>
    <w:p>
      <w:r>
        <w:rPr>
          <w:i/>
          <w:color w:val="666666"/>
          <w:sz w:val="18"/>
        </w:rPr>
        <w:t>Huober J et al.  ·  ESMO Open  ·  24.09.2026  ·  PMID 42785163</w:t>
      </w:r>
    </w:p>
    <w:p>
      <w:r>
        <w:t>Phase-III-Studie (IMpassion050): Neoadjuvante Atezolizumab-Addition zur Standard-Therapie bei HER2-positivem Frühbrustkrebs hohen Risikos – Intention-to-treat und PD-L1-positive Kohorte.</w:t>
      </w:r>
    </w:p>
    <w:p>
      <w:r>
        <w:rPr>
          <w:b/>
        </w:rPr>
        <w:t xml:space="preserve">Ergebnis: </w:t>
      </w:r>
      <w:r>
        <w:t>3-Jahres-Event-Free-Survival 91,4% (Atezolizumab) vs 89,0% (Placebo); Hazard Ratio 0,90 [95% CI 0,50–1,59]; 3-Jahres-Disease-Free-Survival 92,9% vs 88,5% (HR 0,71 [95% CI 0,38–1,32]). Keine signifikanten Unterschiede. Immuntherapie-assoziierte unerwünschte Ereignisse häufiger (59,4% vs 47,0%).</w:t>
      </w:r>
    </w:p>
    <w:p>
      <w:r>
        <w:rPr>
          <w:b/>
          <w:sz w:val="19"/>
        </w:rPr>
        <w:t xml:space="preserve">Übertragbarkeit: </w:t>
      </w:r>
      <w:r>
        <w:rPr>
          <w:sz w:val="19"/>
        </w:rPr>
        <w:t>Europäische Multicenterstudie, deutsche Beteiligung, direkt anwendbar.</w:t>
      </w:r>
    </w:p>
    <w:p>
      <w:r>
        <w:rPr>
          <w:color w:val="5A7D3A"/>
          <w:sz w:val="18"/>
        </w:rPr>
        <w:t>https://pubmed.ncbi.nlm.nih.gov/42785163/</w:t>
      </w:r>
    </w:p>
    <w:p>
      <w:pPr>
        <w:pStyle w:val="Heading2"/>
      </w:pPr>
      <w:r>
        <w:t>Retlirafusp alfa + Chemotherapie – Gesamtüberleben bei Magen-/GEJ-Karzinom um 6,4 Monate verlängert</w:t>
      </w:r>
    </w:p>
    <w:p>
      <w:r>
        <w:rPr>
          <w:i/>
          <w:color w:val="666666"/>
          <w:sz w:val="18"/>
        </w:rPr>
        <w:t>Peng Z et al.  ·  J Clin Oncol  ·  24.09.2026  ·  PMID 42784781</w:t>
      </w:r>
    </w:p>
    <w:p>
      <w:r>
        <w:t>Phase-III-Studie RELIGHT (731 Patienten): Retlirafusp alfa (Anti-PD-L1/TGF-β-Antikörper) + CAPOX versus Placebo + CAPOX als Firstline-Therapie für HER2-negatives lokal fortgeschrittenes/metastasiertes Magen-/Ösophagus-Karzinom.</w:t>
      </w:r>
    </w:p>
    <w:p>
      <w:r>
        <w:rPr>
          <w:b/>
        </w:rPr>
        <w:t xml:space="preserve">Ergebnis: </w:t>
      </w:r>
      <w:r>
        <w:t>PD-L1-CPS ≥5: Median-OS 16,8 vs 10,4 Monate (HR 0,53 [95% CI 0,40–0,68], p &lt; 0,0001). ITT-Analyse: 15,8 vs 11,2 Monate (HR 0,66 [95% CI 0,53–0,81], p &lt; 0,0001). Median-PFS 7,6 vs 5,5 Monate (HR 0,52). Toxizität vergleichbar (Grade ≥3: 62,6% vs 59,0%).</w:t>
      </w:r>
    </w:p>
    <w:p>
      <w:r>
        <w:rPr>
          <w:b/>
          <w:sz w:val="19"/>
        </w:rPr>
        <w:t xml:space="preserve">Übertragbarkeit: </w:t>
      </w:r>
      <w:r>
        <w:rPr>
          <w:sz w:val="19"/>
        </w:rPr>
        <w:t>China-Studie (Versicherungssystem unterschiedlich); in Deutschland Vergleich zu PD-1-Inhibitor+Chemotherapie erforderlich.</w:t>
      </w:r>
    </w:p>
    <w:p>
      <w:r>
        <w:rPr>
          <w:color w:val="5A7D3A"/>
          <w:sz w:val="18"/>
        </w:rPr>
        <w:t>https://pubmed.ncbi.nlm.nih.gov/42784781/</w:t>
      </w:r>
    </w:p>
    <w:p>
      <w:pPr>
        <w:pStyle w:val="Heading2"/>
      </w:pPr>
      <w:r>
        <w:t>PET/CT reduziert Planungszielvolumina in Ösophaguskarzinom-Strahlentherapie</w:t>
      </w:r>
    </w:p>
    <w:p>
      <w:r>
        <w:rPr>
          <w:i/>
          <w:color w:val="666666"/>
          <w:sz w:val="18"/>
        </w:rPr>
        <w:t>Ashykhmina V et al.  ·  Strahlenther Onkol  ·  24.09.2026  ·  PMID 42782290</w:t>
      </w:r>
    </w:p>
    <w:p>
      <w:r>
        <w:t>Retrospektive Analyse: 20 Patienten mit lokal fortgeschrittenem Ösophaguskarzinom – Vergleich PET/CT-gestützter versus CT-allein-Konturierung für Strahlenplanung.</w:t>
      </w:r>
    </w:p>
    <w:p>
      <w:r>
        <w:rPr>
          <w:b/>
        </w:rPr>
        <w:t xml:space="preserve">Ergebnis: </w:t>
      </w:r>
      <w:r>
        <w:t>PET/CT reduziert Zielvolumen signifikant (mittleres PTV 602,3 ± 267,4 cm³ auf 453,2 ± 237,4 cm³, p &lt; 0,001). Lungen-V20 sank von 10,39 ± 1,23% auf 7,85 ± 1,18% (p = 0,001). Geometrische Unterschiede &gt;100 cm³ in 20% der Fälle. Interobserver-Variabilität beim PET/CT-Targeting niedriger.</w:t>
      </w:r>
    </w:p>
    <w:p>
      <w:r>
        <w:rPr>
          <w:b/>
          <w:sz w:val="19"/>
        </w:rPr>
        <w:t xml:space="preserve">Übertragbarkeit: </w:t>
      </w:r>
      <w:r>
        <w:rPr>
          <w:sz w:val="19"/>
        </w:rPr>
        <w:t>Deutsche Klinik (Magdeburg), prospektive Validierung erforderlich.</w:t>
      </w:r>
    </w:p>
    <w:p>
      <w:r>
        <w:rPr>
          <w:color w:val="5A7D3A"/>
          <w:sz w:val="18"/>
        </w:rPr>
        <w:t>https://pubmed.ncbi.nlm.nih.gov/42782290/</w:t>
      </w:r>
    </w:p>
    <w:p>
      <w:pPr>
        <w:pStyle w:val="Heading2"/>
      </w:pPr>
      <w:r>
        <w:t>Re-Bestrahlung zentraler Lungenkarzinom-Rezidive – 1-Jahres-Überleben 61%</w:t>
      </w:r>
    </w:p>
    <w:p>
      <w:r>
        <w:rPr>
          <w:i/>
          <w:color w:val="666666"/>
          <w:sz w:val="18"/>
        </w:rPr>
        <w:t>Farnik F et al.  ·  Strahlenther Onkol  ·  24.09.2026  ·  PMID 42782288</w:t>
      </w:r>
    </w:p>
    <w:p>
      <w:r>
        <w:t>Monozentrische Analyse: 30 Patienten mit zentral gelegenem Lungenkarzinom-Rezidiv 2014–2024, Typ-2-Re-Bestrahlung mit individualisierter Dosierung.</w:t>
      </w:r>
    </w:p>
    <w:p>
      <w:r>
        <w:rPr>
          <w:b/>
        </w:rPr>
        <w:t xml:space="preserve">Ergebnis: </w:t>
      </w:r>
      <w:r>
        <w:t>1-Jahres-Gesamtüberleben 61%, 1-Jahres-Progression-Free-Survival 19,3%, 1-Jahres-Lokalkontrolle 80,1%. Mediane EQD2 49,5 Gy. Nur ein Fall Grade-3-Spätkomplikation (Ösophagusstenose), gute Verträglichkeit. Alter &gt;65 Jahre einziger unabhängiger Prognosefaktor für besseres PFS.</w:t>
      </w:r>
    </w:p>
    <w:p>
      <w:r>
        <w:rPr>
          <w:b/>
          <w:sz w:val="19"/>
        </w:rPr>
        <w:t xml:space="preserve">Übertragbarkeit: </w:t>
      </w:r>
      <w:r>
        <w:rPr>
          <w:sz w:val="19"/>
        </w:rPr>
        <w:t>Deutsche Monocenterstudie (Erlangen), begrenzte Fallzahl.</w:t>
      </w:r>
    </w:p>
    <w:p>
      <w:r>
        <w:rPr>
          <w:color w:val="5A7D3A"/>
          <w:sz w:val="18"/>
        </w:rPr>
        <w:t>https://pubmed.ncbi.nlm.nih.gov/42782288/</w:t>
      </w:r>
    </w:p>
    <w:p>
      <w:pPr>
        <w:pStyle w:val="Heading1"/>
      </w:pPr>
      <w:r>
        <w:t>Aufgenommen am 24.09.2026</w:t>
      </w:r>
    </w:p>
    <w:p>
      <w:pPr>
        <w:pStyle w:val="Heading2"/>
      </w:pPr>
      <w:r>
        <w:t>BCG plus Immune Checkpoint Inhibitor erhöht systemische Toxizität bei Blasenkrebs deutlich</w:t>
      </w:r>
    </w:p>
    <w:p>
      <w:r>
        <w:rPr>
          <w:i/>
          <w:color w:val="666666"/>
          <w:sz w:val="18"/>
        </w:rPr>
        <w:t>Ciccarese C et al.  ·  ESMO Open  ·  23.09.2026  ·  PMID 42777327</w:t>
      </w:r>
    </w:p>
    <w:p>
      <w:r>
        <w:t>Metaanalyse von drei Phase-III-Studien (1.895 Patienten) zur Sicherheit intravesikaler BCG-Immunchemotherapie gegenüber BCG allein bei nicht-muskelinvasivem Harnblasenkarzinom.</w:t>
      </w:r>
    </w:p>
    <w:p>
      <w:r>
        <w:rPr>
          <w:b/>
        </w:rPr>
        <w:t xml:space="preserve">Ergebnis: </w:t>
      </w:r>
      <w:r>
        <w:t>BCG plus Immune Checkpoint Inhibitor verdoppelte schwere Nebenwirkungen (Grad ≥3: RR 4,02; p&lt;0,00001) und erhöhte therapiebedingte schwere Ereignisse 4,5-fach (RR 4,54; p=0,0001), hauptsächlich durch systemische immunvermittelte Ereignisse (RR 15,18; p&lt;0,0001). Lokale Blasensymptome ähnlich zwischen Gruppen.</w:t>
      </w:r>
    </w:p>
    <w:p>
      <w:r>
        <w:rPr>
          <w:b/>
          <w:sz w:val="19"/>
        </w:rPr>
        <w:t xml:space="preserve">Übertragbarkeit: </w:t>
      </w:r>
      <w:r>
        <w:rPr>
          <w:sz w:val="19"/>
        </w:rPr>
        <w:t>Europa-Studie mit deutschen und österreichischen Zentren, direkt anwendbar</w:t>
      </w:r>
    </w:p>
    <w:p>
      <w:r>
        <w:rPr>
          <w:color w:val="5A7D3A"/>
          <w:sz w:val="18"/>
        </w:rPr>
        <w:t>https://pubmed.ncbi.nlm.nih.gov/42777327/</w:t>
      </w:r>
    </w:p>
    <w:p>
      <w:pPr>
        <w:pStyle w:val="Heading2"/>
      </w:pPr>
      <w:r>
        <w:t>FLOT plus Nivolumab bei Magenkrebse: Monocyten-Lymphozyten-Ratio identifiziert Profiteure</w:t>
      </w:r>
    </w:p>
    <w:p>
      <w:r>
        <w:rPr>
          <w:i/>
          <w:color w:val="666666"/>
          <w:sz w:val="18"/>
        </w:rPr>
        <w:t>Masetti M et al.  ·  Eur J Cancer  ·  10.09.2026  ·  PMID 42777290</w:t>
      </w:r>
    </w:p>
    <w:p>
      <w:r>
        <w:t>Extended Follow-up einer deutschen Multizenterstudie (Arm C: 52 Patienten mit mCRPC) zu FLOT-Chemotherapie plus Nivolumab mit Biomarker-Stratifizierung für Magenkarzinom.</w:t>
      </w:r>
    </w:p>
    <w:p>
      <w:r>
        <w:rPr>
          <w:b/>
        </w:rPr>
        <w:t xml:space="preserve">Ergebnis: </w:t>
      </w:r>
      <w:r>
        <w:t>Mediane OS 14,6 Monate; bei CPS≥1 plus niedriger MLR (Monocyten-Lymphozyten-Ratio) OS 32,3 vs. 7,4 Monate (p=0,044). NLR und MLR korrelierten mit Überleben; Schmerz verbesserte sich, Müdigkeit und körperliche Funktionsfähigkeit verschlechterten sich.</w:t>
      </w:r>
    </w:p>
    <w:p>
      <w:r>
        <w:rPr>
          <w:b/>
          <w:sz w:val="19"/>
        </w:rPr>
        <w:t xml:space="preserve">Übertragbarkeit: </w:t>
      </w:r>
      <w:r>
        <w:rPr>
          <w:sz w:val="19"/>
        </w:rPr>
        <w:t>Deutsche Klinikdaten aus 19 Zentren, vollständig übertragbar</w:t>
      </w:r>
    </w:p>
    <w:p>
      <w:r>
        <w:rPr>
          <w:color w:val="5A7D3A"/>
          <w:sz w:val="18"/>
        </w:rPr>
        <w:t>https://pubmed.ncbi.nlm.nih.gov/42777290/</w:t>
      </w:r>
    </w:p>
    <w:p>
      <w:pPr>
        <w:pStyle w:val="Heading2"/>
      </w:pPr>
      <w:r>
        <w:t>ODM-209 zeigt Aktivität bei kastrationsresistentem Prostatakarzinom mit AR-LBD-Mutationen</w:t>
      </w:r>
    </w:p>
    <w:p>
      <w:r>
        <w:rPr>
          <w:i/>
          <w:color w:val="666666"/>
          <w:sz w:val="18"/>
        </w:rPr>
        <w:t>Bernard-Tessier A et al.  ·  Eur J Cancer  ·  12.09.2026  ·  PMID 42777289</w:t>
      </w:r>
    </w:p>
    <w:p>
      <w:r>
        <w:t>Phase-I-Studie (STESIDES, 38 Patienten) zu ODM-209, einem CYP11A1-Inhibitor, der alle Steroidhormon-Synthese blockiert, bei metastasiertem kastrationsresistentem Prostatakarzinom und fortgeschrittenem Brustkrebs.</w:t>
      </w:r>
    </w:p>
    <w:p>
      <w:r>
        <w:rPr>
          <w:b/>
        </w:rPr>
        <w:t xml:space="preserve">Ergebnis: </w:t>
      </w:r>
      <w:r>
        <w:t>PSA-Abfall ≥50 % bei 29 % der mCRPC-Patienten (10/34); bei AR-LBD-Mutationen 47 % (9/19). Partielle klinische Remission bei 19 % (3/16). Häufigste Nebenwirkungen: Müdigkeit (53 %), periphere Ödeme (34 %); 8 % erlebten schwere Nebenwirkungen, 3 Fälle ernsthafte Nebenniereninsuffizienz (eine davon DLT).</w:t>
      </w:r>
    </w:p>
    <w:p>
      <w:r>
        <w:rPr>
          <w:b/>
          <w:sz w:val="19"/>
        </w:rPr>
        <w:t xml:space="preserve">Übertragbarkeit: </w:t>
      </w:r>
      <w:r>
        <w:rPr>
          <w:sz w:val="19"/>
        </w:rPr>
        <w:t>Europäisch-finländische Studie, toxikologisches Profil übertragbar auf Deutschland</w:t>
      </w:r>
    </w:p>
    <w:p>
      <w:r>
        <w:rPr>
          <w:color w:val="5A7D3A"/>
          <w:sz w:val="18"/>
        </w:rPr>
        <w:t>https://pubmed.ncbi.nlm.nih.gov/42777289/</w:t>
      </w:r>
    </w:p>
    <w:p>
      <w:pPr>
        <w:pStyle w:val="Heading2"/>
      </w:pPr>
      <w:r>
        <w:t>Anito-cel CAR-T-Therapie erreicht 100 % Ansprechrate bei therapierefraktärem Myelom</w:t>
      </w:r>
    </w:p>
    <w:p>
      <w:r>
        <w:rPr>
          <w:i/>
          <w:color w:val="666666"/>
          <w:sz w:val="18"/>
        </w:rPr>
        <w:t>Frigault MJ et al.  ·  N Engl J Med  ·  24.09.2026  ·  PMID 42777241</w:t>
      </w:r>
    </w:p>
    <w:p>
      <w:r>
        <w:t>Phase-1-Studie (40 Patienten, 38 erhielten Anito-cel) zu autologer CAR-T-Zelltherapie mit d-Domain-BCMA-Binder bei therapierefraktärem oder rezidiviertem multiplem Myelom nach ≥3 Therapielinien.</w:t>
      </w:r>
    </w:p>
    <w:p>
      <w:r>
        <w:rPr>
          <w:b/>
        </w:rPr>
        <w:t xml:space="preserve">Ergebnis: </w:t>
      </w:r>
      <w:r>
        <w:t>Objektives Ansprechrate 100 % (38/38), komplette Remission 79 % (30/38); mediane PFS 30,2 Monate (24-Monats-PFS 57 %), 36-Monats-OS 65 %. CRS Grad 1–2 bei 94 % (beim empfohlenen Dosis-Level), kein Grad-≥3-CRS. ICANS Grad 1–2 bei 16 %, Grad 3 bei 3 % (1 Patient). Keine Neurotoxizität oder Off-Target-Effekte.</w:t>
      </w:r>
    </w:p>
    <w:p>
      <w:r>
        <w:rPr>
          <w:b/>
          <w:sz w:val="19"/>
        </w:rPr>
        <w:t xml:space="preserve">Übertragbarkeit: </w:t>
      </w:r>
      <w:r>
        <w:rPr>
          <w:sz w:val="19"/>
        </w:rPr>
        <w:t>US-Zulassungsstudie, internationale Relevanz, Verfügbarkeit in Deutschland fraglich</w:t>
      </w:r>
    </w:p>
    <w:p>
      <w:r>
        <w:rPr>
          <w:color w:val="5A7D3A"/>
          <w:sz w:val="18"/>
        </w:rPr>
        <w:t>https://pubmed.ncbi.nlm.nih.gov/42777241/</w:t>
      </w:r>
    </w:p>
    <w:p>
      <w:pPr>
        <w:pStyle w:val="Heading2"/>
      </w:pPr>
      <w:r>
        <w:t>Adjuvantes S-1 verbessert 5-Jahres-Überleben nach Gallenwegskarzinom-Resektion auf 64 %</w:t>
      </w:r>
    </w:p>
    <w:p>
      <w:r>
        <w:rPr>
          <w:i/>
          <w:color w:val="666666"/>
          <w:sz w:val="18"/>
        </w:rPr>
        <w:t>Ikeda M et al.  ·  J Clin Oncol  ·  23.09.2026  ·  PMID 42777180</w:t>
      </w:r>
    </w:p>
    <w:p>
      <w:r>
        <w:t>Japanische Phase-III-Studie (ASCOT, 440 Patienten) zu adjuvantem S-1 nach Resektion von Gallenwegskarzinom mit 5-Jahres-Follow-up (mediane Nachbeobachtung 61,5 Monate).</w:t>
      </w:r>
    </w:p>
    <w:p>
      <w:r>
        <w:rPr>
          <w:b/>
        </w:rPr>
        <w:t xml:space="preserve">Ergebnis: </w:t>
      </w:r>
      <w:r>
        <w:t>5-Jahres-OS 64 % mit S-1 versus 52 % unter Beobachtung (HR 0,72; 95%-KI 0,55–0,95; p=0,01). Mediane OS 8,2 versus 5,9 Jahre. Mediane RFS 3,5 (S-1) versus 6,1 Jahre (Beobachtung). Behandlungseffekt über Subgruppen konsistent.</w:t>
      </w:r>
    </w:p>
    <w:p>
      <w:r>
        <w:rPr>
          <w:b/>
          <w:sz w:val="19"/>
        </w:rPr>
        <w:t xml:space="preserve">Übertragbarkeit: </w:t>
      </w:r>
      <w:r>
        <w:rPr>
          <w:sz w:val="19"/>
        </w:rPr>
        <w:t>Japanisches Gesundheitssystem, internationales Standard-Chemotherapieschema, AMNOG-Nutzen möglich</w:t>
      </w:r>
    </w:p>
    <w:p>
      <w:r>
        <w:rPr>
          <w:color w:val="5A7D3A"/>
          <w:sz w:val="18"/>
        </w:rPr>
        <w:t>https://pubmed.ncbi.nlm.nih.gov/42777180/</w:t>
      </w:r>
    </w:p>
    <w:p>
      <w:pPr>
        <w:pStyle w:val="Heading2"/>
      </w:pPr>
      <w:r>
        <w:t>GeNeo-Studie: Umfassendes Genomic Profiling verdoppelt Therapieempfehlungen</w:t>
      </w:r>
    </w:p>
    <w:p>
      <w:r>
        <w:rPr>
          <w:i/>
          <w:color w:val="666666"/>
          <w:sz w:val="18"/>
        </w:rPr>
        <w:t>Toungouz GR et al.  ·  Eur J Cancer  ·  03.06.2026  ·  PMID 42773586</w:t>
      </w:r>
    </w:p>
    <w:p>
      <w:r>
        <w:t>Belgische Studie an 1.000 metastasierten oder lokal fortgeschrittenen Krebspatienten, Vergleich umfassendes Genomic Profiling (CGP) versus beschränkte lokale NGS-Panels im Rahmen der belgischen Präzisionsmedizin-Initiative.</w:t>
      </w:r>
    </w:p>
    <w:p>
      <w:r>
        <w:rPr>
          <w:b/>
        </w:rPr>
        <w:t xml:space="preserve">Ergebnis: </w:t>
      </w:r>
      <w:r>
        <w:t>CGP erfolgreich bei 93 % der Patienten; 48 % erhielten mindestens eine zusätzliche Therapieempfehlung durch nationales Molekular-Tumorboard basierend auf CGP. 61 % aller Patienten erhielten CGP-basierte Empfehlungen; 23 % davon erhalten die empfohlene Therapie (Blockage: Nichtverfügbarkeit 25 %, klinische Verschlechterung 24 %, Patientenwahl 17 %).</w:t>
      </w:r>
    </w:p>
    <w:p>
      <w:r>
        <w:rPr>
          <w:b/>
          <w:sz w:val="19"/>
        </w:rPr>
        <w:t xml:space="preserve">Übertragbarkeit: </w:t>
      </w:r>
      <w:r>
        <w:rPr>
          <w:sz w:val="19"/>
        </w:rPr>
        <w:t>Belgisches Sozialversicherungssystem, ähnlich deutschem Struktur und Zulassungswegen</w:t>
      </w:r>
    </w:p>
    <w:p>
      <w:r>
        <w:rPr>
          <w:color w:val="5A7D3A"/>
          <w:sz w:val="18"/>
        </w:rPr>
        <w:t>https://pubmed.ncbi.nlm.nih.gov/42773586/</w:t>
      </w:r>
    </w:p>
    <w:p>
      <w:pPr>
        <w:pStyle w:val="Heading1"/>
      </w:pPr>
      <w:r>
        <w:t>Aufgenommen am 23.09.2026</w:t>
      </w:r>
    </w:p>
    <w:p>
      <w:pPr>
        <w:pStyle w:val="Heading2"/>
      </w:pPr>
      <w:r>
        <w:t>Chemotherapie und höheres Alter verschlechtern funktionelle Erholung bei älteren Brustkrebsüberlebenden</w:t>
      </w:r>
    </w:p>
    <w:p>
      <w:r>
        <w:rPr>
          <w:i/>
          <w:color w:val="666666"/>
          <w:sz w:val="18"/>
        </w:rPr>
        <w:t>Cespedes Feliciano EM et al.  ·  J Natl Cancer Inst  ·  23.09.2026  ·  PMID 42772761</w:t>
      </w:r>
    </w:p>
    <w:p>
      <w:r>
        <w:t>Vergleich wiederholter SF-36-Funktionswerte (Lebensqualität) von 6462 Patientinnen mit lokalisiertem und 1872 mit regionalem Brustkrebs vs. 37 196 krebsfreie altersgerechte Kontrollen über 15 Jahre aus der Women's Health Initiative.</w:t>
      </w:r>
    </w:p>
    <w:p>
      <w:r>
        <w:rPr>
          <w:b/>
        </w:rPr>
        <w:t xml:space="preserve">Ergebnis: </w:t>
      </w:r>
      <w:r>
        <w:t>Überlebende zeigten anhaltende funktionelle Defizite: Nach regionalem Krebs −6,8 Punkte (Jahr 1), −5,3 (Jahr 10) gegenüber Kontrollen. Chemotherapie verschärfte frühe Rückgänge (−7,1 Jahr 1). Frauen unter 70 Jahren zeigten bessere Erholung. Bessere Prediagnose-Lebensstiländerungen korrelierten mit größerer funktioneller Reserve und Erholungsfähigkeit.</w:t>
      </w:r>
    </w:p>
    <w:p>
      <w:r>
        <w:rPr>
          <w:b/>
          <w:sz w:val="19"/>
        </w:rPr>
        <w:t xml:space="preserve">Übertragbarkeit: </w:t>
      </w:r>
      <w:r>
        <w:rPr>
          <w:sz w:val="19"/>
        </w:rPr>
        <w:t>US-Daten mit großem Stichprobenumfang; Prinzipien der Unterstützung bei funktioneller Rehabilitation übertragbar.</w:t>
      </w:r>
    </w:p>
    <w:p>
      <w:r>
        <w:rPr>
          <w:color w:val="5A7D3A"/>
          <w:sz w:val="18"/>
        </w:rPr>
        <w:t>https://pubmed.ncbi.nlm.nih.gov/42772761/</w:t>
      </w:r>
    </w:p>
    <w:p>
      <w:pPr>
        <w:pStyle w:val="Heading2"/>
      </w:pPr>
      <w:r>
        <w:t>Molekulare Profiling-Lücke bei Medicaid-Patientinnen mit HR+/HER2−-Brustkrebs – weniger als 40 % erhalten Test</w:t>
      </w:r>
    </w:p>
    <w:p>
      <w:r>
        <w:rPr>
          <w:i/>
          <w:color w:val="666666"/>
          <w:sz w:val="18"/>
        </w:rPr>
        <w:t>Lal T et al.  ·  JCO Oncol Pract  ·  22.09.2026  ·  PMID 42771843</w:t>
      </w:r>
    </w:p>
    <w:p>
      <w:r>
        <w:t>Retrospektive Kohortenstudie mit verlinkten Krebs- und Medicaid-Claims-Daten aus Ohio: 1988 Patientinnen im Alter von 18–65 Jahren mit lokal fortgeschrittenem oder regionalem ER+/HER2−-Brustkrebs 2016–2020; Primärbefund: Erhalt von Oncotype DX oder MammaPrint innerhalb von 6 Monaten.</w:t>
      </w:r>
    </w:p>
    <w:p>
      <w:r>
        <w:rPr>
          <w:b/>
        </w:rPr>
        <w:t xml:space="preserve">Ergebnis: </w:t>
      </w:r>
      <w:r>
        <w:t>37,8 % (752 von 1988 Patientinnen) erhielten molekulares Profiling. Geringere Chancen bei regionalem gegenüber lokalisiertem Stadium (aOR 0,35, p&lt;0,001), Schwarze Frauen vs. Weiße (aOR 0,72), Einkommen über Armutsgrenze (aOR 0,73) und Medicaid-Langzeitpflege-Einschreiber (aOR 0,47). Verheiratet mit höherem Profiling (aOR 1,30).</w:t>
      </w:r>
    </w:p>
    <w:p>
      <w:r>
        <w:rPr>
          <w:b/>
          <w:sz w:val="19"/>
        </w:rPr>
        <w:t xml:space="preserve">Übertragbarkeit: </w:t>
      </w:r>
      <w:r>
        <w:rPr>
          <w:sz w:val="19"/>
        </w:rPr>
        <w:t>USA-Medicaid-Daten; Versorgungsungleichheiten ähnlich auch in Deutschland bei gesetzlicher Versicherung – Implementierungslücke bei Risikogruppen.</w:t>
      </w:r>
    </w:p>
    <w:p>
      <w:r>
        <w:rPr>
          <w:color w:val="5A7D3A"/>
          <w:sz w:val="18"/>
        </w:rPr>
        <w:t>https://pubmed.ncbi.nlm.nih.gov/42771843/</w:t>
      </w:r>
    </w:p>
    <w:p>
      <w:pPr>
        <w:pStyle w:val="Heading2"/>
      </w:pPr>
      <w:r>
        <w:t>Enfortumab Vedotin + Pembrolizumab beim Urothelkarzinom – praktisches Toxizitäts-Attributionsrahmenwerk zwischen ADC und Checkpoint-Inhibitor</w:t>
      </w:r>
    </w:p>
    <w:p>
      <w:r>
        <w:rPr>
          <w:i/>
          <w:color w:val="666666"/>
          <w:sz w:val="18"/>
        </w:rPr>
        <w:t>Zarka J et al.  ·  Oncologist  ·  21.09.2026  ·  PMID 42768457</w:t>
      </w:r>
    </w:p>
    <w:p>
      <w:r>
        <w:t>Mechanismus-informierte systematische Übersicht über Toxizitätsmuster bei Enfortumab Vedotin (EV), Pembrolizumab (P) und EV/P in fortgeschrittenem Urothelkarzinom anhand von Zulassungsstudien, Langzeitdaten und Real-World-Kohorten.</w:t>
      </w:r>
    </w:p>
    <w:p>
      <w:r>
        <w:rPr>
          <w:b/>
        </w:rPr>
        <w:t xml:space="preserve">Ergebnis: </w:t>
      </w:r>
      <w:r>
        <w:t>EV-Monotherapie: kutane Toxizität, periphere Neuropathie, Hyperglykämie, Dysgeuzie, okulare Ereignisse (frühe metabolische Events, kumulative Neuropathie). Pembrolizumab: niedrigere Hochgrad-Toxizität, aber Immune-Checkpoint-induzierte Endokrinopathien, Pneumonitis, Hepatitis, Kolitis, Nephritis. Kombination EV/P: vorhersehbare Überlappung dieser Toxizitätsdomänen; praktisches Attributionsrahmenwerk (EV-dominant, Immune-dominant, Überlappung, hohes Risiko mit Therapieunterbrechung).</w:t>
      </w:r>
    </w:p>
    <w:p>
      <w:r>
        <w:rPr>
          <w:b/>
          <w:sz w:val="19"/>
        </w:rPr>
        <w:t xml:space="preserve">Übertragbarkeit: </w:t>
      </w:r>
      <w:r>
        <w:rPr>
          <w:sz w:val="19"/>
        </w:rPr>
        <w:t>Mayo-Klinik-Kohorte; Toxizitäts-Management-Schemata und Attributionsrahmen für europäische/deutsche Urothelkarzinom-Praxen anwendbar.</w:t>
      </w:r>
    </w:p>
    <w:p>
      <w:r>
        <w:rPr>
          <w:color w:val="5A7D3A"/>
          <w:sz w:val="18"/>
        </w:rPr>
        <w:t>https://pubmed.ncbi.nlm.nih.gov/42768457/</w:t>
      </w:r>
    </w:p>
    <w:p>
      <w:pPr>
        <w:pStyle w:val="Heading2"/>
      </w:pPr>
      <w:r>
        <w:t>γδ-T-Zellen fördern Anti-Tumor-Immunität beim kleinzelligen Lungenkrebs – klinische Basis für BiTE-Therapie</w:t>
      </w:r>
    </w:p>
    <w:p>
      <w:r>
        <w:rPr>
          <w:i/>
          <w:color w:val="666666"/>
          <w:sz w:val="18"/>
        </w:rPr>
        <w:t>Ng J et al.  ·  Cancer Cell  ·  18.09.2026  ·  PMID 42759517</w:t>
      </w:r>
    </w:p>
    <w:p>
      <w:r>
        <w:t>Single-Cell-Transkriptomik in SCLC-Biopsien, kombiniert mit Analyse von zwei praxisverändernden klinischen Studien und Vormodellen, zur Rolle von γδ-T-Zellen bei Anti-PD-L1-Ansprechen und BiTE-Umleitung (Tarlatamab).</w:t>
      </w:r>
    </w:p>
    <w:p>
      <w:r>
        <w:rPr>
          <w:b/>
        </w:rPr>
        <w:t xml:space="preserve">Ergebnis: </w:t>
      </w:r>
      <w:r>
        <w:t>γδ-T-Zell-Infiltration in SCLC-Biospecimens nachgewiesen. Trotz PD-1-Expression behielten γδ-T-Zellen zytotoxisches Transkriptionsprofil. Hohe γδ-T-Zell-Infiltration sagte verbessertes Ansprechen auf Anti-PD-L1 in zwei Studien voraus. Vormodelle zeigten γδ-T-Zellen wirksam bei Tarlatamab-umgeleiteter SCLC-Abtötung; Zoledronsäure sensibilisierte SCLC-Zellen für γδ-T-Zell-vermittelte Tötung.</w:t>
      </w:r>
    </w:p>
    <w:p>
      <w:r>
        <w:rPr>
          <w:b/>
          <w:sz w:val="19"/>
        </w:rPr>
        <w:t xml:space="preserve">Übertragbarkeit: </w:t>
      </w:r>
      <w:r>
        <w:rPr>
          <w:sz w:val="19"/>
        </w:rPr>
        <w:t>Australisch-deutsche Kohorte; Grundlagenbefund mit erkennbarem Weg zu klinischen BiTE- und Kombinationsansätzen.</w:t>
      </w:r>
    </w:p>
    <w:p>
      <w:r>
        <w:rPr>
          <w:color w:val="5A7D3A"/>
          <w:sz w:val="18"/>
        </w:rPr>
        <w:t>https://pubmed.ncbi.nlm.nih.gov/42759517/</w:t>
      </w:r>
    </w:p>
    <w:p>
      <w:pPr>
        <w:pStyle w:val="Heading2"/>
      </w:pPr>
      <w:r>
        <w:t>Adjuvante Therapie der HR+/HER2−-Brustkrebse bei prämenopausalen Frauen: Klinischer Rahmen zu Endokrinologie, CDK4/6-Inhibitoren und Ovarialsuppression</w:t>
      </w:r>
    </w:p>
    <w:p>
      <w:r>
        <w:rPr>
          <w:i/>
          <w:color w:val="666666"/>
          <w:sz w:val="18"/>
        </w:rPr>
        <w:t>Licata L et al.  ·  Ann Oncol  ·  17.09.2026  ·  PMID 42754095</w:t>
      </w:r>
    </w:p>
    <w:p>
      <w:r>
        <w:t>Systematische Zusammenfassung und klinischer Orientierungsrahmen zu Unsicherheiten in der adjuvanten Therapie von prämenopausalen Frauen mit hormonrezeptorpositivem, HER2-negativem frühem Brustkrebs über Endokrinotherapie, CDK4/6-Inhibitoren, Ovarialsuppression und Toxizitätsmanagement.</w:t>
      </w:r>
    </w:p>
    <w:p>
      <w:r>
        <w:rPr>
          <w:b/>
        </w:rPr>
        <w:t xml:space="preserve">Ergebnis: </w:t>
      </w:r>
      <w:r>
        <w:t>Endokrinie mit CDK4/6-Inhibitoren in ausgewählten höheren Risiken bleibt Grundpfeiler. Offene Fragen: optimale Ovarialsuppression, Interpretation genomischer Assays für Chemotherapieentscheidungen, Auswahl für verlängerte Endokrinotherapie, Adhärenz und Schwangerschaftsprobleme. Der Rahmen soll individualisierte Strategien für diese Population unterstützen.</w:t>
      </w:r>
    </w:p>
    <w:p>
      <w:r>
        <w:rPr>
          <w:b/>
          <w:sz w:val="19"/>
        </w:rPr>
        <w:t xml:space="preserve">Übertragbarkeit: </w:t>
      </w:r>
      <w:r>
        <w:rPr>
          <w:sz w:val="19"/>
        </w:rPr>
        <w:t>Italienische und internationale Expertise; Strukturen übertragbar auf deutsches Zentrenmanagement.</w:t>
      </w:r>
    </w:p>
    <w:p>
      <w:r>
        <w:rPr>
          <w:color w:val="5A7D3A"/>
          <w:sz w:val="18"/>
        </w:rPr>
        <w:t>https://pubmed.ncbi.nlm.nih.gov/42754095/</w:t>
      </w:r>
    </w:p>
    <w:p>
      <w:pPr>
        <w:pStyle w:val="Heading2"/>
      </w:pPr>
      <w:r>
        <w:t>Arzneimittelinteraktionen beim Prostatakarzinom – digitale Tools häufig genutzt, Pharmakolog-Zugang unterentwickelt</w:t>
      </w:r>
    </w:p>
    <w:p>
      <w:r>
        <w:rPr>
          <w:i/>
          <w:color w:val="666666"/>
          <w:sz w:val="18"/>
        </w:rPr>
        <w:t>Valsecchi AA et al.  ·  Oncologist  ·  09.09.2026  ·  PMID 42747311</w:t>
      </w:r>
    </w:p>
    <w:p>
      <w:r>
        <w:t>Internationale Online-Umfrage bei 69 italienischen und 1064 weltweiten Gesundheitsberuflern zu Praktiken beim Management von Arzneimittelwechselwirkungen (DDI) beim Prostatakarzinom.</w:t>
      </w:r>
    </w:p>
    <w:p>
      <w:r>
        <w:rPr>
          <w:b/>
        </w:rPr>
        <w:t xml:space="preserve">Ergebnis: </w:t>
      </w:r>
      <w:r>
        <w:t>DDI wurden als klinisch relevant anerkannt. Digitale Werkzeuge (Online-Datenbanken, Apps) am häufigsten; KI-Tools selten. Italienische Onkologen berichteten begrenzte Vor-Ort-Pharmacolog-Unterstützung (29 %), weltweit 76 %. Hauptbarrieren: Zeitdruck, unsichere Quellenzuverlässigkeit, Mangel an Schulung. Italienische Ärzte forderten mehr Pharmacolog-Zugang; globale Kohorten: institutionelle Schulung.</w:t>
      </w:r>
    </w:p>
    <w:p>
      <w:r>
        <w:rPr>
          <w:b/>
          <w:sz w:val="19"/>
        </w:rPr>
        <w:t xml:space="preserve">Übertragbarkeit: </w:t>
      </w:r>
      <w:r>
        <w:rPr>
          <w:sz w:val="19"/>
        </w:rPr>
        <w:t>Deutsche Universitätskliniken haben oft Pharmakolog-Support; zentrale Erkenntnisse zur DDI-Managementlücke und Schulungsbedarf übertragbar.</w:t>
      </w:r>
    </w:p>
    <w:p>
      <w:r>
        <w:rPr>
          <w:color w:val="5A7D3A"/>
          <w:sz w:val="18"/>
        </w:rPr>
        <w:t>https://pubmed.ncbi.nlm.nih.gov/42747311/</w:t>
      </w:r>
    </w:p>
    <w:p>
      <w:pPr>
        <w:pStyle w:val="Heading2"/>
      </w:pPr>
      <w:r>
        <w:t>Nilotinib wirksam bei GIST-Patienten mit schwerer Imatinib-Toxizität – Therapiealternative ohne Kreuzreaktionen</w:t>
      </w:r>
    </w:p>
    <w:p>
      <w:r>
        <w:rPr>
          <w:i/>
          <w:color w:val="666666"/>
          <w:sz w:val="18"/>
        </w:rPr>
        <w:t>Falkenhorst J et al.  ·  Oncologist  ·  09.09.2026  ·  PMID 42691224</w:t>
      </w:r>
    </w:p>
    <w:p>
      <w:r>
        <w:t>Retrospektive Analyse von 20 GIST-Patienten mit schwerer Imatinib-Toxizität, die auf Nilotinib umgestellt wurden, inkl. In-vitro-Testung an Zelllinien mit KIT-Mutationen.</w:t>
      </w:r>
    </w:p>
    <w:p>
      <w:r>
        <w:rPr>
          <w:b/>
        </w:rPr>
        <w:t xml:space="preserve">Ergebnis: </w:t>
      </w:r>
      <w:r>
        <w:t>7,3 % der 1263 GIST-Patienten beendeten Imatinib wegen Toxizität. In 20 Patienten mit Nilotinib-Therapie zeigten sich keine Kreuzreaktivitäten mit Imatinib: Bei KIT-Exon-11-Mutationen wirksam, bei Exon-9- oder imatinib-resistenten Mutationen nicht. Nilotinib ist damit eine wichtige Alternative für imatinib-sensitive GIST.</w:t>
      </w:r>
    </w:p>
    <w:p>
      <w:r>
        <w:rPr>
          <w:b/>
          <w:sz w:val="19"/>
        </w:rPr>
        <w:t xml:space="preserve">Übertragbarkeit: </w:t>
      </w:r>
      <w:r>
        <w:rPr>
          <w:sz w:val="19"/>
        </w:rPr>
        <w:t>Deutsche GIST-Zentren können diese Therapieoption bei Imatinib-Unverträglichkeit einsetzen.</w:t>
      </w:r>
    </w:p>
    <w:p>
      <w:r>
        <w:rPr>
          <w:color w:val="5A7D3A"/>
          <w:sz w:val="18"/>
        </w:rPr>
        <w:t>https://pubmed.ncbi.nlm.nih.gov/42691224/</w:t>
      </w:r>
    </w:p>
    <w:p>
      <w:pPr>
        <w:pStyle w:val="Heading1"/>
      </w:pPr>
      <w:r>
        <w:t>Aufgenommen am 22.09.2026</w:t>
      </w:r>
    </w:p>
    <w:p>
      <w:pPr>
        <w:pStyle w:val="Heading2"/>
      </w:pPr>
      <w:r>
        <w:t>Symptom-Belastung während Behandlung: Starkes Prognosesignal für Überleben</w:t>
      </w:r>
    </w:p>
    <w:p>
      <w:r>
        <w:rPr>
          <w:i/>
          <w:color w:val="666666"/>
          <w:sz w:val="18"/>
        </w:rPr>
        <w:t>Hofsø K et al.  ·  ESMO Open  ·  21.09.2026  ·  PMID 42767083</w:t>
      </w:r>
    </w:p>
    <w:p>
      <w:r>
        <w:t>534 Patienten während Krebsbehandlung wurden nach Symptomen klassifiziert; die Assoziation zwischen Symptombelastung und langfristigem Überleben wurde 12–15 Jahre später gemessen.</w:t>
      </w:r>
    </w:p>
    <w:p>
      <w:r>
        <w:rPr>
          <w:b/>
        </w:rPr>
        <w:t xml:space="preserve">Ergebnis: </w:t>
      </w:r>
      <w:r>
        <w:t>Patienten mit durchgehend hoher Symptombelastung zeigten eine höhere Mortalität (HR 1,48; 95% KI 1,14–1,94) als andere Symptomgruppen. Symptomklassen könnten zur Risikoschichtung herangezogen werden.</w:t>
      </w:r>
    </w:p>
    <w:p>
      <w:r>
        <w:rPr>
          <w:b/>
          <w:sz w:val="19"/>
        </w:rPr>
        <w:t xml:space="preserve">Übertragbarkeit: </w:t>
      </w:r>
      <w:r>
        <w:rPr>
          <w:sz w:val="19"/>
        </w:rPr>
        <w:t>Norwegen, Versicherungssystem und Onkologieversorgung vergleichbar mit Deutschland.</w:t>
      </w:r>
    </w:p>
    <w:p>
      <w:r>
        <w:rPr>
          <w:color w:val="5A7D3A"/>
          <w:sz w:val="18"/>
        </w:rPr>
        <w:t>https://pubmed.ncbi.nlm.nih.gov/42767083/</w:t>
      </w:r>
    </w:p>
    <w:p>
      <w:pPr>
        <w:pStyle w:val="Heading2"/>
      </w:pPr>
      <w:r>
        <w:t>Dosisreduktion bei Ewing-Sarkom: Verzicht auf Therapie verschärft Prognose nicht</w:t>
      </w:r>
    </w:p>
    <w:p>
      <w:r>
        <w:rPr>
          <w:i/>
          <w:color w:val="666666"/>
          <w:sz w:val="18"/>
        </w:rPr>
        <w:t>Liu Y et al.  ·  Eur J Cancer  ·  16.09.2026  ·  PMID 42766959</w:t>
      </w:r>
    </w:p>
    <w:p>
      <w:r>
        <w:t>Euro Ewing 2012-Daten von 534 Patienten wurden analysiert, um die Auswirkung von Chemotherapie-Dosisanpassungen auf ereignisfreies Überleben zu quantifizieren.</w:t>
      </w:r>
    </w:p>
    <w:p>
      <w:r>
        <w:rPr>
          <w:b/>
        </w:rPr>
        <w:t xml:space="preserve">Ergebnis: </w:t>
      </w:r>
      <w:r>
        <w:t>Dosisreduktion war protektiv (HR 0,69; KI 0,39–1,24), Therapieverzögerung neutral (HR 1,02; KI 0,90–1,15); beide nicht signifikant. Toxizitätsmanagement durch Dosisanpassung beeinträchtigt Prognose nicht wesentlich.</w:t>
      </w:r>
    </w:p>
    <w:p>
      <w:r>
        <w:rPr>
          <w:b/>
          <w:sz w:val="19"/>
        </w:rPr>
        <w:t xml:space="preserve">Übertragbarkeit: </w:t>
      </w:r>
      <w:r>
        <w:rPr>
          <w:sz w:val="19"/>
        </w:rPr>
        <w:t>Europäische Studie, multinationale Kohorte, Ergebnisse übertragbar auf deutsches Versorgungssystem.</w:t>
      </w:r>
    </w:p>
    <w:p>
      <w:r>
        <w:rPr>
          <w:color w:val="5A7D3A"/>
          <w:sz w:val="18"/>
        </w:rPr>
        <w:t>https://pubmed.ncbi.nlm.nih.gov/42766959/</w:t>
      </w:r>
    </w:p>
    <w:p>
      <w:pPr>
        <w:pStyle w:val="Heading2"/>
      </w:pPr>
      <w:r>
        <w:t>Operationsrand bei Brustkrebs in situ: Unter 2 mm nicht automatisch ungünstiger</w:t>
      </w:r>
    </w:p>
    <w:p>
      <w:r>
        <w:rPr>
          <w:i/>
          <w:color w:val="666666"/>
          <w:sz w:val="18"/>
        </w:rPr>
        <w:t>Nash AL et al.  ·  J Clin Oncol  ·  21.09.2026  ·  PMID 42766806</w:t>
      </w:r>
    </w:p>
    <w:p>
      <w:r>
        <w:t>11.156 Frauen mit DCIS wurden nach Operationsrandbreite klassifiziert und lokales Rezidivrisiko gemessen; multivariables Cox-Modell nach klinischen Faktoren adjustiert.</w:t>
      </w:r>
    </w:p>
    <w:p>
      <w:r>
        <w:rPr>
          <w:b/>
        </w:rPr>
        <w:t xml:space="preserve">Ergebnis: </w:t>
      </w:r>
      <w:r>
        <w:t>Bei negativem Rand zeigt sich kein signifikanter Unterschied zwischen &lt;2 mm und ≥2 mm Randbreite in Rezidivrate. Nur in der Subgruppe &lt;50 Jahre war schmaler Rand ungünstiger. ORR Brusterhalt, Strahlentherapie, Alter, Hormonrezeptor und Tumor-Grade berücksichtigt.</w:t>
      </w:r>
    </w:p>
    <w:p>
      <w:r>
        <w:rPr>
          <w:b/>
          <w:sz w:val="19"/>
        </w:rPr>
        <w:t xml:space="preserve">Übertragbarkeit: </w:t>
      </w:r>
      <w:r>
        <w:rPr>
          <w:sz w:val="19"/>
        </w:rPr>
        <w:t>USA, Nationale Krebsdatenbank, vergleichbare Dokumentationsstandards zu deutschem Krebsregister.</w:t>
      </w:r>
    </w:p>
    <w:p>
      <w:r>
        <w:rPr>
          <w:color w:val="5A7D3A"/>
          <w:sz w:val="18"/>
        </w:rPr>
        <w:t>https://pubmed.ncbi.nlm.nih.gov/42766806/</w:t>
      </w:r>
    </w:p>
    <w:p>
      <w:pPr>
        <w:pStyle w:val="Heading2"/>
      </w:pPr>
      <w:r>
        <w:t>Krebsimpfstoffe: Überblick über Wirkmechanismen und klinische Erfolge</w:t>
      </w:r>
    </w:p>
    <w:p>
      <w:r>
        <w:rPr>
          <w:i/>
          <w:color w:val="666666"/>
          <w:sz w:val="18"/>
        </w:rPr>
        <w:t>Disis ML et al.  ·  JAMA  ·  21.09.2026  ·  PMID 42766303</w:t>
      </w:r>
    </w:p>
    <w:p>
      <w:r>
        <w:t>Systematische Übersicht der Translational-Science-Literatur zu Krebsvakzinen, deren Komponenten, Wirkungsweisen und bisherigen Zulassungserfolgen.</w:t>
      </w:r>
    </w:p>
    <w:p>
      <w:r>
        <w:rPr>
          <w:b/>
        </w:rPr>
        <w:t xml:space="preserve">Ergebnis: </w:t>
      </w:r>
      <w:r>
        <w:t>Sipuleucel-T reduzierte Mortalität um 22% vs. Placebo (HR 0,78; p=0,03). Talimogene laherparepvec erhöhte 6-Monats-Remissionsrate auf 16,3% vs. 2,1% (p&lt;0,001). mRNA-4157+Pembrolizumab verbesserte rezidivfreies Überleben bei Melanom (76,6% vs. 60%; HR 0,56; p=0,05). Nebenwirkungen überwiegend mild.</w:t>
      </w:r>
    </w:p>
    <w:p>
      <w:r>
        <w:rPr>
          <w:b/>
          <w:sz w:val="19"/>
        </w:rPr>
        <w:t xml:space="preserve">Übertragbarkeit: </w:t>
      </w:r>
      <w:r>
        <w:rPr>
          <w:sz w:val="19"/>
        </w:rPr>
        <w:t>USA-Literaturübersicht, Mechanismen und Sicherheitsprofil universell, Verfügbarkeit in Deutschland an Zulassung/Nutzenbewertung gekoppelt.</w:t>
      </w:r>
    </w:p>
    <w:p>
      <w:r>
        <w:rPr>
          <w:color w:val="5A7D3A"/>
          <w:sz w:val="18"/>
        </w:rPr>
        <w:t>https://pubmed.ncbi.nlm.nih.gov/42766303/</w:t>
      </w:r>
    </w:p>
    <w:p>
      <w:pPr>
        <w:pStyle w:val="Heading2"/>
      </w:pPr>
      <w:r>
        <w:t>Ceralasertib plus Olaparib bei HER2-negativem Triple-negativem Brustkrebs: ORR-Gewinn ohne PFS-Vorteil</w:t>
      </w:r>
    </w:p>
    <w:p>
      <w:r>
        <w:rPr>
          <w:i/>
          <w:color w:val="666666"/>
          <w:sz w:val="18"/>
        </w:rPr>
        <w:t>Tutt A et al.  ·  Clin Cancer Res  ·  21.09.2026  ·  PMID 42765908</w:t>
      </w:r>
    </w:p>
    <w:p>
      <w:r>
        <w:t>273 Patientinnen mit PARP-inhibitor-naiven, vorbehandelten triple-negativen Mammakarzinomen wurden in drei molekulare Schichten randomisiert: Olaparib allein gegen Kombinationen mit ATR- oder WEE1-Inhibitor.</w:t>
      </w:r>
    </w:p>
    <w:p>
      <w:r>
        <w:rPr>
          <w:b/>
        </w:rPr>
        <w:t xml:space="preserve">Ergebnis: </w:t>
      </w:r>
      <w:r>
        <w:t>Bei nicht-HRR-mutierten Tumoren: Ceralasertib+Olaparib erhöhte ORR auf 15,4% vs. 3,9% (p=0,0425); PFS-Mediane aber 3,6 vs. 3,6 Monate (nicht signifikant). Adavosertib+Olaparib wurde wegen Toxizität abgebrochen.</w:t>
      </w:r>
    </w:p>
    <w:p>
      <w:r>
        <w:rPr>
          <w:b/>
          <w:sz w:val="19"/>
        </w:rPr>
        <w:t xml:space="preserve">Übertragbarkeit: </w:t>
      </w:r>
      <w:r>
        <w:rPr>
          <w:sz w:val="19"/>
        </w:rPr>
        <w:t>Internationale Studie, einschl. Deutschland/Belgien, vergleichbare onkologische Versorgung, Ergebnis beschränkt: ORR-Gewinn ohne Überleben-Nutzen fraglich.</w:t>
      </w:r>
    </w:p>
    <w:p>
      <w:r>
        <w:rPr>
          <w:color w:val="5A7D3A"/>
          <w:sz w:val="18"/>
        </w:rPr>
        <w:t>https://pubmed.ncbi.nlm.nih.gov/42765908/</w:t>
      </w:r>
    </w:p>
    <w:p>
      <w:pPr>
        <w:pStyle w:val="Heading2"/>
      </w:pPr>
      <w:r>
        <w:t>Wirbelkörperfrakturen und Myelom-Risiko: Prospektive Kohortenstudie mit Incidental-Befunden</w:t>
      </w:r>
    </w:p>
    <w:p>
      <w:r>
        <w:rPr>
          <w:i/>
          <w:color w:val="666666"/>
          <w:sz w:val="18"/>
        </w:rPr>
        <w:t>Rønnemoes R et al.  ·  Leukemia  ·  18.09.2026  ·  PMID 42760387</w:t>
      </w:r>
    </w:p>
    <w:p>
      <w:r>
        <w:t>9.059 Personen aus bevölkerungsrepräsentativer dänischer Stichprobe erhielten CT-Scans; zufällig entdeckte Wirbelkörperfrakturen wurden als Myelom-Risikofaktor untersucht.</w:t>
      </w:r>
    </w:p>
    <w:p>
      <w:r>
        <w:rPr>
          <w:b/>
        </w:rPr>
        <w:t xml:space="preserve">Ergebnis: </w:t>
      </w:r>
      <w:r>
        <w:t>Inzidentelle Wirbelkörperfrakturen zeigten Assoziation mit erhöhtem Myelom-Risiko; Ergebnisse liegen noch in Publikation vor, konkrete Hazard-Ratio nicht im vorliegenden Abstract genannt.</w:t>
      </w:r>
    </w:p>
    <w:p>
      <w:r>
        <w:rPr>
          <w:b/>
          <w:sz w:val="19"/>
        </w:rPr>
        <w:t xml:space="preserve">Übertragbarkeit: </w:t>
      </w:r>
      <w:r>
        <w:rPr>
          <w:sz w:val="19"/>
        </w:rPr>
        <w:t>Dänemark, nationale Bevölkerungsstudie, Diagnostik durch Standardbildgebung deutschem Standard entsprechend.</w:t>
      </w:r>
    </w:p>
    <w:p>
      <w:r>
        <w:rPr>
          <w:color w:val="5A7D3A"/>
          <w:sz w:val="18"/>
        </w:rPr>
        <w:t>https://pubmed.ncbi.nlm.nih.gov/42760387/</w:t>
      </w:r>
    </w:p>
    <w:p>
      <w:pPr>
        <w:pStyle w:val="Heading1"/>
      </w:pPr>
      <w:r>
        <w:t>Aufgenommen am 21.09.2026</w:t>
      </w:r>
    </w:p>
    <w:p>
      <w:pPr>
        <w:pStyle w:val="Heading2"/>
      </w:pPr>
      <w:r>
        <w:t>SABR bei oligometastatischem Brustkrebs: Lokale Kontrolle 92,5% in 1 Jahr</w:t>
      </w:r>
    </w:p>
    <w:p>
      <w:r>
        <w:rPr>
          <w:i/>
          <w:color w:val="666666"/>
          <w:sz w:val="18"/>
        </w:rPr>
        <w:t>Viani GA et al.  ·  Radiother Oncol  ·  20.09.2026  ·  PMID 42764105</w:t>
      </w:r>
    </w:p>
    <w:p>
      <w:r>
        <w:t>Metaanalyse von 25 Studien (1.577 Patienten) zu stereotaktischer ablativer Radiotherapie bei oligometastatischem Brustkrebs.</w:t>
      </w:r>
    </w:p>
    <w:p>
      <w:r>
        <w:rPr>
          <w:b/>
        </w:rPr>
        <w:t xml:space="preserve">Ergebnis: </w:t>
      </w:r>
      <w:r>
        <w:t>Lokale Kontrolle nach 1 Jahr: 92,5 % (95% KI 90,4–94,2), nach 2 Jahren 84,6 % (81,1–87,6). De-novo-Oligometastasen zeigten bessere Ergebnisse als Oligoprogression (OS nach 2 Jahren 91,0 vs. 65,8 %; p=0,002). Grad ≥3-Nebenwirkungen in nur 1,5 % der Patienten.</w:t>
      </w:r>
    </w:p>
    <w:p>
      <w:r>
        <w:rPr>
          <w:b/>
          <w:sz w:val="19"/>
        </w:rPr>
        <w:t xml:space="preserve">Übertragbarkeit: </w:t>
      </w:r>
      <w:r>
        <w:rPr>
          <w:sz w:val="19"/>
        </w:rPr>
        <w:t>Europäische und internationale Studien, vergleichbare Versorgungsstandards</w:t>
      </w:r>
    </w:p>
    <w:p>
      <w:r>
        <w:rPr>
          <w:color w:val="5A7D3A"/>
          <w:sz w:val="18"/>
        </w:rPr>
        <w:t>https://pubmed.ncbi.nlm.nih.gov/42764105/</w:t>
      </w:r>
    </w:p>
    <w:p>
      <w:pPr>
        <w:pStyle w:val="Heading2"/>
      </w:pPr>
      <w:r>
        <w:t>Screening für Schmerz und Depression verbessert sich, aber nicht die Symptomlinderung</w:t>
      </w:r>
    </w:p>
    <w:p>
      <w:r>
        <w:rPr>
          <w:i/>
          <w:color w:val="666666"/>
          <w:sz w:val="18"/>
        </w:rPr>
        <w:t>Huang TQ et al.  ·  JCO Oncol Pract  ·  17.09.2026  ·  PMID 42753214</w:t>
      </w:r>
    </w:p>
    <w:p>
      <w:r>
        <w:t>Analyse von Patienten-Erfahrungsdaten aus dem Oncology Care Model (USA) 2017–2022: Trend von praxis-dokumentierten Screening-Raten vs. Patient-reported Outcomes.</w:t>
      </w:r>
    </w:p>
    <w:p>
      <w:r>
        <w:rPr>
          <w:b/>
        </w:rPr>
        <w:t xml:space="preserve">Ergebnis: </w:t>
      </w:r>
      <w:r>
        <w:t>Praxis-berichtete Schmerz-Screening/-Management-Raten stiegen von 76,5 % auf 92,6 % (2017–2022); Depression von 56,6 % auf 81,7 %. Aber patient-berichtete Schmerzen nahmen leicht ab (–0,2 Prozentpunkte/Quartal; p=0,002), Hilfe bei Symptomen stieg nicht (p&gt;0,20).</w:t>
      </w:r>
    </w:p>
    <w:p>
      <w:r>
        <w:rPr>
          <w:b/>
          <w:sz w:val="19"/>
        </w:rPr>
        <w:t xml:space="preserve">Übertragbarkeit: </w:t>
      </w:r>
      <w:r>
        <w:rPr>
          <w:sz w:val="19"/>
        </w:rPr>
        <w:t>USA, Qualitätsmessung im Versicherungssystem unterscheidet sich von Deutschland</w:t>
      </w:r>
    </w:p>
    <w:p>
      <w:r>
        <w:rPr>
          <w:color w:val="5A7D3A"/>
          <w:sz w:val="18"/>
        </w:rPr>
        <w:t>https://pubmed.ncbi.nlm.nih.gov/42753214/</w:t>
      </w:r>
    </w:p>
    <w:p>
      <w:pPr>
        <w:pStyle w:val="Heading2"/>
      </w:pPr>
      <w:r>
        <w:t>MET-Biomarker-Schwellenwerte bei Osimertinib-resistentem EGFR-mutiertem Lungenkarzinom</w:t>
      </w:r>
    </w:p>
    <w:p>
      <w:r>
        <w:rPr>
          <w:i/>
          <w:color w:val="666666"/>
          <w:sz w:val="18"/>
        </w:rPr>
        <w:t>Ahn MJ et al.  ·  Clin Cancer Res  ·  17.09.2026  ·  PMID 42752799</w:t>
      </w:r>
    </w:p>
    <w:p>
      <w:r>
        <w:t>Retrospektive Analyse aus Phase-II-SAVANNAH-Studie: Bestimmung optimaler MET-Cutoffs (IHC/FISH) für Savolitinib plus Osimertinib bei vorbehandeltem NSCLC.</w:t>
      </w:r>
    </w:p>
    <w:p>
      <w:r>
        <w:rPr>
          <w:b/>
        </w:rPr>
        <w:t xml:space="preserve">Ergebnis: </w:t>
      </w:r>
      <w:r>
        <w:t>ORR 49 % (MET IHC 3+/≥90 % und/oder FISH 10+) vs. 9 % (MET-negativ); 32 % (MET IHC 3+/≥50 % oder FISH 5+). Prävalenz MET 3+/≥90 % oder FISH 10+ betrug 34 %. Optimale Cutoffs identifiziert für Phase-III-SAFFRON-Studie.</w:t>
      </w:r>
    </w:p>
    <w:p>
      <w:r>
        <w:rPr>
          <w:b/>
          <w:sz w:val="19"/>
        </w:rPr>
        <w:t xml:space="preserve">Übertragbarkeit: </w:t>
      </w:r>
      <w:r>
        <w:rPr>
          <w:sz w:val="19"/>
        </w:rPr>
        <w:t>Internationale Studie, Biomarker-Definition für Zulassungspfade weltweit</w:t>
      </w:r>
    </w:p>
    <w:p>
      <w:r>
        <w:rPr>
          <w:color w:val="5A7D3A"/>
          <w:sz w:val="18"/>
        </w:rPr>
        <w:t>https://pubmed.ncbi.nlm.nih.gov/42752799/</w:t>
      </w:r>
    </w:p>
    <w:p>
      <w:pPr>
        <w:pStyle w:val="Heading2"/>
      </w:pPr>
      <w:r>
        <w:t>Immun-Checkpoint-Inhibitoren bei Kopf-Hals-Tumoren mit niedriger PD-L1: verschlechterte Überlebensergebnisse</w:t>
      </w:r>
    </w:p>
    <w:p>
      <w:r>
        <w:rPr>
          <w:i/>
          <w:color w:val="666666"/>
          <w:sz w:val="18"/>
        </w:rPr>
        <w:t>Jin M et al.  ·  JAMA Oncol  ·  17.09.2026  ·  PMID 42752536</w:t>
      </w:r>
    </w:p>
    <w:p>
      <w:r>
        <w:t>Bayessche Metaanalyse von 7 randomisierten Studien (630 Patienten mit PD-L1 CPS &lt;1) zum Overall Survival unter ICI-Therapie vs. Standard-Chemotherapie bei Kopf-Hals-Karzinomen.</w:t>
      </w:r>
    </w:p>
    <w:p>
      <w:r>
        <w:rPr>
          <w:b/>
        </w:rPr>
        <w:t xml:space="preserve">Ergebnis: </w:t>
      </w:r>
      <w:r>
        <w:t>Posterior-Wahrscheinlichkeit für schlechteres OS unter ICI: 95,6 %. Bayesscher HR 1,42 (95% KI 0,93–2,06); frequentistischer HR 1,46 (95% KI 1,17–1,83; p&lt;0,001). Empfehlung: Vorsicht bei ICI in dieser PD-L1-negativen Subgruppe.</w:t>
      </w:r>
    </w:p>
    <w:p>
      <w:r>
        <w:rPr>
          <w:b/>
          <w:sz w:val="19"/>
        </w:rPr>
        <w:t xml:space="preserve">Übertragbarkeit: </w:t>
      </w:r>
      <w:r>
        <w:rPr>
          <w:sz w:val="19"/>
        </w:rPr>
        <w:t>USA und internationale Studien, Befund ist allgemein anwendbar</w:t>
      </w:r>
    </w:p>
    <w:p>
      <w:r>
        <w:rPr>
          <w:color w:val="5A7D3A"/>
          <w:sz w:val="18"/>
        </w:rPr>
        <w:t>https://pubmed.ncbi.nlm.nih.gov/42752536/</w:t>
      </w:r>
    </w:p>
    <w:p>
      <w:pPr>
        <w:pStyle w:val="Heading2"/>
      </w:pPr>
      <w:r>
        <w:t>Tumorreaktion γδ T-Zell-Rezeptoren aus Myelom: Machine-Learning-Identifikation und universelle Therapie</w:t>
      </w:r>
    </w:p>
    <w:p>
      <w:r>
        <w:rPr>
          <w:i/>
          <w:color w:val="666666"/>
          <w:sz w:val="18"/>
        </w:rPr>
        <w:t>St Paul M et al.  ·  Nature  ·  16.09.2026  ·  PMID 42749802</w:t>
      </w:r>
    </w:p>
    <w:p>
      <w:r>
        <w:t>Grundlagenarbeit: PreGame-Algorithmus zur Identifikation tumorreaktiver γδ TCRs aus Single-Cell-Daten. Validierung in Patienten mit Multiplem Myelom; Expansion tumorreaktiver γδ T-Zellen als früher Biomarker für Therapieansprechen.</w:t>
      </w:r>
    </w:p>
    <w:p>
      <w:r>
        <w:rPr>
          <w:b/>
        </w:rPr>
        <w:t xml:space="preserve">Ergebnis: </w:t>
      </w:r>
      <w:r>
        <w:t>PreGame identifiziert tumorreaktion γδ T-Zellen zuverlässig. Expansion während Belantamab-Mafodotin-Therapie korrelierte mit Ansprechen. γδ TCR-Epitop in HLA-C gefunden; Potenzial für universelle γδ-TCR-Therapeutika.</w:t>
      </w:r>
    </w:p>
    <w:p>
      <w:r>
        <w:rPr>
          <w:b/>
          <w:sz w:val="19"/>
        </w:rPr>
        <w:t xml:space="preserve">Übertragbarkeit: </w:t>
      </w:r>
      <w:r>
        <w:rPr>
          <w:sz w:val="19"/>
        </w:rPr>
        <w:t>Kanada und international, Grundlagenergebnis mit Therapie-Translationspfad</w:t>
      </w:r>
    </w:p>
    <w:p>
      <w:r>
        <w:rPr>
          <w:color w:val="5A7D3A"/>
          <w:sz w:val="18"/>
        </w:rPr>
        <w:t>https://pubmed.ncbi.nlm.nih.gov/42749802/</w:t>
      </w:r>
    </w:p>
    <w:p>
      <w:pPr>
        <w:pStyle w:val="Heading2"/>
      </w:pPr>
      <w:r>
        <w:t>Sozioökonomische Disparitäten bei Sarkomdiagnose und Zentrumsanbindung</w:t>
      </w:r>
    </w:p>
    <w:p>
      <w:r>
        <w:rPr>
          <w:i/>
          <w:color w:val="666666"/>
          <w:sz w:val="18"/>
        </w:rPr>
        <w:t>Mascaró-Baselga P et al.  ·  Oncologist  ·  09.09.2026  ·  PMID 42704687</w:t>
      </w:r>
    </w:p>
    <w:p>
      <w:r>
        <w:t>Querschnittsstudie an 415 Sarkom-Patienten (365 Spanien, 50 Portugal) zu Einflussfaktoren auf Diagnostik, Überweisung und Patientengruppen-Awareness.</w:t>
      </w:r>
    </w:p>
    <w:p>
      <w:r>
        <w:rPr>
          <w:b/>
        </w:rPr>
        <w:t xml:space="preserve">Ergebnis: </w:t>
      </w:r>
      <w:r>
        <w:t>Niedrigeres Einkommen (OR 2,38) war mit längeren Diagnostik-Verzögerungen assoziiert; ländliches Wohnen (OR 3,48) mit weniger Überweisungen zu Spezialistzentren. Sarkoma-Spezifische Advocacy-Group-Awareness lag bei 20 % und war höher mit Universitätsabschluss (OR 4,27). Auch in universellen Gesundheitssystemen bestehen Ungleichheiten beim Zugang.</w:t>
      </w:r>
    </w:p>
    <w:p>
      <w:r>
        <w:rPr>
          <w:b/>
          <w:sz w:val="19"/>
        </w:rPr>
        <w:t xml:space="preserve">Übertragbarkeit: </w:t>
      </w:r>
      <w:r>
        <w:rPr>
          <w:sz w:val="19"/>
        </w:rPr>
        <w:t>Spanien und Portugal, europäische Versicherungssysteme, universale Gesundheitsversorgung</w:t>
      </w:r>
    </w:p>
    <w:p>
      <w:r>
        <w:rPr>
          <w:color w:val="5A7D3A"/>
          <w:sz w:val="18"/>
        </w:rPr>
        <w:t>https://pubmed.ncbi.nlm.nih.gov/42704687/</w:t>
      </w:r>
    </w:p>
    <w:p>
      <w:pPr>
        <w:pStyle w:val="Heading1"/>
      </w:pPr>
      <w:r>
        <w:t>Aufgenommen am 20.09.2026</w:t>
      </w:r>
    </w:p>
    <w:p>
      <w:pPr>
        <w:pStyle w:val="Heading2"/>
      </w:pPr>
      <w:r>
        <w:t>Omit-CTV in begrenzt-stadialem Kleinzellkarzinom: Gleiche Wirkung, weniger Toxizität</w:t>
      </w:r>
    </w:p>
    <w:p>
      <w:r>
        <w:rPr>
          <w:i/>
          <w:color w:val="666666"/>
          <w:sz w:val="18"/>
        </w:rPr>
        <w:t>Wang X et al.  ·  Radiother Oncol  ·  19.09.2026  ·  PMID 42763051</w:t>
      </w:r>
    </w:p>
    <w:p>
      <w:r>
        <w:t>Retrospektive Real-World-Studie an 946 Patienten mit begrenzt-stadialem Kleinzellkarzinom der Lunge zum Vergleich von Bestrahlungstechnik mit und ohne klinisches Zielvolumen.</w:t>
      </w:r>
    </w:p>
    <w:p>
      <w:r>
        <w:rPr>
          <w:b/>
        </w:rPr>
        <w:t xml:space="preserve">Ergebnis: </w:t>
      </w:r>
      <w:r>
        <w:t>Mediales PFS 11,8 vs. 11,6 Monate (HR 0,93; p=0,500), mediales OS 35,8 vs. 30,7 Monate (HR 0,85; p=0,220). Omit-CTV zeigte niedrigere Pneumonitis-Raten (Grad ≥3: 3,4 % vs. 8,3 %) und Ösophagitis (Grad ≥3: 5,7 % vs. 9,1 %). Bei Immuntherapie-Patienten: nicht erreichte PFS vs. 15,2 Monate (HR 0,48; p=0,033), nicht erreichte OS vs. 26,9 Monate (HR 0,31; p=0,018).</w:t>
      </w:r>
    </w:p>
    <w:p>
      <w:r>
        <w:rPr>
          <w:b/>
          <w:sz w:val="19"/>
        </w:rPr>
        <w:t xml:space="preserve">Übertragbarkeit: </w:t>
      </w:r>
      <w:r>
        <w:rPr>
          <w:sz w:val="19"/>
        </w:rPr>
        <w:t>China, nationale Klinikdaten; technische Replizierbarkeit international, aber Validierung erforderlich</w:t>
      </w:r>
    </w:p>
    <w:p>
      <w:r>
        <w:rPr>
          <w:color w:val="5A7D3A"/>
          <w:sz w:val="18"/>
        </w:rPr>
        <w:t>https://pubmed.ncbi.nlm.nih.gov/42763051/</w:t>
      </w:r>
    </w:p>
    <w:p>
      <w:pPr>
        <w:pStyle w:val="Heading2"/>
      </w:pPr>
      <w:r>
        <w:t>Dosisunterversorgung bei Protonentherapie: Kein Einfluss auf Ansprechen bei Ösophaguskarzinom</w:t>
      </w:r>
    </w:p>
    <w:p>
      <w:r>
        <w:rPr>
          <w:i/>
          <w:color w:val="666666"/>
          <w:sz w:val="18"/>
        </w:rPr>
        <w:t>van Keeken K et al.  ·  Radiother Oncol  ·  19.09.2026  ·  PMID 42763050</w:t>
      </w:r>
    </w:p>
    <w:p>
      <w:r>
        <w:t>Retrospektive niederländische Analyse von 135 Patienten mit distalem Ösophaguskarzinom unter neoadjuvanter Chemoradiotherapie und intensitätsmodulierter Protonentherapie zur Beziehung zwischen akkumulierter Targetdosis und Tumor-Response.</w:t>
      </w:r>
    </w:p>
    <w:p>
      <w:r>
        <w:rPr>
          <w:b/>
        </w:rPr>
        <w:t xml:space="preserve">Ergebnis: </w:t>
      </w:r>
      <w:r>
        <w:t>Dosisunterversorgung des Internal-Target-Volume (ITV D98 % &lt;94 %) trat bei 21 % auf, Gross-Tumor-Volume-Unterversorgung in 0 %. Persistierende klinische komplette Remission/pathologische komplette Remission: 30 % mit vs. 28 % ohne ITV-Unterversorgung (p=0,90). 2-Jahres-OS identisch (64 %). Zwerchfellbewegung &gt;2 cm war nicht mit Unterversorgung assoziiert.</w:t>
      </w:r>
    </w:p>
    <w:p>
      <w:r>
        <w:rPr>
          <w:b/>
          <w:sz w:val="19"/>
        </w:rPr>
        <w:t xml:space="preserve">Übertragbarkeit: </w:t>
      </w:r>
      <w:r>
        <w:rPr>
          <w:sz w:val="19"/>
        </w:rPr>
        <w:t>Niederländische Klinik, vergleichbares Versicherungssystem; Technische Parameter übertragbar</w:t>
      </w:r>
    </w:p>
    <w:p>
      <w:r>
        <w:rPr>
          <w:color w:val="5A7D3A"/>
          <w:sz w:val="18"/>
        </w:rPr>
        <w:t>https://pubmed.ncbi.nlm.nih.gov/42763050/</w:t>
      </w:r>
    </w:p>
    <w:p>
      <w:pPr>
        <w:pStyle w:val="Heading2"/>
      </w:pPr>
      <w:r>
        <w:t>MammaPrint im MINDACT: 70-Gen-Signatur bestätigt Prognosekraft bei hochrisiko-Brustkrebspatientinnen</w:t>
      </w:r>
    </w:p>
    <w:p>
      <w:r>
        <w:rPr>
          <w:i/>
          <w:color w:val="666666"/>
          <w:sz w:val="18"/>
        </w:rPr>
        <w:t>Gielen RCAM et al.  ·  Eur J Cancer  ·  11.09.2026  ·  PMID 42762561</w:t>
      </w:r>
    </w:p>
    <w:p>
      <w:r>
        <w:t>Exploratorische Subgruppen-Analyse des MINDACT-Trials zu prognostischer Performance des 70-Gen-Signatures in Patientinnen über 50 Jahren mit HR+/HER2- Brustkrebs und klinisch hohem, genomisch niedrigem Risiko, die auf Chemotherapie verzichteten.</w:t>
      </w:r>
    </w:p>
    <w:p>
      <w:r>
        <w:rPr>
          <w:b/>
        </w:rPr>
        <w:t xml:space="preserve">Ergebnis: </w:t>
      </w:r>
      <w:r>
        <w:t>Bei 490 Patientinnen mit Tumoren &gt;2 cm: 8-Jahres-DMFS 87,9 % ohne Chemotherapie (95%-KI 82,9–91,6 %), absoluter Benefit durch Chemotherapie 1,2 %. Bei Grad-3-Tumoren (n=232): DMFS 91,3 % ohne Chemotherapie, Benefit -2,2 %. Bei Lymphknoten-Befall (n=406): DMFS 89,6 %, Benefit 0,7 %. Der Signatur behält prognostische Validität in diesen Hochrisiko-Subgruppen.</w:t>
      </w:r>
    </w:p>
    <w:p>
      <w:r>
        <w:rPr>
          <w:b/>
          <w:sz w:val="19"/>
        </w:rPr>
        <w:t xml:space="preserve">Übertragbarkeit: </w:t>
      </w:r>
      <w:r>
        <w:rPr>
          <w:sz w:val="19"/>
        </w:rPr>
        <w:t>Europäischer Multizenterstudie (EORTC); GnP-Assessment, Leitlinien-relevant</w:t>
      </w:r>
    </w:p>
    <w:p>
      <w:r>
        <w:rPr>
          <w:color w:val="5A7D3A"/>
          <w:sz w:val="18"/>
        </w:rPr>
        <w:t>https://pubmed.ncbi.nlm.nih.gov/42762561/</w:t>
      </w:r>
    </w:p>
    <w:p>
      <w:pPr>
        <w:pStyle w:val="Heading2"/>
      </w:pPr>
      <w:r>
        <w:t>Zugang zu Phase-I-Studien: Barrieren und Chancen bei 26.000 Patienten</w:t>
      </w:r>
    </w:p>
    <w:p>
      <w:r>
        <w:rPr>
          <w:i/>
          <w:color w:val="666666"/>
          <w:sz w:val="18"/>
        </w:rPr>
        <w:t>Roulleaux Dugage M et al.  ·  Eur J Cancer  ·  17.09.2026  ·  PMID 42762559</w:t>
      </w:r>
    </w:p>
    <w:p>
      <w:r>
        <w:t>Französisches Einzelzentrum-Register (Gustave Roussy 2007–2023) zur Untersuchung von Überweisungs- und Einschluss-Mustern in Early-Phase-Trials sowie Dauer bis Therapie-Beginn und Behandlungs-Dauer.</w:t>
      </w:r>
    </w:p>
    <w:p>
      <w:r>
        <w:rPr>
          <w:b/>
        </w:rPr>
        <w:t xml:space="preserve">Ergebnis: </w:t>
      </w:r>
      <w:r>
        <w:t>Von 26.394 überweisenen Patienten wurden 13.713 (52 %) evaluiert, 5.847 (22 %) gaben Einwilligung ab, 4.769 (18 %) erhielten mindestens eine Dosis. Mediane Zeit von Uberweisung zu Trial-Inkl: variabel nach Tumortyp. Zugangsdisparitäten: Nicht-kleinzelliges Lungenkarzinom war häufigste Überweisung (n=5.025, 19 %), aber Brust-, Kolorektal- und Pankreaskarzinom hatten niedrige Behandlungsquoten trotz hoher Überweisungen. Therapeutische Landschaft: Anstieg von Antikörper-Wirkstoff-Konjugaten und T-Zell-Engagern, Rückgang konventioneller monoklonaler Antikörper.</w:t>
      </w:r>
    </w:p>
    <w:p>
      <w:r>
        <w:rPr>
          <w:b/>
          <w:sz w:val="19"/>
        </w:rPr>
        <w:t xml:space="preserve">Übertragbarkeit: </w:t>
      </w:r>
      <w:r>
        <w:rPr>
          <w:sz w:val="19"/>
        </w:rPr>
        <w:t>Frankreich, spezialisiertes Zentrum; begrenzte Übertragbarkeit auf Flächenversorgung, methodisch hochwertig</w:t>
      </w:r>
    </w:p>
    <w:p>
      <w:r>
        <w:rPr>
          <w:color w:val="5A7D3A"/>
          <w:sz w:val="18"/>
        </w:rPr>
        <w:t>https://pubmed.ncbi.nlm.nih.gov/42762559/</w:t>
      </w:r>
    </w:p>
    <w:p>
      <w:pPr>
        <w:pStyle w:val="Heading2"/>
      </w:pPr>
      <w:r>
        <w:t>Europäisches Netzwerk für Krebsversorgung bei Jugendlichen und jungen Erwachsenen</w:t>
      </w:r>
    </w:p>
    <w:p>
      <w:r>
        <w:rPr>
          <w:i/>
          <w:color w:val="666666"/>
          <w:sz w:val="18"/>
        </w:rPr>
        <w:t>Ferrari A et al.  ·  ESMO Open  ·  18.09.2026  ·  PMID 42759381</w:t>
      </w:r>
    </w:p>
    <w:p>
      <w:r>
        <w:t>Policy-Paper eines europäischen Expertise-Netzwerks zu Versorgung von Adoleszenten und jungen Erwachsenen (Alter 15–39 Jahre) mit Krebserkrankungen mit Fokus auf nationale Kooperation und strukturelle Maßnahmen.</w:t>
      </w:r>
    </w:p>
    <w:p>
      <w:r>
        <w:rPr>
          <w:b/>
        </w:rPr>
        <w:t xml:space="preserve">Ergebnis: </w:t>
      </w:r>
      <w:r>
        <w:t>Netzwerk empfiehlt: (1) Etablierung länderspezifischer AYA-Zentren, (2) Kooperation zwischen pädiatrischen und Erwachsenen-Onkologie-Diensten, (3) strukturierte Psychosozial-Unterstützung, (4) harmonisierte Datenerfassung für vergleichende Analyse. Hauptmerkmale: Unterschiedliche nationale Zugangsbarrieren und Versorgungsstrukturen in Europas Ländern erfordern lokale Anpassung bei gemeinsamen Standards.</w:t>
      </w:r>
    </w:p>
    <w:p>
      <w:r>
        <w:rPr>
          <w:b/>
          <w:sz w:val="19"/>
        </w:rPr>
        <w:t xml:space="preserve">Übertragbarkeit: </w:t>
      </w:r>
      <w:r>
        <w:rPr>
          <w:sz w:val="19"/>
        </w:rPr>
        <w:t>Europäischer Kontext, 14 Länder; Übertragbar auf deutsches System mit entsprechender Anpassung</w:t>
      </w:r>
    </w:p>
    <w:p>
      <w:r>
        <w:rPr>
          <w:color w:val="5A7D3A"/>
          <w:sz w:val="18"/>
        </w:rPr>
        <w:t>https://pubmed.ncbi.nlm.nih.gov/42759381/</w:t>
      </w:r>
    </w:p>
    <w:p>
      <w:pPr>
        <w:pStyle w:val="Heading2"/>
      </w:pPr>
      <w:r>
        <w:t>Internationale Konsens-Kriterien für T-Zell-Großgranulär-Lymphom-Diagnose und Therapie</w:t>
      </w:r>
    </w:p>
    <w:p>
      <w:r>
        <w:rPr>
          <w:i/>
          <w:color w:val="666666"/>
          <w:sz w:val="18"/>
        </w:rPr>
        <w:t>Brammer JE et al.  ·  Blood  ·  21.08.2026  ·  PMID 42640859</w:t>
      </w:r>
    </w:p>
    <w:p>
      <w:r>
        <w:t>Internationale Konsensus-Arbeit (LGLL Consortium) zur Etablierung einheitlicher Diagnose-, Behandlungs- und Response-Kriterien für die seltene T-Zell-Großgranulär-Leukämie zur Standardisierung klinischer und Forschungspraxis.</w:t>
      </w:r>
    </w:p>
    <w:p>
      <w:r>
        <w:rPr>
          <w:b/>
        </w:rPr>
        <w:t xml:space="preserve">Ergebnis: </w:t>
      </w:r>
      <w:r>
        <w:t>Konsens auf folgende Punkte: (1) Harmonisierte diagnostische Laborkriterien (Flow-Cytometrie, TCR-Molekularanalyse), (2) standardisierte Behandlungsinitiat-Indikatoren (Symptomatik, Organfunktion), (3) einheitliche Response-Assessment-Parameter (Hämatologie, funktionelle Marker). Empfehlungen zur Differenzialdiagnose autoimmunärer Phänomene. Kriterien adressieren zentrale Heterogenität bisheriger Studien, um zukünftige Trials und Klinik zu vereinheitlichen.</w:t>
      </w:r>
    </w:p>
    <w:p>
      <w:r>
        <w:rPr>
          <w:b/>
          <w:sz w:val="19"/>
        </w:rPr>
        <w:t xml:space="preserve">Übertragbarkeit: </w:t>
      </w:r>
      <w:r>
        <w:rPr>
          <w:sz w:val="19"/>
        </w:rPr>
        <w:t>International mit europäischen Zentren; Standards sind system-unabhängig, direkt übertragbar</w:t>
      </w:r>
    </w:p>
    <w:p>
      <w:r>
        <w:rPr>
          <w:color w:val="5A7D3A"/>
          <w:sz w:val="18"/>
        </w:rPr>
        <w:t>https://pubmed.ncbi.nlm.nih.gov/42640859/</w:t>
      </w:r>
    </w:p>
    <w:p>
      <w:pPr>
        <w:pStyle w:val="Heading1"/>
      </w:pPr>
      <w:r>
        <w:t>Aufgenommen am 19.09.2026</w:t>
      </w:r>
    </w:p>
    <w:p>
      <w:pPr>
        <w:pStyle w:val="Heading2"/>
      </w:pPr>
      <w:r>
        <w:t>Präzisions-Prävention und Früherkennung: Framework für neue Krebskontroll-Pfade</w:t>
      </w:r>
    </w:p>
    <w:p>
      <w:r>
        <w:rPr>
          <w:i/>
          <w:color w:val="666666"/>
          <w:sz w:val="18"/>
        </w:rPr>
        <w:t>Rebbeck TR  ·  Lancet  ·  18.09.2026  ·  PMID 42759527</w:t>
      </w:r>
    </w:p>
    <w:p>
      <w:r>
        <w:t>Editoriales Essay zu Precision Prevention and Early Detection (PPED) – ein Rahmenwerk, das fragt: Wer hat erhöhtes Krebsrisiko, welche Intervention wann, wie de-eskalieren in Niedrig-Risiko-Gruppen?</w:t>
      </w:r>
    </w:p>
    <w:p>
      <w:r>
        <w:rPr>
          <w:b/>
        </w:rPr>
        <w:t xml:space="preserve">Ergebnis: </w:t>
      </w:r>
      <w:r>
        <w:t>Nur 13% der Krebsfälle werden durch Screening entdeckt; 20–50% präsentieren sich notfallmäßig. PPED-Logik funktioniert bei erblichen Syndromen mit ausreichend angereichertem Risiko. Schlüssel: Gesundheitssystem-Infrastruktur und Arbeitskräfte für longitudinales Präventions-Planning; de-Eskalation in Niedrig-Risiko-Personen genauso wichtig wie Intensivierung in Hoch-Risiko. Größte Herausforderung der nächsten Dekade.</w:t>
      </w:r>
    </w:p>
    <w:p>
      <w:r>
        <w:rPr>
          <w:b/>
          <w:sz w:val="19"/>
        </w:rPr>
        <w:t xml:space="preserve">Übertragbarkeit: </w:t>
      </w:r>
      <w:r>
        <w:rPr>
          <w:sz w:val="19"/>
        </w:rPr>
        <w:t>Weltweit anwendbare Prinzipien; deutsche Früherkennung und Zentrenstruktur ermöglichen Umsetzung.</w:t>
      </w:r>
    </w:p>
    <w:p>
      <w:r>
        <w:rPr>
          <w:color w:val="5A7D3A"/>
          <w:sz w:val="18"/>
        </w:rPr>
        <w:t>https://pubmed.ncbi.nlm.nih.gov/42759527/</w:t>
      </w:r>
    </w:p>
    <w:p>
      <w:pPr>
        <w:pStyle w:val="Heading2"/>
      </w:pPr>
      <w:r>
        <w:t>Symptom-Belastung in Krebspatienten korreliert mit geringerer Therapie- und höherer Supportiv-Kostennutzung</w:t>
      </w:r>
    </w:p>
    <w:p>
      <w:r>
        <w:rPr>
          <w:i/>
          <w:color w:val="666666"/>
          <w:sz w:val="18"/>
        </w:rPr>
        <w:t>Hirpara DH et al.  ·  J Clin Oncol  ·  18.09.2026  ·  PMID 42758960</w:t>
      </w:r>
    </w:p>
    <w:p>
      <w:r>
        <w:t>Populationsbasierte Kohortenstudie aus Ontario, Kanada: 285.924 Krebspatienten mit 1.728.025 ESAS-Assessments (Edmonton Symptom Assessment) zur Assoziation zwischen Patient-Reported Outcomes und Gesundheitskosten.</w:t>
      </w:r>
    </w:p>
    <w:p>
      <w:r>
        <w:rPr>
          <w:b/>
        </w:rPr>
        <w:t xml:space="preserve">Ergebnis: </w:t>
      </w:r>
      <w:r>
        <w:t>Höchste Symptom-Belastung (Müdigkeit, Depression, Wohlbefinden) bei Atem-, HNO-Tumoren. Jede 10-Punkte-Zunahme ESAS-Score: 9,4% weniger Krebs-Therapiekosten (sinkende Therapie-Nutzung), aber 18% mehr Supportiv-Care-Kosten (mehr ED-Besuche, Hauscare). GI/Mamma/ZNS teuerste Entitäten (85–78k CAD/30 Tage). Aktives Symptom-Management könnte Krebs-Therapien fördern und unnötige Supportiv-Kosten senken.</w:t>
      </w:r>
    </w:p>
    <w:p>
      <w:r>
        <w:rPr>
          <w:b/>
          <w:sz w:val="19"/>
        </w:rPr>
        <w:t xml:space="preserve">Übertragbarkeit: </w:t>
      </w:r>
      <w:r>
        <w:rPr>
          <w:sz w:val="19"/>
        </w:rPr>
        <w:t>Kanada, ähnliches Versicherungssystem wie Deutschland; Symptom-Management-Evidenz direkt relevant.</w:t>
      </w:r>
    </w:p>
    <w:p>
      <w:r>
        <w:rPr>
          <w:color w:val="5A7D3A"/>
          <w:sz w:val="18"/>
        </w:rPr>
        <w:t>https://pubmed.ncbi.nlm.nih.gov/42758960/</w:t>
      </w:r>
    </w:p>
    <w:p>
      <w:pPr>
        <w:pStyle w:val="Heading2"/>
      </w:pPr>
      <w:r>
        <w:t>Tyrosinkinasehemmer verbessert Gesamtüberleben bei BCR::ABL1+ AML deutlich</w:t>
      </w:r>
    </w:p>
    <w:p>
      <w:r>
        <w:rPr>
          <w:i/>
          <w:color w:val="666666"/>
          <w:sz w:val="18"/>
        </w:rPr>
        <w:t>Bertoli S et al.  ·  Blood  ·  18.09.2026  ·  PMID 42758645</w:t>
      </w:r>
    </w:p>
    <w:p>
      <w:r>
        <w:t>Multizentrische europäische Studie: 212 Patienten mit de novo BCR::ABL1+ AML wurden retrospektiv analysiert – intensiveChemotherapie (IC) allein oder kombiniert mit Tyrosinkinasehemmer (TKI).</w:t>
      </w:r>
    </w:p>
    <w:p>
      <w:r>
        <w:rPr>
          <w:b/>
        </w:rPr>
        <w:t xml:space="preserve">Ergebnis: </w:t>
      </w:r>
      <w:r>
        <w:t>Mit IC+TKI erreichten 110/123 Patienten (89%) komplette Remission/CRi vs. 52/77 (68%) mit IC allein (p&lt;0,0001). 5-Jahres-Gesamtüberleben: 62,9% (IC+TKI) vs. 38,5% (IC; p&lt;0,0001). Im multivariaten Modell: Odds Ratio für CR/CRi 4,74 (95%-KI 2,17–10,35), Hazard Ratio für Überleben 0,40 (0,27–0,62; p&lt;0,001). TKI-Zusatz ist unabhängiger prognostischer Faktor.</w:t>
      </w:r>
    </w:p>
    <w:p>
      <w:r>
        <w:rPr>
          <w:b/>
          <w:sz w:val="19"/>
        </w:rPr>
        <w:t xml:space="preserve">Übertragbarkeit: </w:t>
      </w:r>
      <w:r>
        <w:rPr>
          <w:sz w:val="19"/>
        </w:rPr>
        <w:t>Französisch-deutsches Konsortium, europäische Versicherungssysteme, direkt übertragbar auf deutsche Kliniken.</w:t>
      </w:r>
    </w:p>
    <w:p>
      <w:r>
        <w:rPr>
          <w:color w:val="5A7D3A"/>
          <w:sz w:val="18"/>
        </w:rPr>
        <w:t>https://pubmed.ncbi.nlm.nih.gov/42758645/</w:t>
      </w:r>
    </w:p>
    <w:p>
      <w:pPr>
        <w:pStyle w:val="Heading2"/>
      </w:pPr>
      <w:r>
        <w:t>Intraoperative Radiotherapie zeigt Lokalrezidiv-Raten vergleichbar mit postoperativen Boost</w:t>
      </w:r>
    </w:p>
    <w:p>
      <w:r>
        <w:rPr>
          <w:i/>
          <w:color w:val="666666"/>
          <w:sz w:val="18"/>
        </w:rPr>
        <w:t>Sarria GR et al.  ·  Strahlenther Onkol  ·  17.09.2026  ·  PMID 42754764</w:t>
      </w:r>
    </w:p>
    <w:p>
      <w:r>
        <w:t>Matched-Pair-Analyse von 400 Brustkrebs-Patientinnen (je 200 mit intraoperativer oder postoperativer EBRT-Boost) mit frühen Hochrisikotumoreneach Brustkrebserhaltender Chirurgie.</w:t>
      </w:r>
    </w:p>
    <w:p>
      <w:r>
        <w:rPr>
          <w:b/>
        </w:rPr>
        <w:t xml:space="preserve">Ergebnis: </w:t>
      </w:r>
      <w:r>
        <w:t>Nach medianer 58-Monate-Nachsorge: Kumulative lokale Rezidiv-Inzidenz 3,5% (IORT) vs. 2,0% (EBRT); HR 1,80 (95%-KI 0,58–5,58; p=0,312, nicht signifikant). Keine Unterschiede bei Lymphknoten-, Fernmetastasen-freiem Überleben oder Gesamtüberleben (alle p&gt;0,6). IORT ist wirksame, gut verträgliche Alternative ohne Kompromisse im Langzeit-Onkologie.</w:t>
      </w:r>
    </w:p>
    <w:p>
      <w:r>
        <w:rPr>
          <w:b/>
          <w:sz w:val="19"/>
        </w:rPr>
        <w:t xml:space="preserve">Übertragbarkeit: </w:t>
      </w:r>
      <w:r>
        <w:rPr>
          <w:sz w:val="19"/>
        </w:rPr>
        <w:t>Deutsche und europäische Zentren, Versicherungssystem unabhängig, direkt übertragbar.</w:t>
      </w:r>
    </w:p>
    <w:p>
      <w:r>
        <w:rPr>
          <w:color w:val="5A7D3A"/>
          <w:sz w:val="18"/>
        </w:rPr>
        <w:t>https://pubmed.ncbi.nlm.nih.gov/42754764/</w:t>
      </w:r>
    </w:p>
    <w:p>
      <w:pPr>
        <w:pStyle w:val="Heading2"/>
      </w:pPr>
      <w:r>
        <w:t>Seltene EGFR-T790M-Keimbahn-Mutation mit Lungenkrebsrisiko in Southern Appalachia identifiziert</w:t>
      </w:r>
    </w:p>
    <w:p>
      <w:r>
        <w:rPr>
          <w:i/>
          <w:color w:val="666666"/>
          <w:sz w:val="18"/>
        </w:rPr>
        <w:t>LoPiccolo J et al.  ·  Science  ·  17.09.2026  ·  PMID 42752144</w:t>
      </w:r>
    </w:p>
    <w:p>
      <w:r>
        <w:t>Große bevölkerungsgenetische Studie (&gt;3,3 Mio. Personen) zur Assoziation der EGFR-T790M-Variante mit Lungenkrebsrisiko.</w:t>
      </w:r>
    </w:p>
    <w:p>
      <w:r>
        <w:rPr>
          <w:b/>
        </w:rPr>
        <w:t xml:space="preserve">Ergebnis: </w:t>
      </w:r>
      <w:r>
        <w:t>EGFR-T790M signifikant mit Lungenkrebsrisiko assoziiert, aber nicht mit 17 anderen Tumoren; Risiko übersteigt Raucher-Risiko, mehrfach höher in Never-Smokern. Geografisch/ancestral: höhere Prävalenz in USA (Southern-Appalachian-Founder-Event 200–225 Jahre ago, Herkunft britisch/irisch). Prävalenz regional deutlich erhöht, betrifft britische, irische und afrikanische Abstammung. Erkannte Hochrisiko-Träger ermöglichen gezielte genetische Tests und Screening-Strategien.</w:t>
      </w:r>
    </w:p>
    <w:p>
      <w:r>
        <w:rPr>
          <w:b/>
          <w:sz w:val="19"/>
        </w:rPr>
        <w:t xml:space="preserve">Übertragbarkeit: </w:t>
      </w:r>
      <w:r>
        <w:rPr>
          <w:sz w:val="19"/>
        </w:rPr>
        <w:t>Transatlantische Studie, Angloamerika-Fokus; für Deutschland gering: regionale Appalachian-Founder-Effekt USA-spezifisch.</w:t>
      </w:r>
    </w:p>
    <w:p>
      <w:r>
        <w:rPr>
          <w:color w:val="5A7D3A"/>
          <w:sz w:val="18"/>
        </w:rPr>
        <w:t>https://pubmed.ncbi.nlm.nih.gov/42752144/</w:t>
      </w:r>
    </w:p>
    <w:p>
      <w:pPr>
        <w:pStyle w:val="Heading2"/>
      </w:pPr>
      <w:r>
        <w:t>Elacestrant zeigt anhaltende Vorteile bei ESR1-mutiertem HR+/HER2– mBC</w:t>
      </w:r>
    </w:p>
    <w:p>
      <w:r>
        <w:rPr>
          <w:i/>
          <w:color w:val="666666"/>
          <w:sz w:val="18"/>
        </w:rPr>
        <w:t>Curigliano G et al.  ·  ESMO Open  ·  14.09.2026  ·  PMID 42735454</w:t>
      </w:r>
    </w:p>
    <w:p>
      <w:r>
        <w:t>Real-World-Analyse von 281 Patientinnen mit HR+/HER2-negativ ESR1-mutiertem metastasiertem Brustkrebs nach ≥1 Linie endokriner Therapie plus CDK4/6-Hemmer.</w:t>
      </w:r>
    </w:p>
    <w:p>
      <w:r>
        <w:rPr>
          <w:b/>
        </w:rPr>
        <w:t xml:space="preserve">Ergebnis: </w:t>
      </w:r>
      <w:r>
        <w:t>Medianer Zeitpunkt bis nächste Therapie: 8,2 Monate (95%-KI 6,0–12,2) in Gruppe mit 1–2 Linien ET+CDK4/6i (n=108); 9,0 Monate bei ≥12-monatiger Vortherapie (n=85; 95%-KI 7,7–13,7). Mit nur 1 Vorlinientherapie: 12,2 Monate (95%-KI 9,0-nicht erreicht; n=31). Leber-/Lungenmets: 6,9 Monate; Gehirnmets: 7,4 Monate. Koexistente ESR1+PI3K-Mutation: 6,1 Monate. Durable Vorteile unterstützen Elacestrant als Erst-Option für endokrin-sensitive HR+ ESR1-mutierte Tumoren.</w:t>
      </w:r>
    </w:p>
    <w:p>
      <w:r>
        <w:rPr>
          <w:b/>
          <w:sz w:val="19"/>
        </w:rPr>
        <w:t xml:space="preserve">Übertragbarkeit: </w:t>
      </w:r>
      <w:r>
        <w:rPr>
          <w:sz w:val="19"/>
        </w:rPr>
        <w:t>Europäische und kanadische Zentren, vergleichbares Versicherungssystem, breiter anwendbar.</w:t>
      </w:r>
    </w:p>
    <w:p>
      <w:r>
        <w:rPr>
          <w:color w:val="5A7D3A"/>
          <w:sz w:val="18"/>
        </w:rPr>
        <w:t>https://pubmed.ncbi.nlm.nih.gov/42735454/</w:t>
      </w:r>
    </w:p>
    <w:p>
      <w:pPr>
        <w:pStyle w:val="Heading2"/>
      </w:pPr>
      <w:r>
        <w:t>Thymusbestrahlung bei NSCLC mit höherem Metastasen- und Todesrisiko assoziiert</w:t>
      </w:r>
    </w:p>
    <w:p>
      <w:r>
        <w:rPr>
          <w:i/>
          <w:color w:val="666666"/>
          <w:sz w:val="18"/>
        </w:rPr>
        <w:t>Prudente V et al.  ·  Ann Oncol  ·  25.08.2026  ·  PMID 42641684</w:t>
      </w:r>
    </w:p>
    <w:p>
      <w:r>
        <w:t>Multikohorten-Analyse von 1.107 NSCLC-Patienten (RTOG-0617 und zwei Real-World-Kohorten) zur Auswirkung akzidenteller Thymusbestrahlung auf Outcome.</w:t>
      </w:r>
    </w:p>
    <w:p>
      <w:r>
        <w:rPr>
          <w:b/>
        </w:rPr>
        <w:t xml:space="preserve">Ergebnis: </w:t>
      </w:r>
      <w:r>
        <w:t>Mittlere Thymusdosis (MTD) von 1 Gy assoziiert mit 1,57–4,21% erhöhtem Distanzmetastasen-Risiko (RTOG: aHR 1,29, p=0,0028; Harvard-CRT: aHR 1,33, p=0,011; Harvard-Durva: aHR 1,95, p=0,007). Patienten mit erhaltenem Thymus vorher besonders gefährdet. Nach 1 Jahr: Dosis-abhängiger Thymusfunktions-Verlust und niedrigere Lymphozytenzahlen. Neuplanuung-Machbarkeitsstudie zeigte thymussparing möglich ohne Tumorüberdeckungs-Verlust.</w:t>
      </w:r>
    </w:p>
    <w:p>
      <w:r>
        <w:rPr>
          <w:b/>
          <w:sz w:val="19"/>
        </w:rPr>
        <w:t xml:space="preserve">Übertragbarkeit: </w:t>
      </w:r>
      <w:r>
        <w:rPr>
          <w:sz w:val="19"/>
        </w:rPr>
        <w:t>USA-Daten, aber biologischer Mechanismus universal; deutsche Zentren können Planung adaptieren.</w:t>
      </w:r>
    </w:p>
    <w:p>
      <w:r>
        <w:rPr>
          <w:color w:val="5A7D3A"/>
          <w:sz w:val="18"/>
        </w:rPr>
        <w:t>https://pubmed.ncbi.nlm.nih.gov/42641684/</w:t>
      </w:r>
    </w:p>
    <w:p>
      <w:pPr>
        <w:pStyle w:val="Heading1"/>
      </w:pPr>
      <w:r>
        <w:t>Aufgenommen am 18.09.2026</w:t>
      </w:r>
    </w:p>
    <w:p>
      <w:pPr>
        <w:pStyle w:val="Heading2"/>
      </w:pPr>
      <w:r>
        <w:t>Perfluorheptansäure (PFHpA) erhöht Leberkrebsrisiko: Fallkontrollstudie</w:t>
      </w:r>
    </w:p>
    <w:p>
      <w:r>
        <w:rPr>
          <w:i/>
          <w:color w:val="666666"/>
          <w:sz w:val="18"/>
        </w:rPr>
        <w:t>Watling CZ et al.  ·  J Natl Cancer Inst  ·  17.09.2026  ·  PMID 42752878</w:t>
      </w:r>
    </w:p>
    <w:p>
      <w:r>
        <w:t>Verschachtelte Fall-Kontroll-Studie in 12 prospektiven US-Kohorten (853 Fälle, 853 Kontrollen) zur Assoziation von Per- und Polyfluoralkylverbindungen (PFAS) ausser PFOS, PFOA, PFHxS mit Leberkrebs (Prävention).</w:t>
      </w:r>
    </w:p>
    <w:p>
      <w:r>
        <w:rPr>
          <w:b/>
        </w:rPr>
        <w:t xml:space="preserve">Ergebnis: </w:t>
      </w:r>
      <w:r>
        <w:t>Perfluorheptansäure (PFHpA) positiv mit Leberkrebsrisiko assoziiert: Odds Ratio 1,78 (95%-KI 1,26-2,52). Stärkere Assoziation bei Männern (OR 3,72), HCC (4,53), ≤10 Jahre nach Blutentnahme (3,17). Andere PFAS ohne Assoziation.</w:t>
      </w:r>
    </w:p>
    <w:p>
      <w:r>
        <w:rPr>
          <w:b/>
          <w:sz w:val="19"/>
        </w:rPr>
        <w:t xml:space="preserve">Übertragbarkeit: </w:t>
      </w:r>
      <w:r>
        <w:rPr>
          <w:sz w:val="19"/>
        </w:rPr>
        <w:t>USA-Bevölkerungsdaten; Kurzkettige-PFAS persistieren auch in Europrodukten.</w:t>
      </w:r>
    </w:p>
    <w:p>
      <w:r>
        <w:rPr>
          <w:color w:val="5A7D3A"/>
          <w:sz w:val="18"/>
        </w:rPr>
        <w:t>https://pubmed.ncbi.nlm.nih.gov/42752878/</w:t>
      </w:r>
    </w:p>
    <w:p>
      <w:pPr>
        <w:pStyle w:val="Heading2"/>
      </w:pPr>
      <w:r>
        <w:t>Zolbetuximab versus Immune Checkpoint Inhibitoren bei claudin-18.2-positivem Magenkrebs</w:t>
      </w:r>
    </w:p>
    <w:p>
      <w:r>
        <w:rPr>
          <w:i/>
          <w:color w:val="666666"/>
          <w:sz w:val="18"/>
        </w:rPr>
        <w:t>Shitara K et al.  ·  ESMO Open  ·  16.09.2026  ·  PMID 42748508</w:t>
      </w:r>
    </w:p>
    <w:p>
      <w:r>
        <w:t>Netzwerk-Metaanalyse vergleicht Zolbetuximab plus Chemotherapie mit ICI-basierter Therapie nach PD-L1-CPS-Subgruppen bei fortgeschrittenem Magen-/gastro-ösophagealem Adenokarzinom in ersten Therapielinie.</w:t>
      </w:r>
    </w:p>
    <w:p>
      <w:r>
        <w:rPr>
          <w:b/>
        </w:rPr>
        <w:t xml:space="preserve">Ergebnis: </w:t>
      </w:r>
      <w:r>
        <w:t>Bei PD-L1 CPS ≥1 bis &lt;10 ähnliche oder numerisch günstigere Effekte für Zolbetuximab auf Overall Survival und Progression-Free Survival versus ICIs. Bei CPS ≥10 numerisch vorteilhaft für ICIs, aber mit optimalisierter Zolbetuximab-Exposition vergleichbar.</w:t>
      </w:r>
    </w:p>
    <w:p>
      <w:r>
        <w:rPr>
          <w:b/>
          <w:sz w:val="19"/>
        </w:rPr>
        <w:t xml:space="preserve">Übertragbarkeit: </w:t>
      </w:r>
      <w:r>
        <w:rPr>
          <w:sz w:val="19"/>
        </w:rPr>
        <w:t>Indirekte Vergleiche; biomarker-informierter Ansatz unterstützt, Bestätigung durch prospektive Studien erforderlich.</w:t>
      </w:r>
    </w:p>
    <w:p>
      <w:r>
        <w:rPr>
          <w:color w:val="5A7D3A"/>
          <w:sz w:val="18"/>
        </w:rPr>
        <w:t>https://pubmed.ncbi.nlm.nih.gov/42748508/</w:t>
      </w:r>
    </w:p>
    <w:p>
      <w:pPr>
        <w:pStyle w:val="Heading2"/>
      </w:pPr>
      <w:r>
        <w:t>Achtsamkeit und Tai Chi verbessern Schlaf, Fatigue und Schmerz nach Krebsbehandlung</w:t>
      </w:r>
    </w:p>
    <w:p>
      <w:r>
        <w:rPr>
          <w:i/>
          <w:color w:val="666666"/>
          <w:sz w:val="18"/>
        </w:rPr>
        <w:t>Ma Y et al.  ·  J Clin Oncol  ·  16.09.2026  ·  PMID 42748380</w:t>
      </w:r>
    </w:p>
    <w:p>
      <w:r>
        <w:t>Teilweise randomisierte Patient-Choice-Studie (Mindfulness and Tai Chi for Cancer Health, MATCH) mit 587 Krebsüberlebenden (Durchschnittsalter 60,7 Jahre) zur Wirkung von Achtsamkeitsbasierter Krebsgenesungsgruppe (MBCR) oder Tai Chi/Qigong (TCQ) versus Warteliste auf Schlaf, Fatigue und Schmerz.</w:t>
      </w:r>
    </w:p>
    <w:p>
      <w:r>
        <w:rPr>
          <w:b/>
        </w:rPr>
        <w:t xml:space="preserve">Ergebnis: </w:t>
      </w:r>
      <w:r>
        <w:t>TCQ vs Warteliste: Schlafqualität 1,9 Punkte Verbesserung (p=0,004). MBCR und TCQ vs Warteliste: Fatigue jeweils 3,66 und 3,42 Punkte besser (MBCR p=0,036, TCQ p=0,043). Schmerzbeeinträchtigung &gt;1 Punkt Verbesserung (MBCR p=0,029, TCQ p=0,002). MBCR und TCQ unterschieden sich nicht.</w:t>
      </w:r>
    </w:p>
    <w:p>
      <w:r>
        <w:rPr>
          <w:b/>
          <w:sz w:val="19"/>
        </w:rPr>
        <w:t xml:space="preserve">Übertragbarkeit: </w:t>
      </w:r>
      <w:r>
        <w:rPr>
          <w:sz w:val="19"/>
        </w:rPr>
        <w:t>Kanadisch-amerikanische Studie; psychosoziale Nachsorge übertragbar auf deutsche Zentren.</w:t>
      </w:r>
    </w:p>
    <w:p>
      <w:r>
        <w:rPr>
          <w:color w:val="5A7D3A"/>
          <w:sz w:val="18"/>
        </w:rPr>
        <w:t>https://pubmed.ncbi.nlm.nih.gov/42748380/</w:t>
      </w:r>
    </w:p>
    <w:p>
      <w:pPr>
        <w:pStyle w:val="Heading2"/>
      </w:pPr>
      <w:r>
        <w:t>Wachsendes Krebsaufkommen in Afrika 2023: Kinder, Jugendliche, junge Erwachsene stark betroffen</w:t>
      </w:r>
    </w:p>
    <w:p>
      <w:r>
        <w:rPr>
          <w:i/>
          <w:color w:val="666666"/>
          <w:sz w:val="18"/>
        </w:rPr>
        <w:t>GBD 2023 Africa Cancer Risk Factors Collaborators  ·  Lancet Oncol  ·  15.09.2026  ·  PMID 42743938</w:t>
      </w:r>
    </w:p>
    <w:p>
      <w:r>
        <w:t>Global Burden of Disease Study 2023 zu Krebsinzidenz, -mortalität und Behinderungsbereinigten Lebensjahren (DALYs) in 54 afrikanischen Ländern, 1990-2023; Analyse von 48 Krebsentitäten und 88 Risikofaktoren.</w:t>
      </w:r>
    </w:p>
    <w:p>
      <w:r>
        <w:rPr>
          <w:b/>
        </w:rPr>
        <w:t xml:space="preserve">Ergebnis: </w:t>
      </w:r>
      <w:r>
        <w:t>2023: 1,54 Mio. neue Fälle (95%-UI 1,37-1,75), 923 000 Todesfälle (824 000-1 020 000), 33,9 Mio. DALYs in Afrika. Kinder 0-19 Jahre: 104 000 Fälle (27,7% global), 38,0% globaler Todesfälle. 31,6% DALYs attributiv modifiable Risikofaktoren.</w:t>
      </w:r>
    </w:p>
    <w:p>
      <w:r>
        <w:rPr>
          <w:b/>
          <w:sz w:val="19"/>
        </w:rPr>
        <w:t xml:space="preserve">Übertragbarkeit: </w:t>
      </w:r>
      <w:r>
        <w:rPr>
          <w:sz w:val="19"/>
        </w:rPr>
        <w:t>Bevölkerungsdaten aus 54 Ländern, primär für Gesundheitspolitik und Ressourcenplanung in Afrika relevant.</w:t>
      </w:r>
    </w:p>
    <w:p>
      <w:r>
        <w:rPr>
          <w:color w:val="5A7D3A"/>
          <w:sz w:val="18"/>
        </w:rPr>
        <w:t>https://pubmed.ncbi.nlm.nih.gov/42743938/</w:t>
      </w:r>
    </w:p>
    <w:p>
      <w:pPr>
        <w:pStyle w:val="Heading2"/>
      </w:pPr>
      <w:r>
        <w:t>Perioperatives Durvalumab plus FLOT verlängert Gesamtüberleben bei resektablem Magenkrebs</w:t>
      </w:r>
    </w:p>
    <w:p>
      <w:r>
        <w:rPr>
          <w:i/>
          <w:color w:val="666666"/>
          <w:sz w:val="18"/>
        </w:rPr>
        <w:t>Janjigian YY et al.  ·  Lancet  ·  19.09.2026  ·  PMID 42716074</w:t>
      </w:r>
    </w:p>
    <w:p>
      <w:r>
        <w:t>Randomisierte Phase-3-Studie zur Wirkung von Durvalumab (Immune Checkpoint Inhibitor) plus perioperativer Chemotherapie (FLOT) versus Placebo plus FLOT bei 948 Patienten mit resektablem Magenkarzinom (Stadium II-IVa).</w:t>
      </w:r>
    </w:p>
    <w:p>
      <w:r>
        <w:rPr>
          <w:b/>
        </w:rPr>
        <w:t xml:space="preserve">Ergebnis: </w:t>
      </w:r>
      <w:r>
        <w:t>Gesamtüberleben (Overall Survival) signifikant verbessert mit Durvalumab: Hazard Ratio 0,78 (95%-KI 0,63-0,96; p=0,021). Die Therapie ist neue Standardoption für resektables Magen- und gastro-ösophageales Adenokarzinom.</w:t>
      </w:r>
    </w:p>
    <w:p>
      <w:r>
        <w:rPr>
          <w:b/>
          <w:sz w:val="19"/>
        </w:rPr>
        <w:t xml:space="preserve">Übertragbarkeit: </w:t>
      </w:r>
      <w:r>
        <w:rPr>
          <w:sz w:val="19"/>
        </w:rPr>
        <w:t>Globale Studie in 147 Zentren, vergleichbare Studiendesign wie in deutschem System relevant.</w:t>
      </w:r>
    </w:p>
    <w:p>
      <w:r>
        <w:rPr>
          <w:color w:val="5A7D3A"/>
          <w:sz w:val="18"/>
        </w:rPr>
        <w:t>https://pubmed.ncbi.nlm.nih.gov/42716074/</w:t>
      </w:r>
    </w:p>
    <w:p>
      <w:pPr>
        <w:pStyle w:val="Heading2"/>
      </w:pPr>
      <w:r>
        <w:t>Zehnjahresüberleben nach Brustkrebs nach Stadium, molekularem Subtyp und Grad kombiniert</w:t>
      </w:r>
    </w:p>
    <w:p>
      <w:r>
        <w:rPr>
          <w:i/>
          <w:color w:val="666666"/>
          <w:sz w:val="18"/>
        </w:rPr>
        <w:t>Giudici F et al.  ·  Oncologist  ·  09.09.2026  ·  PMID 42640557</w:t>
      </w:r>
    </w:p>
    <w:p>
      <w:r>
        <w:t>Populationsbasierte Kohortenstudie aus der Friuli-Venezia-Giulia-Krebsregisters (Nordostitalien) mit 10 467 Frauen &lt;75 Jahre, diagnostiziert 2004-2014; Verfolgung bis 2023.</w:t>
      </w:r>
    </w:p>
    <w:p>
      <w:r>
        <w:rPr>
          <w:b/>
        </w:rPr>
        <w:t xml:space="preserve">Ergebnis: </w:t>
      </w:r>
      <w:r>
        <w:t>Höchstes Gesamtüberleben (10-Jahres-Nettoüberleben) bei Stadium I HR+/HER2-: 98,8%. Tiefste bei Stadium III Triple-Negativ: 35,1%. Stadium IV Triple-Negativ: 6,7% vs HR-/HER2+: 18,9%. Vergleich 2004-2009 vs 2010-2014: Verbesserung bei Stadium III HR-/HER2+ von 48,6% auf 87,9% (+39 Prozentpunkte), Stadium III Triple-Negativ 28,8% auf 42,3%.</w:t>
      </w:r>
    </w:p>
    <w:p>
      <w:r>
        <w:rPr>
          <w:b/>
          <w:sz w:val="19"/>
        </w:rPr>
        <w:t xml:space="preserve">Übertragbarkeit: </w:t>
      </w:r>
      <w:r>
        <w:rPr>
          <w:sz w:val="19"/>
        </w:rPr>
        <w:t>Italienisches (europäisches) Krebsregister, vergleichbar mit deutschem System und Dokumentation.</w:t>
      </w:r>
    </w:p>
    <w:p>
      <w:r>
        <w:rPr>
          <w:color w:val="5A7D3A"/>
          <w:sz w:val="18"/>
        </w:rPr>
        <w:t>https://pubmed.ncbi.nlm.nih.gov/42640557/</w:t>
      </w:r>
    </w:p>
    <w:p>
      <w:pPr>
        <w:pStyle w:val="Heading1"/>
      </w:pPr>
      <w:r>
        <w:t>Aufgenommen am 17.09.2026</w:t>
      </w:r>
    </w:p>
    <w:p>
      <w:pPr>
        <w:pStyle w:val="Heading2"/>
      </w:pPr>
      <w:r>
        <w:t>eHealth-Intervention (CUMACA-M) stabilisiert Lebensqualität von Brustkrebsüberlebenden über 9 Monate</w:t>
      </w:r>
    </w:p>
    <w:p>
      <w:r>
        <w:rPr>
          <w:i/>
          <w:color w:val="666666"/>
          <w:sz w:val="18"/>
        </w:rPr>
        <w:t>J Natl Cancer Inst  ·  2026  ·  PMID djag328</w:t>
      </w:r>
    </w:p>
    <w:p>
      <w:r>
        <w:t>Spanische randomisierte Kontrollstudie mit 201 krankheitsfreien Brustkrebsüberlebenden (≥5 Jahre nach Diagnose), 9-Monate-eHealth-Intervention vs. Standardcare.</w:t>
      </w:r>
    </w:p>
    <w:p>
      <w:r>
        <w:rPr>
          <w:b/>
        </w:rPr>
        <w:t xml:space="preserve">Ergebnis: </w:t>
      </w:r>
      <w:r>
        <w:t>Gesamtlebensqualität stabil in Interventionsgruppe (5,70→5,69), Rückgang in Kontrolle (5,83→5,57, Δ=-0,26), Differenz 0,24 Punkte (95% CI 0,03-0,44), p=0,024. Psychisches Wohlbefinden Cohen d=0,40, physisches d=0,28.</w:t>
      </w:r>
    </w:p>
    <w:p>
      <w:r>
        <w:rPr>
          <w:b/>
          <w:sz w:val="19"/>
        </w:rPr>
        <w:t xml:space="preserve">Übertragbarkeit: </w:t>
      </w:r>
      <w:r>
        <w:rPr>
          <w:sz w:val="19"/>
        </w:rPr>
        <w:t>Europäisches System (Spanien/öffentliche Versicherung), digitale Nachsorgeintervention für Flächeimplementierung geeignet.</w:t>
      </w:r>
    </w:p>
    <w:p>
      <w:r>
        <w:rPr>
          <w:color w:val="5A7D3A"/>
          <w:sz w:val="18"/>
        </w:rPr>
        <w:t>https://pubmed.ncbi.nlm.nih.gov/djag328/</w:t>
      </w:r>
    </w:p>
    <w:p>
      <w:pPr>
        <w:pStyle w:val="Heading2"/>
      </w:pPr>
      <w:r>
        <w:t>HRS-4642+Adebrelimab bei KRAS-G12D-Pankreas-Ca: 43% Ansprechrate ohne Chemotherapie</w:t>
      </w:r>
    </w:p>
    <w:p>
      <w:r>
        <w:rPr>
          <w:i/>
          <w:color w:val="666666"/>
          <w:sz w:val="18"/>
        </w:rPr>
        <w:t>Shi S et al.  ·  Cancer Cell  ·  16.09.2026  ·  PMID 42748921</w:t>
      </w:r>
    </w:p>
    <w:p>
      <w:r>
        <w:t>Phase-1/2-Studie mit 48 Patienten (davon 37 in der RP2D-Kohorte) mit metastasiertem KRAS-G12D-mutiertem Pankreaskarzinom, chemofrei mit KRAS-inhibitor+PD-L1-Blocker behandelt.</w:t>
      </w:r>
    </w:p>
    <w:p>
      <w:r>
        <w:rPr>
          <w:b/>
        </w:rPr>
        <w:t xml:space="preserve">Ergebnis: </w:t>
      </w:r>
      <w:r>
        <w:t>Bestätigte ORR 43,2% (95% CI 27,1-60,5), Krankheitskontrollrate 81,1%, mediane Progressionsfreihheit 5,7 Monate, medianes Gesamtüberleben 11,5 Monate. Häufigste Nebenwirkungen: Hypercholesterinämie und Anämie je 50%.</w:t>
      </w:r>
    </w:p>
    <w:p>
      <w:r>
        <w:rPr>
          <w:b/>
          <w:sz w:val="19"/>
        </w:rPr>
        <w:t xml:space="preserve">Übertragbarkeit: </w:t>
      </w:r>
      <w:r>
        <w:rPr>
          <w:sz w:val="19"/>
        </w:rPr>
        <w:t>China-Studie, KRAS-Inhibitor nicht europäisch zugelassen, Sicherheitsdaten übertragbar.</w:t>
      </w:r>
    </w:p>
    <w:p>
      <w:r>
        <w:rPr>
          <w:color w:val="5A7D3A"/>
          <w:sz w:val="18"/>
        </w:rPr>
        <w:t>https://pubmed.ncbi.nlm.nih.gov/42748921/</w:t>
      </w:r>
    </w:p>
    <w:p>
      <w:pPr>
        <w:pStyle w:val="Heading2"/>
      </w:pPr>
      <w:r>
        <w:t>Triplet-Chemotherapie bei fortgeschrittenem Pankreas-Ca: 63% Ansprechrate, 60% Konversion</w:t>
      </w:r>
    </w:p>
    <w:p>
      <w:r>
        <w:rPr>
          <w:i/>
          <w:color w:val="666666"/>
          <w:sz w:val="18"/>
        </w:rPr>
        <w:t>Nagatani Y et al.  ·  Eur J Cancer  ·  10.09.2026  ·  PMID 42748587</w:t>
      </w:r>
    </w:p>
    <w:p>
      <w:r>
        <w:t>Japanische Phase-II-Multicenterstudie mit 30 Patienten, gesamte Chemotherapie (Gemcitabin, nab-Paclitaxel) mit oralem S-1 kombiniert.</w:t>
      </w:r>
    </w:p>
    <w:p>
      <w:r>
        <w:rPr>
          <w:b/>
        </w:rPr>
        <w:t xml:space="preserve">Ergebnis: </w:t>
      </w:r>
      <w:r>
        <w:t>ORR 63,3% (primärer Endpunkt erreicht), Krankheitskontrollrate 86,7%, medianes progressionsfreies Überleben 9,0 Monate, medianes Gesamtüberleben 15,0 Monate. 60% der lokalfortgeschrittenen Patienten zur Resektabilität konvertiert.</w:t>
      </w:r>
    </w:p>
    <w:p>
      <w:r>
        <w:rPr>
          <w:b/>
          <w:sz w:val="19"/>
        </w:rPr>
        <w:t xml:space="preserve">Übertragbarkeit: </w:t>
      </w:r>
      <w:r>
        <w:rPr>
          <w:sz w:val="19"/>
        </w:rPr>
        <w:t>Japanische Daten, S-1 in Deutschland verfügbar, Triplet potenziell praxisrelevant.</w:t>
      </w:r>
    </w:p>
    <w:p>
      <w:r>
        <w:rPr>
          <w:color w:val="5A7D3A"/>
          <w:sz w:val="18"/>
        </w:rPr>
        <w:t>https://pubmed.ncbi.nlm.nih.gov/42748587/</w:t>
      </w:r>
    </w:p>
    <w:p>
      <w:pPr>
        <w:pStyle w:val="Heading2"/>
      </w:pPr>
      <w:r>
        <w:t>Pembrolizumab bei Magenkarzinom: Überlebensvorteil 12,9 vs. 11,5 Monate bestätigt</w:t>
      </w:r>
    </w:p>
    <w:p>
      <w:r>
        <w:rPr>
          <w:i/>
          <w:color w:val="666666"/>
          <w:sz w:val="18"/>
        </w:rPr>
        <w:t>Rha SY et al.  ·  ESMO Open  ·  16.09.2026  ·  PMID 42748509</w:t>
      </w:r>
    </w:p>
    <w:p>
      <w:r>
        <w:t>Randomisierte Phase-III-Studie (KEYNOTE-859) mit 1.579 Patienten mit HER2-negativem lokal fortgeschrittenem/metastasiertem Magen-GÖJ-Adenokarzinom; 4,5-Jahre-Follow-up.</w:t>
      </w:r>
    </w:p>
    <w:p>
      <w:r>
        <w:rPr>
          <w:b/>
        </w:rPr>
        <w:t xml:space="preserve">Ergebnis: </w:t>
      </w:r>
      <w:r>
        <w:t>Median Overall Survival 12,9 Monate (Pembrolizumab+Chemotherapie) vs. 11,5 Monate (Placebo+Chemotherapie), Hazard Ratio 0,78 (95% CI 0,70-0,86). Grade-3/4-Nebenwirkungen 58,3% vs. 49,3%.</w:t>
      </w:r>
    </w:p>
    <w:p>
      <w:r>
        <w:rPr>
          <w:b/>
          <w:sz w:val="19"/>
        </w:rPr>
        <w:t xml:space="preserve">Übertragbarkeit: </w:t>
      </w:r>
      <w:r>
        <w:rPr>
          <w:sz w:val="19"/>
        </w:rPr>
        <w:t>Globale Studie, europäische und asiatische Zentren, vergleichbare Versorgung.</w:t>
      </w:r>
    </w:p>
    <w:p>
      <w:r>
        <w:rPr>
          <w:color w:val="5A7D3A"/>
          <w:sz w:val="18"/>
        </w:rPr>
        <w:t>https://pubmed.ncbi.nlm.nih.gov/42748509/</w:t>
      </w:r>
    </w:p>
    <w:p>
      <w:pPr>
        <w:pStyle w:val="Heading2"/>
      </w:pPr>
      <w:r>
        <w:t>Blinatumomab ersetzt Chemotherapie in hochrisiko-ALL: 83% ereignisfreies Überleben</w:t>
      </w:r>
    </w:p>
    <w:p>
      <w:r>
        <w:rPr>
          <w:i/>
          <w:color w:val="666666"/>
          <w:sz w:val="18"/>
        </w:rPr>
        <w:t>Schrappe M et al.  ·  N Engl J Med  ·  17.09.2026  ·  PMID 42748428</w:t>
      </w:r>
    </w:p>
    <w:p>
      <w:r>
        <w:t>Randomisierte europäisch-internationale Studie bei 358 Kindern mit neu diagnostizierter B-ALL, die statt zwei Chemotherapie-Zyklen zwei Blinatumomab-Zyklen erhielten.</w:t>
      </w:r>
    </w:p>
    <w:p>
      <w:r>
        <w:rPr>
          <w:b/>
        </w:rPr>
        <w:t xml:space="preserve">Ergebnis: </w:t>
      </w:r>
      <w:r>
        <w:t>4-Jahres-Ereignisfreiheit 83,0% (Blinatumomab) vs. 70,3% (Kontrolle), Hazard Ratio 0,51, p=0,0002. Behandlungsbedingte Infektionen: 23,9% vs. 69,4%, lebensbedrohliche Ereignisse 0,5% vs. 4,7%.</w:t>
      </w:r>
    </w:p>
    <w:p>
      <w:r>
        <w:rPr>
          <w:b/>
          <w:sz w:val="19"/>
        </w:rPr>
        <w:t xml:space="preserve">Übertragbarkeit: </w:t>
      </w:r>
      <w:r>
        <w:rPr>
          <w:sz w:val="19"/>
        </w:rPr>
        <w:t>Deutsches/österreichisches Zentrumsprotokoll (BFM-ALL 2017), direkte Übertragung möglich.</w:t>
      </w:r>
    </w:p>
    <w:p>
      <w:r>
        <w:rPr>
          <w:color w:val="5A7D3A"/>
          <w:sz w:val="18"/>
        </w:rPr>
        <w:t>https://pubmed.ncbi.nlm.nih.gov/42748428/</w:t>
      </w:r>
    </w:p>
    <w:p>
      <w:pPr>
        <w:pStyle w:val="Heading2"/>
      </w:pPr>
      <w:r>
        <w:t>Fünfjährliche statt dreijährliche Koloskopie nach Adenomektomie: Nichtunterlegenheit bestätigt</w:t>
      </w:r>
    </w:p>
    <w:p>
      <w:r>
        <w:rPr>
          <w:i/>
          <w:color w:val="666666"/>
          <w:sz w:val="18"/>
        </w:rPr>
        <w:t>Jover R et al.  ·  N Engl J Med  ·  17.09.2026  ·  PMID 42748427</w:t>
      </w:r>
    </w:p>
    <w:p>
      <w:r>
        <w:t>Europäische Nichtunterlegenheitsstudie mit 10.799 Patienten nach Hochrisiko-Adenomektomie, randomisiert zu erste Surveillance nach 5 vs. 3 Jahren.</w:t>
      </w:r>
    </w:p>
    <w:p>
      <w:r>
        <w:rPr>
          <w:b/>
        </w:rPr>
        <w:t xml:space="preserve">Ergebnis: </w:t>
      </w:r>
      <w:r>
        <w:t>5-Jahres-Darmkrebsinzidenz 0,77% (5-jährig) vs. 0,82% (3-jährig), Nichtunterlegenheitsgrenze erreicht. Krebstodesfälle: 0,06% vs. 0,04%.</w:t>
      </w:r>
    </w:p>
    <w:p>
      <w:r>
        <w:rPr>
          <w:b/>
          <w:sz w:val="19"/>
        </w:rPr>
        <w:t xml:space="preserve">Übertragbarkeit: </w:t>
      </w:r>
      <w:r>
        <w:rPr>
          <w:sz w:val="19"/>
        </w:rPr>
        <w:t>Europäisches Studiendesign (Spanien, Norwegen, Polen, Dänemark), Nachsorgeleitlinien unmittelbar anwendbar.</w:t>
      </w:r>
    </w:p>
    <w:p>
      <w:r>
        <w:rPr>
          <w:color w:val="5A7D3A"/>
          <w:sz w:val="18"/>
        </w:rPr>
        <w:t>https://pubmed.ncbi.nlm.nih.gov/42748427/</w:t>
      </w:r>
    </w:p>
    <w:p>
      <w:pPr>
        <w:pStyle w:val="Heading1"/>
      </w:pPr>
      <w:r>
        <w:t>Aufgenommen am 16.09.2026</w:t>
      </w:r>
    </w:p>
    <w:p>
      <w:pPr>
        <w:pStyle w:val="Heading2"/>
      </w:pPr>
      <w:r>
        <w:t>Waldbrand-Feinstaub verstärkt Sterblichkeit von Lungenkrebspatienten um 78 % pro μg/m³</w:t>
      </w:r>
    </w:p>
    <w:p>
      <w:r>
        <w:rPr>
          <w:i/>
          <w:color w:val="666666"/>
          <w:sz w:val="18"/>
        </w:rPr>
        <w:t>Zhang M et al.  ·  Lancet Oncol  ·  15.09.2026  ·  PMID 42743939</w:t>
      </w:r>
    </w:p>
    <w:p>
      <w:r>
        <w:t>Retrospektive Kohortenstudie mit 414.016 älteren Lungenkrebspatienten aus SEER-Medicare (2006–2019) untersuchte die Auswirkung langfristiger Exposition gegenüber Waldbrand-assoziiertem PM2,5 vs. Nicht-Waldbrand-PM2,5 auf Overall Survival.</w:t>
      </w:r>
    </w:p>
    <w:p>
      <w:r>
        <w:rPr>
          <w:b/>
        </w:rPr>
        <w:t xml:space="preserve">Ergebnis: </w:t>
      </w:r>
      <w:r>
        <w:t>Jeder 1-μg/m³-Anstieg Waldbrand-PM2,5 war mit HR 1,0782 (95%-KI 1,0641–1,0924; p&lt;0,0001) für erhöhte Mortalität assoziiert, nicht-Waldbrand-PM2,5 mit HR 1,0171. Insgesamt 696 (95%-KI 576–814) durchschnittliche jährliche überschüssige Todesfälle waren der Waldbrand-Exposition zuzuordnen – pro Einheit toxischer als reguläre Luftverschmutzung.</w:t>
      </w:r>
    </w:p>
    <w:p>
      <w:r>
        <w:rPr>
          <w:b/>
          <w:sz w:val="19"/>
        </w:rPr>
        <w:t xml:space="preserve">Übertragbarkeit: </w:t>
      </w:r>
      <w:r>
        <w:rPr>
          <w:sz w:val="19"/>
        </w:rPr>
        <w:t>USA/SEER-Daten: Nur Sicherheitsbefund übertragbar, Feinstaub-Exposition in Deutschland gering</w:t>
      </w:r>
    </w:p>
    <w:p>
      <w:r>
        <w:rPr>
          <w:color w:val="5A7D3A"/>
          <w:sz w:val="18"/>
        </w:rPr>
        <w:t>https://pubmed.ncbi.nlm.nih.gov/42743939/</w:t>
      </w:r>
    </w:p>
    <w:p>
      <w:pPr>
        <w:pStyle w:val="Heading2"/>
      </w:pPr>
      <w:r>
        <w:t>Nach Neoadjuvant-Therapie mit Triplet: Adjuvante Chemotherapie hilft nur bei ypN+/CRT, nicht bei TNT</w:t>
      </w:r>
    </w:p>
    <w:p>
      <w:r>
        <w:rPr>
          <w:i/>
          <w:color w:val="666666"/>
          <w:sz w:val="18"/>
        </w:rPr>
        <w:t>Denost Q et al.  ·  Eur J Cancer  ·  11.09.2026  ·  PMID 42743888</w:t>
      </w:r>
    </w:p>
    <w:p>
      <w:r>
        <w:t>Post-hoc-Analyse von zwei französischen randomisierten Multizenterstudie (GRECCAR4, PRODIGE23) mit 489 Patienten mit lokal fortgeschrittenem Rektumkarzinom, die den Nutzen adjuvanter Chemotherapie (AC) nach TNT mit FOLFIRINOX vs. CRT bewertete.</w:t>
      </w:r>
    </w:p>
    <w:p>
      <w:r>
        <w:rPr>
          <w:b/>
        </w:rPr>
        <w:t xml:space="preserve">Ergebnis: </w:t>
      </w:r>
      <w:r>
        <w:t>Nach Neoadjuvant-TNT zeigte AC keinen Vorteil in 3-Jahre-DFS für ypN+ (TNT-Arm; p=0,33) oder ypN0/cN+ (p=0,45). Nach CRT profitierten nur ypN+-Patienten: 3-Jahre-DFS verbessert nach AC (TNT: keine; CRT: signifikant; p&lt;0,001), 3-Jahre-OS und -DMFS ebenfalls nur nach CRT signifikant. Diese Daten unterstützen Therapie-Deeskalation in der TNT-Ära.</w:t>
      </w:r>
    </w:p>
    <w:p>
      <w:r>
        <w:rPr>
          <w:b/>
          <w:sz w:val="19"/>
        </w:rPr>
        <w:t xml:space="preserve">Übertragbarkeit: </w:t>
      </w:r>
      <w:r>
        <w:rPr>
          <w:sz w:val="19"/>
        </w:rPr>
        <w:t>Deutschland/Frankreich: Europäische High-Volume-Zentren, deutsches Versicherungssystem vergleichbar</w:t>
      </w:r>
    </w:p>
    <w:p>
      <w:r>
        <w:rPr>
          <w:color w:val="5A7D3A"/>
          <w:sz w:val="18"/>
        </w:rPr>
        <w:t>https://pubmed.ncbi.nlm.nih.gov/42743888/</w:t>
      </w:r>
    </w:p>
    <w:p>
      <w:pPr>
        <w:pStyle w:val="Heading2"/>
      </w:pPr>
      <w:r>
        <w:t>Zirkufierende bakterielle DNA prognostiziert Therapieerfolg bei fortgeschrittenem Bauchspeicheldrüsenkrebs</w:t>
      </w:r>
    </w:p>
    <w:p>
      <w:r>
        <w:rPr>
          <w:i/>
          <w:color w:val="666666"/>
          <w:sz w:val="18"/>
        </w:rPr>
        <w:t>Surendran SA et al.  ·  Eur J Cancer  ·  10.09.2026  ·  PMID 42743886</w:t>
      </w:r>
    </w:p>
    <w:p>
      <w:r>
        <w:t>Studie von 13 + 47 Patienten mit fortgeschrittenem Pankreaskarzinom untersuchte, ob Veränderungen der zirkulierenden freien bakteriellen DNA (cfbDNA) im Serum unter Chemotherapie (FFX oder GnP) den Behandlungserfolg vorhersagen.</w:t>
      </w:r>
    </w:p>
    <w:p>
      <w:r>
        <w:rPr>
          <w:b/>
        </w:rPr>
        <w:t xml:space="preserve">Ergebnis: </w:t>
      </w:r>
      <w:r>
        <w:t>Patienten mit Abfall der cfbDNA unter FFX erreichten 14,3 vs. 2,9 Monate PFS (p&lt;0,001) und 23,2 vs. 8,4 Monate OS (p=0,006). Ein konstanter oder erhöhter cfbDNA-Wert war mit schlechterem OS assoziiert (HR 11,75; 95%-KI 1,87–73,85; p=0,009). Diese Marker-dynamik war aber regimen-abhängig: Bei GnP zeigte der cfbDNA-Rückgang gegenteilige Effekte.</w:t>
      </w:r>
    </w:p>
    <w:p>
      <w:r>
        <w:rPr>
          <w:b/>
          <w:sz w:val="19"/>
        </w:rPr>
        <w:t xml:space="preserve">Übertragbarkeit: </w:t>
      </w:r>
      <w:r>
        <w:rPr>
          <w:sz w:val="19"/>
        </w:rPr>
        <w:t>Deutschland/Österreich: Europäische Krankenhauskohorten mit vergleichbarer Dokumentation</w:t>
      </w:r>
    </w:p>
    <w:p>
      <w:r>
        <w:rPr>
          <w:color w:val="5A7D3A"/>
          <w:sz w:val="18"/>
        </w:rPr>
        <w:t>https://pubmed.ncbi.nlm.nih.gov/42743886/</w:t>
      </w:r>
    </w:p>
    <w:p>
      <w:pPr>
        <w:pStyle w:val="Heading2"/>
      </w:pPr>
      <w:r>
        <w:t>Triplet-Chemotherapie plus Panitumumab in RAS wild-typ mKRK erhält Lebensqualität</w:t>
      </w:r>
    </w:p>
    <w:p>
      <w:r>
        <w:rPr>
          <w:i/>
          <w:color w:val="666666"/>
          <w:sz w:val="18"/>
        </w:rPr>
        <w:t>Klingler TM et al.  ·  Eur J Cancer  ·  11.09.2026  ·  PMID 42743885</w:t>
      </w:r>
    </w:p>
    <w:p>
      <w:r>
        <w:t>Sekundäranalyse der deutschen Phase-II-Studie VOLFI (AIO-KRK 0109) mit 105 randomisierten Patienten, die den Effekt von mFOLFOXIRI + Panitumumab vs. FOLFOXIRI auf Lebensqualität (EORTC QLQ-C30) untersuchte.</w:t>
      </w:r>
    </w:p>
    <w:p>
      <w:r>
        <w:rPr>
          <w:b/>
        </w:rPr>
        <w:t xml:space="preserve">Ergebnis: </w:t>
      </w:r>
      <w:r>
        <w:t>77 Patienten (51 vs. 26) führten ≥1 Lebensqualitäts-Fragebogen aus. Nach 12 Wochen keine statistisch signifikanten Unterschiede in Gesamt-HRQoL oder spezifischen Dimensionen. Patienten mit mFOLFOXIRI + Panitumumab mit Hautotoxizität zeigten trotz Toxizität keine assoziierte Lebensqualitätsverschlechterung. mFOLFOXIRI + Panitumumab war nicht mit schlechterer HRQoL assoziiert.</w:t>
      </w:r>
    </w:p>
    <w:p>
      <w:r>
        <w:rPr>
          <w:b/>
          <w:sz w:val="19"/>
        </w:rPr>
        <w:t xml:space="preserve">Übertragbarkeit: </w:t>
      </w:r>
      <w:r>
        <w:rPr>
          <w:sz w:val="19"/>
        </w:rPr>
        <w:t>Deutschland: Alle Zentren Charité und LMU München – direkt übertragbar</w:t>
      </w:r>
    </w:p>
    <w:p>
      <w:r>
        <w:rPr>
          <w:color w:val="5A7D3A"/>
          <w:sz w:val="18"/>
        </w:rPr>
        <w:t>https://pubmed.ncbi.nlm.nih.gov/42743885/</w:t>
      </w:r>
    </w:p>
    <w:p>
      <w:pPr>
        <w:pStyle w:val="Heading2"/>
      </w:pPr>
      <w:r>
        <w:t>Ältere Brustkrebs-Patienten haben häufiger PIK3CA-Mutationen und höhere Tumorlast</w:t>
      </w:r>
    </w:p>
    <w:p>
      <w:r>
        <w:rPr>
          <w:i/>
          <w:color w:val="666666"/>
          <w:sz w:val="18"/>
        </w:rPr>
        <w:t>Gupta H et al.  ·  ESMO Open  ·  14.09.2026  ·  PMID 42735455</w:t>
      </w:r>
    </w:p>
    <w:p>
      <w:r>
        <w:t>Studie von 2.379 Patienten mit metastasiertem Brustkrebs (853 jung, 1.311 mittleres Alter, 215 älter ≥70 Jahre) verglich Tumor-Genomlandschaft mittels Zielsequenzierung (OncoPanel) nach Altersgruppe.</w:t>
      </w:r>
    </w:p>
    <w:p>
      <w:r>
        <w:rPr>
          <w:b/>
        </w:rPr>
        <w:t xml:space="preserve">Ergebnis: </w:t>
      </w:r>
      <w:r>
        <w:t>Ältere Patienten zeigten höhere Häufigkeit von SNVs in PIK3CA (44%), TP53 (33%), CDH1 (22%). Nach Adjustierung war hohes Alter assoziiert mit mehr PIK3CA-SNVs (OR 1,21; 95%-KI 1,11–1,31; q&lt;0,001), CDH1-SNVs (OR 1,43; 95%-KI 1,21–1,68) und 26% mit ≥10 Mutationen/Mb (vs. 17% bei Jüngsten). Diese Unterschiede waren unabhängig von Tumorsubtyp.</w:t>
      </w:r>
    </w:p>
    <w:p>
      <w:r>
        <w:rPr>
          <w:b/>
          <w:sz w:val="19"/>
        </w:rPr>
        <w:t xml:space="preserve">Übertragbarkeit: </w:t>
      </w:r>
      <w:r>
        <w:rPr>
          <w:sz w:val="19"/>
        </w:rPr>
        <w:t>USA-Klinik: Vergleichbare Versicherungssysteme bei Umsetzung, genomische Testung in Deutschland ebenfalls Standard</w:t>
      </w:r>
    </w:p>
    <w:p>
      <w:r>
        <w:rPr>
          <w:color w:val="5A7D3A"/>
          <w:sz w:val="18"/>
        </w:rPr>
        <w:t>https://pubmed.ncbi.nlm.nih.gov/42735455/</w:t>
      </w:r>
    </w:p>
    <w:p>
      <w:pPr>
        <w:pStyle w:val="Heading2"/>
      </w:pPr>
      <w:r>
        <w:t>Immuntyp-Transition vorhersagt Checkpoint-Inhibitor-Anspruch besser als Ausgangszustand</w:t>
      </w:r>
    </w:p>
    <w:p>
      <w:r>
        <w:rPr>
          <w:i/>
          <w:color w:val="666666"/>
          <w:sz w:val="18"/>
        </w:rPr>
        <w:t>Lin Z et al.  ·  Cancer Cell  ·  14.09.2026  ·  PMID 42679812</w:t>
      </w:r>
    </w:p>
    <w:p>
      <w:r>
        <w:t>Longitudinale Single-Cell-RNA-Sequenzierung von 441 Proben aus 241 Patienten mit zehn Krebsentitäten untersuchte die Umgestaltung der Tumor-Immunmikroumgebung (TIME) unter Checkpoint-Inhibitor-Therapie und entwickelte eine prädiktive Signatur.</w:t>
      </w:r>
    </w:p>
    <w:p>
      <w:r>
        <w:rPr>
          <w:b/>
        </w:rPr>
        <w:t xml:space="preserve">Ergebnis: </w:t>
      </w:r>
      <w:r>
        <w:t>~40% der Tumore wechselten während Therapie zwischen TIME-Subtypen. Der Übergang (nicht der Ausgangszustand) war prognostischer: Günstige Übergänge zu entzündetem oder B-Zell-angereichertem Subtyp korrelierten mit verbessertem Ansprechen und Überleben. Eine 59-Gen-Signatur sagte Ansprechen und Überleben in 1.383 Baseline-Tumoren über 19 unabhängige Kohorten vorher (HR 2,15; KI-range über Publikationen relevant).</w:t>
      </w:r>
    </w:p>
    <w:p>
      <w:r>
        <w:rPr>
          <w:b/>
          <w:sz w:val="19"/>
        </w:rPr>
        <w:t xml:space="preserve">Übertragbarkeit: </w:t>
      </w:r>
      <w:r>
        <w:rPr>
          <w:sz w:val="19"/>
        </w:rPr>
        <w:t>International/Multi-Entity: Prinzipien auf deutsche Zentren mit Liquid Biopsy/Tumorboard anwendbar</w:t>
      </w:r>
    </w:p>
    <w:p>
      <w:r>
        <w:rPr>
          <w:color w:val="5A7D3A"/>
          <w:sz w:val="18"/>
        </w:rPr>
        <w:t>https://pubmed.ncbi.nlm.nih.gov/42679812/</w:t>
      </w:r>
    </w:p>
    <w:p>
      <w:pPr>
        <w:pStyle w:val="Heading1"/>
      </w:pPr>
      <w:r>
        <w:t>Aufgenommen am 15.09.2026</w:t>
      </w:r>
    </w:p>
    <w:p>
      <w:pPr>
        <w:pStyle w:val="Heading2"/>
      </w:pPr>
      <w:r>
        <w:t>HDR-Brachytherapie nach Strahlentherapie bei älteren Rektumkarzinom-Patienten: lokale Kontrolle bei 80 %</w:t>
      </w:r>
    </w:p>
    <w:p>
      <w:r>
        <w:rPr>
          <w:i/>
          <w:color w:val="666666"/>
          <w:sz w:val="18"/>
        </w:rPr>
        <w:t>Kristen A et al.  ·  Strahlenther Onkol  ·  14.09.2026  ·  PMID 42734824</w:t>
      </w:r>
    </w:p>
    <w:p>
      <w:r>
        <w:t>15 ältere/infirme Patienten mit Rektumkarzinom erhielten kombiniert externe Strahlentherapie (30-39 Gy/10-13 Fraktionen) und endorektale Hochdosis-Brachytherapie (12-24 Gy/2-3 Fraktionen); eine organerhaltende Methode für Operationsunfähige.</w:t>
      </w:r>
    </w:p>
    <w:p>
      <w:r>
        <w:rPr>
          <w:b/>
        </w:rPr>
        <w:t xml:space="preserve">Ergebnis: </w:t>
      </w:r>
      <w:r>
        <w:t>Nach 21 Monaten Median-Follow-up erreichten 12 von 15 Patienten (80 %) klinische komplette (n=6) oder nahezu komplette Remission (n=6); 4 Patienten (33 %) entwickelten später lokales Rezidiv, 4 (27 %) Fernmetastasen. Grad-3-Toxizität: 67 % Proktitis, 20 % schwere Rektalblutung (3 Patienten). Sicherheits- und Dosisoptimierungsfragen bleiben, besonders bei Antikoagulation.</w:t>
      </w:r>
    </w:p>
    <w:p>
      <w:r>
        <w:rPr>
          <w:b/>
          <w:sz w:val="19"/>
        </w:rPr>
        <w:t xml:space="preserve">Übertragbarkeit: </w:t>
      </w:r>
      <w:r>
        <w:rPr>
          <w:sz w:val="19"/>
        </w:rPr>
        <w:t>Deutschland, einzelzentrisch; Ansatz für zertifizierte Zentren mit Brachytherapie-Expertise geeignet</w:t>
      </w:r>
    </w:p>
    <w:p>
      <w:r>
        <w:rPr>
          <w:color w:val="5A7D3A"/>
          <w:sz w:val="18"/>
        </w:rPr>
        <w:t>https://pubmed.ncbi.nlm.nih.gov/42734824/</w:t>
      </w:r>
    </w:p>
    <w:p>
      <w:pPr>
        <w:pStyle w:val="Heading2"/>
      </w:pPr>
      <w:r>
        <w:t>Tambotatug Pelitecan (B7-H3-ADC) bei kleinzelligem Lungenkarzinom nach Platin: OS-Vorteil gegenüber Topotekan</w:t>
      </w:r>
    </w:p>
    <w:p>
      <w:r>
        <w:rPr>
          <w:i/>
          <w:color w:val="666666"/>
          <w:sz w:val="18"/>
        </w:rPr>
        <w:t>Zhao Y et al.  ·  N Engl J Med  ·  12.09.2026  ·  PMID 42734213</w:t>
      </w:r>
    </w:p>
    <w:p>
      <w:r>
        <w:t>Phase-III-TAISHAN-302, China: 451 Patienten mit rezidivierendem SCLC nach Platin-basierter Erstlinien-Therapie, randomisiert 1:1 zu Tambotatug Pelitecan (neuer B7-H3-zielgerichteter Antikörper-Wirkstoff-Konjugat) versus Topotekan; Interim-Analyse.</w:t>
      </w:r>
    </w:p>
    <w:p>
      <w:r>
        <w:rPr>
          <w:b/>
        </w:rPr>
        <w:t xml:space="preserve">Ergebnis: </w:t>
      </w:r>
      <w:r>
        <w:t>Median-OS: 13,3 Monate (Tam-Peli) vs. 9,4 Monate (Topotekan), HR 0,46 (95% KI 0,35–0,62, p&lt;0,001). Median-PFS: 7,4 vs. 2,8 Monate, HR 0,29 (p&lt;0,001). ORR: 59,1% vs. 9,7% (p&lt;0,001). Grad-≥3-AE: 55,4% vs. 77,9% (Tam-Peli günstiger). Diese Ergebnisse könnten neuen Standard für rezidiviertes SCLC begründen.</w:t>
      </w:r>
    </w:p>
    <w:p>
      <w:r>
        <w:rPr>
          <w:b/>
          <w:sz w:val="19"/>
        </w:rPr>
        <w:t xml:space="preserve">Übertragbarkeit: </w:t>
      </w:r>
      <w:r>
        <w:rPr>
          <w:sz w:val="19"/>
        </w:rPr>
        <w:t>China-Studie, globales Design; Zulassungsantrag ausstehend, deutsche Verfügbarkeit unklar – USA nur mit Vorbehalt übertragbar</w:t>
      </w:r>
    </w:p>
    <w:p>
      <w:r>
        <w:rPr>
          <w:color w:val="5A7D3A"/>
          <w:sz w:val="18"/>
        </w:rPr>
        <w:t>https://pubmed.ncbi.nlm.nih.gov/42734213/</w:t>
      </w:r>
    </w:p>
    <w:p>
      <w:pPr>
        <w:pStyle w:val="Heading2"/>
      </w:pPr>
      <w:r>
        <w:t>Tumoren unterdrücken T-Zell-Immunität durch Antioxidanzien – PRDX1 als therapeutisches Target</w:t>
      </w:r>
    </w:p>
    <w:p>
      <w:r>
        <w:rPr>
          <w:i/>
          <w:color w:val="666666"/>
          <w:sz w:val="18"/>
        </w:rPr>
        <w:t>Wesolowski AJ et al.  ·  Science  ·  03.09.2026  ·  PMID 42691162</w:t>
      </w:r>
    </w:p>
    <w:p>
      <w:r>
        <w:t>Grundlagenwerk zur Immunsuppression durch tumorales Peroxiredoxin-1 (PRDX1): Forschung zeigt, dass Tumoren Antioxidanzien in ihre Umgebung freisetzen und T-Zellen damit ihrer reaktiven Sauerstoffspezies berauben, was deren Signalübertragung blockiert.</w:t>
      </w:r>
    </w:p>
    <w:p>
      <w:r>
        <w:rPr>
          <w:b/>
        </w:rPr>
        <w:t xml:space="preserve">Ergebnis: </w:t>
      </w:r>
      <w:r>
        <w:t>PRDX1-Mangel in Tumoren verstärkte Antitumor-Immunität und verbesserte Immuntherapie-Antworten in Mausmodellen; Liquid Biopsy könnte PRDX1-Spiegel messen. Der Befund eröffnet neuen therapeutischen Ansatz: PRDX1-Inhibition könnte Immuntherapie-Resistenz überwinden.</w:t>
      </w:r>
    </w:p>
    <w:p>
      <w:r>
        <w:rPr>
          <w:b/>
          <w:sz w:val="19"/>
        </w:rPr>
        <w:t xml:space="preserve">Übertragbarkeit: </w:t>
      </w:r>
      <w:r>
        <w:rPr>
          <w:sz w:val="19"/>
        </w:rPr>
        <w:t>Präklinisch; klinischer Weg unklar, aber identifiziertes Targetprotein (PRDX1) ist actionable für Therapeutika-Entwicklung</w:t>
      </w:r>
    </w:p>
    <w:p>
      <w:r>
        <w:rPr>
          <w:color w:val="5A7D3A"/>
          <w:sz w:val="18"/>
        </w:rPr>
        <w:t>https://pubmed.ncbi.nlm.nih.gov/42691162/</w:t>
      </w:r>
    </w:p>
    <w:p>
      <w:pPr>
        <w:pStyle w:val="Heading2"/>
      </w:pPr>
      <w:r>
        <w:t>Real-World-Evidence zur Zulassung von Krebsmedikamenten: 18 Anträge mit Single-Arm-Trials und RWE, 2022–2025</w:t>
      </w:r>
    </w:p>
    <w:p>
      <w:r>
        <w:rPr>
          <w:i/>
          <w:color w:val="666666"/>
          <w:sz w:val="18"/>
        </w:rPr>
        <w:t>Su L et al.  ·  Oncologist  ·  06.08.2026  ·  PMID 42664160</w:t>
      </w:r>
    </w:p>
    <w:p>
      <w:r>
        <w:t>Analyse von 200 Onkologie-Zulassungen (FDA 134, EMA 66) 2022–2025: 18 Anträge (7 FDA, 11 EMA) kombiniert Single-Arm-Trials mit Real-World-Evidence; meist für Hämatologika (53 %), Hälfte auf elektronischen Krankenhauspflichten basiert.</w:t>
      </w:r>
    </w:p>
    <w:p>
      <w:r>
        <w:rPr>
          <w:b/>
        </w:rPr>
        <w:t xml:space="preserve">Ergebnis: </w:t>
      </w:r>
      <w:r>
        <w:t>RWE diente in 2 Fällen als "substantive evidence", ansonsten als kontextuell/supportiv. Häufige Mängel: kleine Fallzahlen, Population-Heterogenität, fehlende Kovariaten, non-kontempore Vergleiche, Post-hoc-Design. Regulatoren bestätigen methodologische Grenzen; Harmonisierung regulatorischer Guidance ist notwendig.</w:t>
      </w:r>
    </w:p>
    <w:p>
      <w:r>
        <w:rPr>
          <w:b/>
          <w:sz w:val="19"/>
        </w:rPr>
        <w:t xml:space="preserve">Übertragbarkeit: </w:t>
      </w:r>
      <w:r>
        <w:rPr>
          <w:sz w:val="19"/>
        </w:rPr>
        <w:t>USA-Zulassungssystem und EMA; Übertrag auf deutsches AMNOG-Verfahren begrenzt – AMNOG verlangt höhere RCT-Standard</w:t>
      </w:r>
    </w:p>
    <w:p>
      <w:r>
        <w:rPr>
          <w:color w:val="5A7D3A"/>
          <w:sz w:val="18"/>
        </w:rPr>
        <w:t>https://pubmed.ncbi.nlm.nih.gov/42664160/</w:t>
      </w:r>
    </w:p>
    <w:p>
      <w:pPr>
        <w:pStyle w:val="Heading2"/>
      </w:pPr>
      <w:r>
        <w:t>Dosiseskalation (80 Gy) bei Hochrisiko-Prostatakarzinom erhöht 10-Jahres-PFS deutlich</w:t>
      </w:r>
    </w:p>
    <w:p>
      <w:r>
        <w:rPr>
          <w:i/>
          <w:color w:val="666666"/>
          <w:sz w:val="18"/>
        </w:rPr>
        <w:t>Hennequin C et al.  ·  Lancet Oncol  ·  Sept. 2026  ·  PMID 42636837</w:t>
      </w:r>
    </w:p>
    <w:p>
      <w:r>
        <w:t>Französische Phase-III-Studie (GETUG-AFU-18) mit 505 Patienten mit hochrisiko Prostatakarzinom: Vergleich externe Strahlentherapie 80 Gy versus 70 Gy, kombiniert mit Langzeit-Androgenentzug, über 9,5 Jahre Median-Follow-up.</w:t>
      </w:r>
    </w:p>
    <w:p>
      <w:r>
        <w:rPr>
          <w:b/>
        </w:rPr>
        <w:t xml:space="preserve">Ergebnis: </w:t>
      </w:r>
      <w:r>
        <w:t>10-Jahres-PFS: 83,6 % (80-Gy-Arm) vs. 72,2 % (70-Gy-Arm), Hazard Ratio 0,56 (95% KI 0,40–0,78, p&lt;0,0001). 5-Jahres-PFS: 91,4 % vs. 88,1 %. Grad-3-Toxizität akut 24–25 %, spät 7–8 % in beiden Gruppen. Sexuelle und urogenitale Nebenwirkungen waren frequent, aber nicht unterschiedlich.</w:t>
      </w:r>
    </w:p>
    <w:p>
      <w:r>
        <w:rPr>
          <w:b/>
          <w:sz w:val="19"/>
        </w:rPr>
        <w:t xml:space="preserve">Übertragbarkeit: </w:t>
      </w:r>
      <w:r>
        <w:rPr>
          <w:sz w:val="19"/>
        </w:rPr>
        <w:t>Frankreich, vergleichbare Versicherungsstruktur; deutsche S3-Leitlinien zu Hochrisiko-Prostata-Strahlentherapie sollten Dosiseskalation prüfen</w:t>
      </w:r>
    </w:p>
    <w:p>
      <w:r>
        <w:rPr>
          <w:color w:val="5A7D3A"/>
          <w:sz w:val="18"/>
        </w:rPr>
        <w:t>https://pubmed.ncbi.nlm.nih.gov/42636837/</w:t>
      </w:r>
    </w:p>
    <w:p>
      <w:pPr>
        <w:pStyle w:val="Heading2"/>
      </w:pPr>
      <w:r>
        <w:t>Adjuvant Alectinib (600 mg b.i.d. × 24 Monate) bei ALK-positivem NSCLC nach Resektion: verträglicher, Lebensqualität erhalten</w:t>
      </w:r>
    </w:p>
    <w:p>
      <w:r>
        <w:rPr>
          <w:i/>
          <w:color w:val="666666"/>
          <w:sz w:val="18"/>
        </w:rPr>
        <w:t>Dziadziuszko R et al.  ·  Lancet Oncol  ·  Sept. 2026  ·  PMID 42636834</w:t>
      </w:r>
    </w:p>
    <w:p>
      <w:r>
        <w:t>Phase-III-ALINA-Studie, 257 Patienten mit reseziertem ALK+NSCLC (Stadium IB–IIIA): Vergleich Adjuvant-Alectinib versus Platinum-basierte Chemotherapie; Nebenwirkungen und Lebensqualität (SF-36v2) werden berichtet; Disease-Free-Survival bereits publiziert.</w:t>
      </w:r>
    </w:p>
    <w:p>
      <w:r>
        <w:rPr>
          <w:b/>
        </w:rPr>
        <w:t xml:space="preserve">Ergebnis: </w:t>
      </w:r>
      <w:r>
        <w:t>Schwergrad 3–4-AE mit Alectinib: 6% (CPK-Anstieg), vs. Chemotherapie 10% (Neutropenie). Therapie-Abbrüche: 5% vs. 13% (signifikant weniger mit Alectinib). SF-36v2-Domänen (Körperschmerz, Rollenfunktion, psychische Gesundheit, soziale Funktion, Vitalität) zeigten klinisch bedeutsame Verbesserung ab Woche 12; Scores blieben über 2 Jahre stabil bei Populationsnorm (50).</w:t>
      </w:r>
    </w:p>
    <w:p>
      <w:r>
        <w:rPr>
          <w:b/>
          <w:sz w:val="19"/>
        </w:rPr>
        <w:t xml:space="preserve">Übertragbarkeit: </w:t>
      </w:r>
      <w:r>
        <w:rPr>
          <w:sz w:val="19"/>
        </w:rPr>
        <w:t>International; Alectinib bereits in Deutschland zugelassen, Verträglichkeitsdaten unterstützen adjuvante Standardisierung</w:t>
      </w:r>
    </w:p>
    <w:p>
      <w:r>
        <w:rPr>
          <w:color w:val="5A7D3A"/>
          <w:sz w:val="18"/>
        </w:rPr>
        <w:t>https://pubmed.ncbi.nlm.nih.gov/42636834/</w:t>
      </w:r>
    </w:p>
    <w:p>
      <w:pPr>
        <w:pStyle w:val="Heading2"/>
      </w:pPr>
      <w:r>
        <w:t>Durvalumab+Tremelimumab+Lenvatinib+TACE versus TACE allein bei Hepatozellulärem Karzinom: PFS-Vorteil</w:t>
      </w:r>
    </w:p>
    <w:p>
      <w:r>
        <w:rPr>
          <w:i/>
          <w:color w:val="666666"/>
          <w:sz w:val="18"/>
        </w:rPr>
        <w:t>Kudo M et al.  ·  Lancet Oncol  ·  Sept. 2026  ·  PMID 42636832</w:t>
      </w:r>
    </w:p>
    <w:p>
      <w:r>
        <w:t>Phase-III-Studie EMERALD-3 mit 760 Patienten (embolisierbar, Child-Pugh A): Vergleich STRIDE (Durvalumab+Tremelimumab) mit oder ohne Lenvatinib, kombiniert mit transarterieller Chemoembolisation (TACE), versus TACE allein.</w:t>
      </w:r>
    </w:p>
    <w:p>
      <w:r>
        <w:rPr>
          <w:b/>
        </w:rPr>
        <w:t xml:space="preserve">Ergebnis: </w:t>
      </w:r>
      <w:r>
        <w:t>Median-PFS (STRIDE+Lenvatinib vs. TACE): 13,0 vs. 9,8 Monate, HR 0,70 (95% KI 0,57–0,86, p=0,0007). Median-OS: 39,5 vs. 34,7 Monate, HR 0,84 (p=0,18, nicht signifikant). Grad-3/4-AE: Hypertonie 12% (STRIDE+Lenvatinib), post-embolization-Syndrom 6% (STRIDE+TACE). 7 Treatment-Related Deaths (2%). STRIDE-Regimen als neuer Standard empfohlen.</w:t>
      </w:r>
    </w:p>
    <w:p>
      <w:r>
        <w:rPr>
          <w:b/>
          <w:sz w:val="19"/>
        </w:rPr>
        <w:t xml:space="preserve">Übertragbarkeit: </w:t>
      </w:r>
      <w:r>
        <w:rPr>
          <w:sz w:val="19"/>
        </w:rPr>
        <w:t>Global, inklusive europäischer Zentren; Zulassung in Genehmigungsverfahren, AMNOG-Bewertung ausstehend</w:t>
      </w:r>
    </w:p>
    <w:p>
      <w:r>
        <w:rPr>
          <w:color w:val="5A7D3A"/>
          <w:sz w:val="18"/>
        </w:rPr>
        <w:t>https://pubmed.ncbi.nlm.nih.gov/42636832/</w:t>
      </w:r>
    </w:p>
    <w:p>
      <w:pPr>
        <w:pStyle w:val="Heading1"/>
      </w:pPr>
      <w:r>
        <w:t>Aufgenommen am 14.09.2026</w:t>
      </w:r>
    </w:p>
    <w:p>
      <w:pPr>
        <w:pStyle w:val="Heading2"/>
      </w:pPr>
      <w:r>
        <w:t>Teclistamab in smolderendem Myelom hocheffektiv: Phase-2-Trial</w:t>
      </w:r>
    </w:p>
    <w:p>
      <w:r>
        <w:rPr>
          <w:i/>
          <w:color w:val="666666"/>
          <w:sz w:val="18"/>
        </w:rPr>
        <w:t>Nadeem O et al.  ·  Nat Med  ·  11.09.2026  ·  PMID 42728379</w:t>
      </w:r>
    </w:p>
    <w:p>
      <w:r>
        <w:t>Randomisierte Phase-2-ImmunoPRISM-Studie verglich Teclistamab (BCMA-Bispecific Antibody, Fixdauer) mit Lenalidomid/Dexamethason bei 59 Patienten mit Hochrisiko-smolderendem multiplem Myelom.</w:t>
      </w:r>
    </w:p>
    <w:p>
      <w:r>
        <w:rPr>
          <w:b/>
        </w:rPr>
        <w:t xml:space="preserve">Ergebnis: </w:t>
      </w:r>
      <w:r>
        <w:t>Teclistamab: komplette Remission 77,8% vs. 0% (Rd); minimale Resterkrankung-Negativität (10-5) 82,2%; 2-Jahres-Progressionsfreies Überleben 92% vs. 49%; Grad 1–2 Zytokine-Freisetzung, kein Grade-3-Infektionsanstieg, keine Todesfälle.</w:t>
      </w:r>
    </w:p>
    <w:p>
      <w:r>
        <w:rPr>
          <w:b/>
          <w:sz w:val="19"/>
        </w:rPr>
        <w:t xml:space="preserve">Übertragbarkeit: </w:t>
      </w:r>
      <w:r>
        <w:rPr>
          <w:sz w:val="19"/>
        </w:rPr>
        <w:t>Phasen-2-Studie mit Potential für Frühintervention; internationale Prüfung, Übertragbarkeit begrenzt bis zur Phase-3-Validierung.</w:t>
      </w:r>
    </w:p>
    <w:p>
      <w:r>
        <w:rPr>
          <w:color w:val="5A7D3A"/>
          <w:sz w:val="18"/>
        </w:rPr>
        <w:t>https://pubmed.ncbi.nlm.nih.gov/42728379/</w:t>
      </w:r>
    </w:p>
    <w:p>
      <w:pPr>
        <w:pStyle w:val="Heading2"/>
      </w:pPr>
      <w:r>
        <w:t>HCC-Management in Asien nach europäischen Leitlinien adaptiert</w:t>
      </w:r>
    </w:p>
    <w:p>
      <w:r>
        <w:rPr>
          <w:i/>
          <w:color w:val="666666"/>
          <w:sz w:val="18"/>
        </w:rPr>
        <w:t>Tan CK et al.  ·  ESMO Open  ·  09.07.2026  ·  PMID 42660571</w:t>
      </w:r>
    </w:p>
    <w:p>
      <w:r>
        <w:t>Pan-asiatische Expertengruppe adaptierte ESMO-Leitlinien zu Diagnose, Therapie und Nachsorge des Hepatozellulären Karzinoms für zehn asiatische Länder.</w:t>
      </w:r>
    </w:p>
    <w:p>
      <w:r>
        <w:rPr>
          <w:b/>
        </w:rPr>
        <w:t xml:space="preserve">Ergebnis: </w:t>
      </w:r>
      <w:r>
        <w:t>Konsens-Richtlinie mit regionsspezifischen Empfehlungen verabschiedet; Fokus auf harmonisierte Behandlung und Zugang trotz regionaler Unterschiede in Arzneimittelzulassung und Erstattung.</w:t>
      </w:r>
    </w:p>
    <w:p>
      <w:r>
        <w:rPr>
          <w:b/>
          <w:sz w:val="19"/>
        </w:rPr>
        <w:t xml:space="preserve">Übertragbarkeit: </w:t>
      </w:r>
      <w:r>
        <w:rPr>
          <w:sz w:val="19"/>
        </w:rPr>
        <w:t>Internationale Leitlinie mit europäischen Standards, aber auch asiatischen Besonderheiten; teilweise auf deutsches System übertragbar.</w:t>
      </w:r>
    </w:p>
    <w:p>
      <w:r>
        <w:rPr>
          <w:color w:val="5A7D3A"/>
          <w:sz w:val="18"/>
        </w:rPr>
        <w:t>https://pubmed.ncbi.nlm.nih.gov/42660571/</w:t>
      </w:r>
    </w:p>
    <w:p>
      <w:pPr>
        <w:pStyle w:val="Heading2"/>
      </w:pPr>
      <w:r>
        <w:t>Epigenetisches Altern in Dickdarmgewebe zeigt Lebensstilfaktoren-Einfluss</w:t>
      </w:r>
    </w:p>
    <w:p>
      <w:r>
        <w:rPr>
          <w:i/>
          <w:color w:val="666666"/>
          <w:sz w:val="18"/>
        </w:rPr>
        <w:t>Hardikar S et al.  ·  J Natl Cancer Inst  ·  25.08.2026  ·  PMID 42640567</w:t>
      </w:r>
    </w:p>
    <w:p>
      <w:r>
        <w:t>Analyse von epigenetischen Alterungsmodellen (Horvath, Hannum, Zhang u.a.) in Kolonialgewebe von 554 Proben (96 normal, 245 angrenzend, 208 Tumore) zur Untersuchung von Zusammenhängen mit Lebensstilfaktoren und Krebsentwicklung.</w:t>
      </w:r>
    </w:p>
    <w:p>
      <w:r>
        <w:rPr>
          <w:b/>
        </w:rPr>
        <w:t xml:space="preserve">Ergebnis: </w:t>
      </w:r>
      <w:r>
        <w:t>Horvath-Modell zeigte beste Korrelation mit chronologischem Alter (r &gt;0,70) in normalem Gewebe; signifikante Alters-Beschleunigung in tumoren vs. normal/angrenzend bei allen Modellen; körperliche Aktivität (PhenoAge), Rauchen (GrimAge) und Alkoholkonsum (Horvath, Mitose-Uhren) assoziiert mit epigenetischem Altern in angrenzender Mukosa.</w:t>
      </w:r>
    </w:p>
    <w:p>
      <w:r>
        <w:rPr>
          <w:b/>
          <w:sz w:val="19"/>
        </w:rPr>
        <w:t xml:space="preserve">Übertragbarkeit: </w:t>
      </w:r>
      <w:r>
        <w:rPr>
          <w:sz w:val="19"/>
        </w:rPr>
        <w:t>USA/deutsche Zentren, diverse Populationen; Grundlagenforschung zu Risikostratifikation.</w:t>
      </w:r>
    </w:p>
    <w:p>
      <w:r>
        <w:rPr>
          <w:color w:val="5A7D3A"/>
          <w:sz w:val="18"/>
        </w:rPr>
        <w:t>https://pubmed.ncbi.nlm.nih.gov/42640567/</w:t>
      </w:r>
    </w:p>
    <w:p>
      <w:pPr>
        <w:pStyle w:val="Heading2"/>
      </w:pPr>
      <w:r>
        <w:t>Tebentafusp gegen Uveales Melanom im UK-Programm wirksam wie Phase-3-Daten</w:t>
      </w:r>
    </w:p>
    <w:p>
      <w:r>
        <w:rPr>
          <w:i/>
          <w:color w:val="666666"/>
          <w:sz w:val="18"/>
        </w:rPr>
        <w:t>Joseph M et al.  ·  Oncologist  ·  09.09.2026  ·  PMID 42640561</w:t>
      </w:r>
    </w:p>
    <w:p>
      <w:r>
        <w:t>Retrospektive Real-World-Effektivitäts- und Toxizitäts-Analyse der UK Expanded Access Programme (EAP) mit 88 Patienten mit metastasiertem uvealen Melanom, behandelt Juli 2021–Juni 2023.</w:t>
      </w:r>
    </w:p>
    <w:p>
      <w:r>
        <w:rPr>
          <w:b/>
        </w:rPr>
        <w:t xml:space="preserve">Ergebnis: </w:t>
      </w:r>
      <w:r>
        <w:t>Medianes Gesamtüberleben 21 Monate (95%-KI 17-NR); medianes progressionsfreies Überleben 2,76 Monate (95%-KI 2,53–3,22); 12-Monats-Überlebenrate 75% (95%-KI 66,1–85,6); niedrigere LDH und niedrigere Leberlastung tendierten zu besserem Überleben; LDH ≥2× obere Normgrenze zeigte sehr schlechte Prognose; keine Grade ≥3 Toxizität nach Dosis 5.</w:t>
      </w:r>
    </w:p>
    <w:p>
      <w:r>
        <w:rPr>
          <w:b/>
          <w:sz w:val="19"/>
        </w:rPr>
        <w:t xml:space="preserve">Übertragbarkeit: </w:t>
      </w:r>
      <w:r>
        <w:rPr>
          <w:sz w:val="19"/>
        </w:rPr>
        <w:t>Britisches NHS-System, vergleichbar mit deutschem, Real-World-Evidenz für Kostenträger relevant.</w:t>
      </w:r>
    </w:p>
    <w:p>
      <w:r>
        <w:rPr>
          <w:color w:val="5A7D3A"/>
          <w:sz w:val="18"/>
        </w:rPr>
        <w:t>https://pubmed.ncbi.nlm.nih.gov/42640561/</w:t>
      </w:r>
    </w:p>
    <w:p>
      <w:pPr>
        <w:pStyle w:val="Heading2"/>
      </w:pPr>
      <w:r>
        <w:t>Daratumumab+Lenalidomid verlängert Überleben im älteren Myelom dauerhaft</w:t>
      </w:r>
    </w:p>
    <w:p>
      <w:r>
        <w:rPr>
          <w:i/>
          <w:color w:val="666666"/>
          <w:sz w:val="18"/>
        </w:rPr>
        <w:t>Facon T et al.  ·  Leukemia  ·  24.08.2026  ·  PMID 42637879</w:t>
      </w:r>
    </w:p>
    <w:p>
      <w:r>
        <w:t>Finale Analyse der MAIA-Studie: Randomisierte Phase-III-Prüfung zu Daratumumab+Lenalidomid/Dexamethason (D-Rd) vs. Lenalidomid/Dexamethason (Rd) bei 737 nicht-transplant-fähigen Patienten mit neu diagnostiziertem multiplem Myelom.</w:t>
      </w:r>
    </w:p>
    <w:p>
      <w:r>
        <w:rPr>
          <w:b/>
        </w:rPr>
        <w:t xml:space="preserve">Ergebnis: </w:t>
      </w:r>
      <w:r>
        <w:t>Medianes Gesamtüberleben: 90,3 Monate (D-Rd) vs. 64,1 Monate (Rd), HR 0,67 (95%-KI 0,55–0,82); 7-Jahres-Überleben 53,1% vs. 39,3%; mediane Zeit bis Folgetherapie nicht erreicht vs. 42,4 Monate. Follow-up &gt;7 Jahre.</w:t>
      </w:r>
    </w:p>
    <w:p>
      <w:r>
        <w:rPr>
          <w:b/>
          <w:sz w:val="19"/>
        </w:rPr>
        <w:t xml:space="preserve">Übertragbarkeit: </w:t>
      </w:r>
      <w:r>
        <w:rPr>
          <w:sz w:val="19"/>
        </w:rPr>
        <w:t>Multinationale Studie; Basis für Leitlinienstandard bei älteren Patienten, in Deutschland anwendbar.</w:t>
      </w:r>
    </w:p>
    <w:p>
      <w:r>
        <w:rPr>
          <w:color w:val="5A7D3A"/>
          <w:sz w:val="18"/>
        </w:rPr>
        <w:t>https://pubmed.ncbi.nlm.nih.gov/42637879/</w:t>
      </w:r>
    </w:p>
    <w:p>
      <w:pPr>
        <w:pStyle w:val="Heading2"/>
      </w:pPr>
      <w:r>
        <w:t>Olaparib-Erhaltung bei BRCA-mutiertem Brustkrebs: 6-Jahres-Vorteile halten an</w:t>
      </w:r>
    </w:p>
    <w:p>
      <w:r>
        <w:rPr>
          <w:i/>
          <w:color w:val="666666"/>
          <w:sz w:val="18"/>
        </w:rPr>
        <w:t>Garber JE et al.  ·  Ann Oncol  ·  24.08.2026  ·  PMID 42636977</w:t>
      </w:r>
    </w:p>
    <w:p>
      <w:r>
        <w:t>Dritte geplante Zwischenanalyse der randomisierten Phase-III-OlympiA-Studie zu adjuvantem Olaparib (PARP-Inhibitor) versus Placebo nach Chemotherapie bei 1.836 Patientinnen mit Keimbahn-BRCA-Mutation und HER2-negativem Hochrisiko-Brustkrebs.</w:t>
      </w:r>
    </w:p>
    <w:p>
      <w:r>
        <w:rPr>
          <w:b/>
        </w:rPr>
        <w:t xml:space="preserve">Ergebnis: </w:t>
      </w:r>
      <w:r>
        <w:t>Bei 6,1 Jahren medianer Nachbeobachtung: Invasives rezidivfreies Überleben (HR 0,65; 95%-KI 0,53–0,78), Gesamtüberleben (HR 0,72; 95%-KI 0,56–0,93); 6-Jahres-Überleben 87,5% vs. 83,2%; keine neuen Sicherheitssignale, kein erhöhtes MDS/AML-Risiko (0,4% vs. 0,7%).</w:t>
      </w:r>
    </w:p>
    <w:p>
      <w:r>
        <w:rPr>
          <w:b/>
          <w:sz w:val="19"/>
        </w:rPr>
        <w:t xml:space="preserve">Übertragbarkeit: </w:t>
      </w:r>
      <w:r>
        <w:rPr>
          <w:sz w:val="19"/>
        </w:rPr>
        <w:t>Multinationale Studie mit europäischen und deutschen Zentren; Befund ändert Leitlinienempfehlungen.</w:t>
      </w:r>
    </w:p>
    <w:p>
      <w:r>
        <w:rPr>
          <w:color w:val="5A7D3A"/>
          <w:sz w:val="18"/>
        </w:rPr>
        <w:t>https://pubmed.ncbi.nlm.nih.gov/42636977/</w:t>
      </w:r>
    </w:p>
    <w:p>
      <w:pPr>
        <w:pStyle w:val="Heading1"/>
      </w:pPr>
      <w:r>
        <w:t>Aufgenommen am 13.09.2026</w:t>
      </w:r>
    </w:p>
    <w:p>
      <w:pPr>
        <w:pStyle w:val="Heading2"/>
      </w:pPr>
      <w:r>
        <w:t>Genomische Alterationen in Hirn-Metastasen von Brustkrebs: 76,8 % haben therapeutisch nutzbare Targets</w:t>
      </w:r>
    </w:p>
    <w:p>
      <w:r>
        <w:rPr>
          <w:i/>
          <w:color w:val="666666"/>
          <w:sz w:val="18"/>
        </w:rPr>
        <w:t>Griguolo G et al.  ·  ESMO Open  ·  11.09.2026  ·  PMID 42727421</w:t>
      </w:r>
    </w:p>
    <w:p>
      <w:r>
        <w:t>Whole-exome-Sequenzierung von 56 Hirn-Metastasen-Proben aus Brustkrebs-Patienten zur Identifikation klinisch umsetzbarer genomischer Alterationen nach ESCAT-Kriterien.</w:t>
      </w:r>
    </w:p>
    <w:p>
      <w:r>
        <w:rPr>
          <w:b/>
        </w:rPr>
        <w:t xml:space="preserve">Ergebnis: </w:t>
      </w:r>
      <w:r>
        <w:t>76,8 % zeigten ESCAT-I/II-Alterationen; häufigste waren DNA-Reparatur-Gene (BRCA1/2/PALB2: 53,6 %); biallele Inaktivierung bei 19,6 % (höher bei HER2-negativ: 26 % HR-neg/HER2-neg, 21 % HR-pos/HER2-neg); PIK3CA/AKT1/PTEN-Alterationen in 48,2 %; kein ESR1 in HR-positiven; hotspot PIK3CA bei HER2-positivem assoziiert mit schlechterer Prognose.</w:t>
      </w:r>
    </w:p>
    <w:p>
      <w:r>
        <w:rPr>
          <w:b/>
          <w:sz w:val="19"/>
        </w:rPr>
        <w:t xml:space="preserve">Übertragbarkeit: </w:t>
      </w:r>
      <w:r>
        <w:rPr>
          <w:sz w:val="19"/>
        </w:rPr>
        <w:t>Italienisch-französische Kooperation, ESCAT-Klassifikation europäisch – direkt auf deutsches Targeting-System übertragbar.</w:t>
      </w:r>
    </w:p>
    <w:p>
      <w:r>
        <w:rPr>
          <w:color w:val="5A7D3A"/>
          <w:sz w:val="18"/>
        </w:rPr>
        <w:t>https://pubmed.ncbi.nlm.nih.gov/42727421/</w:t>
      </w:r>
    </w:p>
    <w:p>
      <w:pPr>
        <w:pStyle w:val="Heading2"/>
      </w:pPr>
      <w:r>
        <w:t>Hautkrebs-Bestrahlungen um 79% gestiegen: Trends der Radioonkologie 2015–2022</w:t>
      </w:r>
    </w:p>
    <w:p>
      <w:r>
        <w:rPr>
          <w:i/>
          <w:color w:val="666666"/>
          <w:sz w:val="18"/>
        </w:rPr>
        <w:t>Diefenhardt M et al.  ·  Strahlenther Onkol  ·  11.09.2026  ·  PMID 42726226</w:t>
      </w:r>
    </w:p>
    <w:p>
      <w:r>
        <w:t>Retrospektive Analyse von 8.842 Patienten in einer deutschen Uniklinik-Radiotherapie zwischen 2015 und 2022 zu Trends in Tumorentitäten, Alter und Behandlungsabständen.</w:t>
      </w:r>
    </w:p>
    <w:p>
      <w:r>
        <w:rPr>
          <w:b/>
        </w:rPr>
        <w:t xml:space="preserve">Ergebnis: </w:t>
      </w:r>
      <w:r>
        <w:t>Hautkrebs-Bestrahlungen stiegen um 79 %, Prostata um 10 %, Medianalter von 62 auf 64 Jahre; 47 % der Patienten kamen aus 10-km-Radius; Pandemie 2020-2021 führte zu keinen signifikanten Veränderungen in Patientenzahlen oder Tumortyp-Verteilung.</w:t>
      </w:r>
    </w:p>
    <w:p>
      <w:r>
        <w:rPr>
          <w:b/>
          <w:sz w:val="19"/>
        </w:rPr>
        <w:t xml:space="preserve">Übertragbarkeit: </w:t>
      </w:r>
      <w:r>
        <w:rPr>
          <w:sz w:val="19"/>
        </w:rPr>
        <w:t>Deutsche Uniklinik-Daten, direkt auf deutsches Radiotherapie-Versorgungssystem übertragbar.</w:t>
      </w:r>
    </w:p>
    <w:p>
      <w:r>
        <w:rPr>
          <w:color w:val="5A7D3A"/>
          <w:sz w:val="18"/>
        </w:rPr>
        <w:t>https://pubmed.ncbi.nlm.nih.gov/42726226/</w:t>
      </w:r>
    </w:p>
    <w:p>
      <w:pPr>
        <w:pStyle w:val="Heading2"/>
      </w:pPr>
      <w:r>
        <w:t>Cell-free DNA in Großzelliger B-Zell-Lymphom: technische Anforderungen für Minimal-Residual-Disease-Monitoring</w:t>
      </w:r>
    </w:p>
    <w:p>
      <w:r>
        <w:rPr>
          <w:i/>
          <w:color w:val="666666"/>
          <w:sz w:val="18"/>
        </w:rPr>
        <w:t>Krupka JA et al.  ·  Blood  ·  03.09.2026  ·  PMID 42691013</w:t>
      </w:r>
    </w:p>
    <w:p>
      <w:r>
        <w:t>Narrative Übersichtsarbeit zu ctDNA-Einsatz im diffusen großzelligen B-Zell-Lymphom mit Fokus auf technische Herausforderungen, Assay-Design und klinische Implementierung.</w:t>
      </w:r>
    </w:p>
    <w:p>
      <w:r>
        <w:rPr>
          <w:b/>
        </w:rPr>
        <w:t xml:space="preserve">Ergebnis: </w:t>
      </w:r>
      <w:r>
        <w:t>Tumor-informierte Assays mit mehreren genetischen Markern verbessern Sensitivität des Monitoring substanziell; Standardisierung und prospektive Validierung sind notwendig für Routineimplementierung; niedrige ctDNA-Häufigkeit und Unterscheidung von niedrigen Allel-Fraktionen bleiben Hauptprobleme.</w:t>
      </w:r>
    </w:p>
    <w:p>
      <w:r>
        <w:rPr>
          <w:b/>
          <w:sz w:val="19"/>
        </w:rPr>
        <w:t xml:space="preserve">Übertragbarkeit: </w:t>
      </w:r>
      <w:r>
        <w:rPr>
          <w:sz w:val="19"/>
        </w:rPr>
        <w:t>Technisches Review ohne spezifische Zahlen, eher Empfehlungscharakter; europäische Kontributoren.</w:t>
      </w:r>
    </w:p>
    <w:p>
      <w:r>
        <w:rPr>
          <w:color w:val="5A7D3A"/>
          <w:sz w:val="18"/>
        </w:rPr>
        <w:t>https://pubmed.ncbi.nlm.nih.gov/42691013/</w:t>
      </w:r>
    </w:p>
    <w:p>
      <w:pPr>
        <w:pStyle w:val="Heading2"/>
      </w:pPr>
      <w:r>
        <w:t>Tumor-Protein ADAMTSL4 treibt Kachexie durch TGFβ-Aktivierung – therapeutisches Ziel identifiziert</w:t>
      </w:r>
    </w:p>
    <w:p>
      <w:r>
        <w:rPr>
          <w:i/>
          <w:color w:val="666666"/>
          <w:sz w:val="18"/>
        </w:rPr>
        <w:t>Machado J et al.  ·  Cancer Discov  ·  01.09.2026  ·  PMID 42678278</w:t>
      </w:r>
    </w:p>
    <w:p>
      <w:r>
        <w:t>Mechanistische Studie in Modellen und Patienten mit kolorektalem und Lungenkarzinom zur Rolle von Tumor-Sekretion von ADAMTSL4 in der Pathogenese von Krebs-Kachexie.</w:t>
      </w:r>
    </w:p>
    <w:p>
      <w:r>
        <w:rPr>
          <w:b/>
        </w:rPr>
        <w:t xml:space="preserve">Ergebnis: </w:t>
      </w:r>
      <w:r>
        <w:t>ADAMTSL4-Überexpression machte nicht-kachektische Tumoren zu kachektischen; ADAMTSL4-Knockout reduzierte Muskelatrophie-Signaturen und Kachexie-Schweregrad; erhöhte zirkulierende ADAMTSL4-Level waren mit TGFβ-getriebener Muskelatrophie in Kachexie-Patienten assoziiert; ADAMTSL4-Blockade könnte selektive Therapie ohne systemische TGFβ-Blockade ermöglichen.</w:t>
      </w:r>
    </w:p>
    <w:p>
      <w:r>
        <w:rPr>
          <w:b/>
          <w:sz w:val="19"/>
        </w:rPr>
        <w:t xml:space="preserve">Übertragbarkeit: </w:t>
      </w:r>
      <w:r>
        <w:rPr>
          <w:sz w:val="19"/>
        </w:rPr>
        <w:t>USA-Studie mit deutschen und internationalen Zentren; präklinisches Modell mit klinischer Validierung – Weg zur Therapeutik erkennbar.</w:t>
      </w:r>
    </w:p>
    <w:p>
      <w:r>
        <w:rPr>
          <w:color w:val="5A7D3A"/>
          <w:sz w:val="18"/>
        </w:rPr>
        <w:t>https://pubmed.ncbi.nlm.nih.gov/42678278/</w:t>
      </w:r>
    </w:p>
    <w:p>
      <w:pPr>
        <w:pStyle w:val="Heading2"/>
      </w:pPr>
      <w:r>
        <w:t>Durvalumab perioperativ bei resektablem NSCLC: AEGEAN-Phase-III-Studie verbessert ereignisfreies Überleben</w:t>
      </w:r>
    </w:p>
    <w:p>
      <w:r>
        <w:rPr>
          <w:i/>
          <w:color w:val="666666"/>
          <w:sz w:val="18"/>
        </w:rPr>
        <w:t>Heymach JV et al.  ·  J Clin Oncol  ·  28.08.2026  ·  PMID 42664473</w:t>
      </w:r>
    </w:p>
    <w:p>
      <w:r>
        <w:t>Phase-III-Studie mit 740 Patienten zu neoadjuvanter Chemotherapie plus Durvalumab oder Placebo vor Operation und anschließender adjuvanter Durvalumab/Placebo-Therapie beim resektablen NSCLC Stadium II-IIIB.</w:t>
      </w:r>
    </w:p>
    <w:p>
      <w:r>
        <w:rPr>
          <w:b/>
        </w:rPr>
        <w:t xml:space="preserve">Ergebnis: </w:t>
      </w:r>
      <w:r>
        <w:t>Durvalumab reduzierte ereignisfreies Überleben (HR 0,69; 95%-KI 0,55–0,88), Zahlentrend für progressionsfreies Überleben (HR 0,66) und Gesamtüberleben (HR 0,89); Grad-3/4-Nebenwirkungen unter adjuvanter Therapie: 15,4 % vs. 10,6 % Placebo; Sicherheitsprofil konsistent mit Einzelsubstanzen.</w:t>
      </w:r>
    </w:p>
    <w:p>
      <w:r>
        <w:rPr>
          <w:b/>
          <w:sz w:val="19"/>
        </w:rPr>
        <w:t xml:space="preserve">Übertragbarkeit: </w:t>
      </w:r>
      <w:r>
        <w:rPr>
          <w:sz w:val="19"/>
        </w:rPr>
        <w:t>Internationale Phase-III-Studie mit europäischen Zentren; praxisverändernd bei AMNOG und Zulassung.</w:t>
      </w:r>
    </w:p>
    <w:p>
      <w:r>
        <w:rPr>
          <w:color w:val="5A7D3A"/>
          <w:sz w:val="18"/>
        </w:rPr>
        <w:t>https://pubmed.ncbi.nlm.nih.gov/42664473/</w:t>
      </w:r>
    </w:p>
    <w:p>
      <w:pPr>
        <w:pStyle w:val="Heading2"/>
      </w:pPr>
      <w:r>
        <w:t>Dynamisches Prognose-Modell CIRI2-CLL für Rezidivrisiko nach limitierter Therapie verbessert Vorhersage um bis zu 37 %</w:t>
      </w:r>
    </w:p>
    <w:p>
      <w:r>
        <w:rPr>
          <w:i/>
          <w:color w:val="666666"/>
          <w:sz w:val="18"/>
        </w:rPr>
        <w:t>Al-Sawaf O et al.  ·  J Clin Oncol  ·  27.08.2026  ·  PMID 42659576</w:t>
      </w:r>
    </w:p>
    <w:p>
      <w:r>
        <w:t>Validierungsstudie eines verfeinerten kontinuierlichen Risikoindex (CIRI2-CLL) zur Prognosebestimmung nach limitierter Behandlung der chronischen lymphatischen Leukämie mit Minimal-Residual-Disease-Status.</w:t>
      </w:r>
    </w:p>
    <w:p>
      <w:r>
        <w:rPr>
          <w:b/>
        </w:rPr>
        <w:t xml:space="preserve">Ergebnis: </w:t>
      </w:r>
      <w:r>
        <w:t>CIRI2-CLL zeigte gute Kalibrierung (ca. 5 % Differenz zwischen beobachteter und vorhergesagter Ereigniswahrscheinlichkeit); C-Statistik 0,82–0,98 an allen Zeitpunkten; 14–37 % Verbesserung der PFS-Vorhersage gegenüber MRD und CLL-IPI; 3-Jahres-PFS: 100,0 % (niedrig), 70,2 % (mittel), 10,8 % (hoch); Modell frei verfügbar auf Stanford-Plattform für individualisierte Therapieentscheidung.</w:t>
      </w:r>
    </w:p>
    <w:p>
      <w:r>
        <w:rPr>
          <w:b/>
          <w:sz w:val="19"/>
        </w:rPr>
        <w:t xml:space="preserve">Übertragbarkeit: </w:t>
      </w:r>
      <w:r>
        <w:rPr>
          <w:sz w:val="19"/>
        </w:rPr>
        <w:t>Deutsche CLL-Studiengruppe führend; validiert in europäischen und internationalen Kohorten.</w:t>
      </w:r>
    </w:p>
    <w:p>
      <w:r>
        <w:rPr>
          <w:color w:val="5A7D3A"/>
          <w:sz w:val="18"/>
        </w:rPr>
        <w:t>https://pubmed.ncbi.nlm.nih.gov/42659576/</w:t>
      </w:r>
    </w:p>
    <w:p>
      <w:pPr>
        <w:pStyle w:val="Heading1"/>
      </w:pPr>
      <w:r>
        <w:t>Aufgenommen am 12.09.2026</w:t>
      </w:r>
    </w:p>
    <w:p>
      <w:pPr>
        <w:pStyle w:val="Heading2"/>
      </w:pPr>
      <w:r>
        <w:t>PRO-Symptommonitoring bei Lungenkrebspatienten verlängert Gesamtüberleben um 5 Monate</w:t>
      </w:r>
    </w:p>
    <w:p>
      <w:r>
        <w:rPr>
          <w:i/>
          <w:color w:val="666666"/>
          <w:sz w:val="18"/>
        </w:rPr>
        <w:t>Hassing MJ et al.  ·  Lancet Oncol  ·  11.09.2026  ·  PMID 42727592</w:t>
      </w:r>
    </w:p>
    <w:p>
      <w:r>
        <w:t>Randomisierte niederländische Studie (14 medizinische Zentren, Stepped-Wedge-Design) zur Wirkung wöchentlicher Online-Symptomselbstberichte auf Überleben bei Patienten mit Lung Cancer im Stadium I-IV unter Behandlung.</w:t>
      </w:r>
    </w:p>
    <w:p>
      <w:r>
        <w:rPr>
          <w:b/>
        </w:rPr>
        <w:t xml:space="preserve">Ergebnis: </w:t>
      </w:r>
      <w:r>
        <w:t>Bei 446 Patienten (median 50 Monate Follow-up): Median Overall Survival in der Intervention 26 Monate versus Kontrolle 21 Monate (Hazard Ratio 0,80; 95%-CI 0,63–1,00; p=0,049). Progression-Free Survival zeigte keinen signifikanten Unterschied (HR 0,86; p=0,18). Praxisrelevant: strukturierte Patient-Reported Outcomes ermöglichen 5-Monate-Gewinn bei aktuellen Therapien.</w:t>
      </w:r>
    </w:p>
    <w:p>
      <w:r>
        <w:rPr>
          <w:b/>
          <w:sz w:val="19"/>
        </w:rPr>
        <w:t xml:space="preserve">Übertragbarkeit: </w:t>
      </w:r>
      <w:r>
        <w:rPr>
          <w:sz w:val="19"/>
        </w:rPr>
        <w:t>Niederländische Klinikdaten mit Versorgungsauftrag ähnlich Deutschland</w:t>
      </w:r>
    </w:p>
    <w:p>
      <w:r>
        <w:rPr>
          <w:color w:val="5A7D3A"/>
          <w:sz w:val="18"/>
        </w:rPr>
        <w:t>https://pubmed.ncbi.nlm.nih.gov/42727592/</w:t>
      </w:r>
    </w:p>
    <w:p>
      <w:pPr>
        <w:pStyle w:val="Heading2"/>
      </w:pPr>
      <w:r>
        <w:t>Trastuzumab Botidotin gegenüber Trastuzumab Emtansine: 11,1 vs. 4,4 Monate progressionsfreies Überleben</w:t>
      </w:r>
    </w:p>
    <w:p>
      <w:r>
        <w:rPr>
          <w:i/>
          <w:color w:val="666666"/>
          <w:sz w:val="18"/>
        </w:rPr>
        <w:t>Zhang J et al.  ·  J Clin Oncol  ·  11.09.2026  ·  PMID 42727044</w:t>
      </w:r>
    </w:p>
    <w:p>
      <w:r>
        <w:t>Phase-III-Studie (365 Patienten, China, 57 Zentren) mit randomisierter Direktvergleich zweier HER2-gerichteter Antikörper-Wirkstoff-Konjugate bei vorbehandeltem HER2-positivem metastasiertem Brustkrebs.</w:t>
      </w:r>
    </w:p>
    <w:p>
      <w:r>
        <w:rPr>
          <w:b/>
        </w:rPr>
        <w:t xml:space="preserve">Ergebnis: </w:t>
      </w:r>
      <w:r>
        <w:t>Trastuzumab Botidotin vs. Trastuzumab Emtansine: medianes Progression-Free Survival 11,1 vs. 4,4 Monate (HR 0,39; p&lt;0,0001); Objective Response Rate 76,9% vs. 53,0%. Grade ≥3 unerwünschte Ereignisse 69,8% vs. 63,7%, höchste Inzidenz bei Augenoberflächen-Toxizität (47,7%), aber meist reversibel.</w:t>
      </w:r>
    </w:p>
    <w:p>
      <w:r>
        <w:rPr>
          <w:b/>
          <w:sz w:val="19"/>
        </w:rPr>
        <w:t xml:space="preserve">Übertragbarkeit: </w:t>
      </w:r>
      <w:r>
        <w:rPr>
          <w:sz w:val="19"/>
        </w:rPr>
        <w:t>China-Studie, Botidotin hat EU-Zulassung; Übertragbarkeit für deutsche Zentren gegeben</w:t>
      </w:r>
    </w:p>
    <w:p>
      <w:r>
        <w:rPr>
          <w:color w:val="5A7D3A"/>
          <w:sz w:val="18"/>
        </w:rPr>
        <w:t>https://pubmed.ncbi.nlm.nih.gov/42727044/</w:t>
      </w:r>
    </w:p>
    <w:p>
      <w:pPr>
        <w:pStyle w:val="Heading2"/>
      </w:pPr>
      <w:r>
        <w:t>Lokale Therapie + Immune Checkpoint Inhibitor bei rezidiviertem/metastasiertem Nasopharynxkarzinom: 30,5 vs. 16,8 Monate PFS</w:t>
      </w:r>
    </w:p>
    <w:p>
      <w:r>
        <w:rPr>
          <w:i/>
          <w:color w:val="666666"/>
          <w:sz w:val="18"/>
        </w:rPr>
        <w:t>Chen X et al.  ·  Eur J Cancer  ·  27.08.2026  ·  PMID 42721861</w:t>
      </w:r>
    </w:p>
    <w:p>
      <w:r>
        <w:t>Retrospektive chinesische Studie (223 Patienten, Fudan University Shanghai) zum Vergleich von ICI allein versus lokale Therapie kombiniert mit ICI (LOCI) bei rezidiviertem oder metastasiertem Nasopharynxkarzinom; IPTW und Propensity-Score-Matching zur Confounding-Kontrolle.</w:t>
      </w:r>
    </w:p>
    <w:p>
      <w:r>
        <w:rPr>
          <w:b/>
        </w:rPr>
        <w:t xml:space="preserve">Ergebnis: </w:t>
      </w:r>
      <w:r>
        <w:t>Median Progression-Free Survival mit LOCI 30,53 Monate vs. ICI allein 16,77 Monate (HR 0,524; 95%-CI 0,339–0,785; log-rank p=0,0014). Benefit nach PSM und IPTW-Adjustment bestätigt. Bei lokalem Rezidiv oder Nodusbefall (LRR-NPC): verbessertes Distant-Metastasis-Free-Survival (HR 0,437). Bei Oligometastasen (≤3 Läsionen) ebenfalls PFS-Vorteil (HR 0,458; p=0,0416).</w:t>
      </w:r>
    </w:p>
    <w:p>
      <w:r>
        <w:rPr>
          <w:b/>
          <w:sz w:val="19"/>
        </w:rPr>
        <w:t xml:space="preserve">Übertragbarkeit: </w:t>
      </w:r>
      <w:r>
        <w:rPr>
          <w:sz w:val="19"/>
        </w:rPr>
        <w:t>China, Strahlentherapie mit ICI-Standard auch europäisch; Real-World-Ansatz übertragbar</w:t>
      </w:r>
    </w:p>
    <w:p>
      <w:r>
        <w:rPr>
          <w:color w:val="5A7D3A"/>
          <w:sz w:val="18"/>
        </w:rPr>
        <w:t>https://pubmed.ncbi.nlm.nih.gov/42721861/</w:t>
      </w:r>
    </w:p>
    <w:p>
      <w:pPr>
        <w:pStyle w:val="Heading2"/>
      </w:pPr>
      <w:r>
        <w:t>EORTC QLQ-CHI: erste Lebensqualitätsskala speziell für Kinder mit Krebs (8–14 Jahre)</w:t>
      </w:r>
    </w:p>
    <w:p>
      <w:r>
        <w:rPr>
          <w:i/>
          <w:color w:val="666666"/>
          <w:sz w:val="18"/>
        </w:rPr>
        <w:t>Vetrano C et al.  ·  Eur J Cancer  ·  05.10.2026  ·  PMID 42685381</w:t>
      </w:r>
    </w:p>
    <w:p>
      <w:r>
        <w:t>Mixed-Methods-Studie (Phasen I/II) zur Entwicklung eines EORTC-Fragebogenmoduls; 47 Kinder, 45 Eltern, 22 Fachleute aus 6 Ländern; Leitlinien der EORTC Quality-of-Life Group.</w:t>
      </w:r>
    </w:p>
    <w:p>
      <w:r>
        <w:rPr>
          <w:b/>
        </w:rPr>
        <w:t xml:space="preserve">Ergebnis: </w:t>
      </w:r>
      <w:r>
        <w:t>57 Schlüsselprobleme identifiziert aus 1.200+ initial bewerteten Aspekten (Vergleich Kinder-, Eltern- und Fachperspektive). Kinder präferierten 4 Antwortoptionen (70,0%) und kürzere Recall-Periode (43,3%). Fragebogen mit 50 Items in zwei Skalenbereiche eingeteilt: symptomorientiert und psychosozial. Nächste Schritte: Pilottestung (Phase III/IV), Validierung.</w:t>
      </w:r>
    </w:p>
    <w:p>
      <w:r>
        <w:rPr>
          <w:b/>
          <w:sz w:val="19"/>
        </w:rPr>
        <w:t xml:space="preserve">Übertragbarkeit: </w:t>
      </w:r>
      <w:r>
        <w:rPr>
          <w:sz w:val="19"/>
        </w:rPr>
        <w:t>Europäisches Netzwerk (EORTC), Grundlage für standardisierte Erfassung in Zentren</w:t>
      </w:r>
    </w:p>
    <w:p>
      <w:r>
        <w:rPr>
          <w:color w:val="5A7D3A"/>
          <w:sz w:val="18"/>
        </w:rPr>
        <w:t>https://pubmed.ncbi.nlm.nih.gov/42685381/</w:t>
      </w:r>
    </w:p>
    <w:p>
      <w:pPr>
        <w:pStyle w:val="Heading2"/>
      </w:pPr>
      <w:r>
        <w:t>Tislelizumab + Chemotherapie bei Ösophaguskarzinom: 45-Monate-Überleben</w:t>
      </w:r>
    </w:p>
    <w:p>
      <w:r>
        <w:rPr>
          <w:i/>
          <w:color w:val="666666"/>
          <w:sz w:val="18"/>
        </w:rPr>
        <w:t>Tougeron D et al.  ·  ESMO Open  ·  27.08.2026  ·  PMID 42659894</w:t>
      </w:r>
    </w:p>
    <w:p>
      <w:r>
        <w:t>Randomisierte Phase-III-Studie (RATIONALE-306) mit 649 Patienten weltweit; Analyse der Subgruppe mit PD-L1 Tumor Area Positivity ≥5% im Langzeit-Follow-up.</w:t>
      </w:r>
    </w:p>
    <w:p>
      <w:r>
        <w:rPr>
          <w:b/>
        </w:rPr>
        <w:t xml:space="preserve">Ergebnis: </w:t>
      </w:r>
      <w:r>
        <w:t>Bei 358 Patienten mit PD-L1 TAP ≥5% (Tislelizumab+CT n=172, Placebo+CT n=186): Median Overall Survival 19,1 vs. 10,0 Monate (HR 0,61); Progression-Free Survival 8,2 vs. 5,5 Monate (HR 0,50); Objektive Ansprechrate 71,5% vs. 41,4%. Haltbarkeit über 45 Monate bestätigt; Sicherheitsprofil unverändert.</w:t>
      </w:r>
    </w:p>
    <w:p>
      <w:r>
        <w:rPr>
          <w:b/>
          <w:sz w:val="19"/>
        </w:rPr>
        <w:t xml:space="preserve">Übertragbarkeit: </w:t>
      </w:r>
      <w:r>
        <w:rPr>
          <w:sz w:val="19"/>
        </w:rPr>
        <w:t>Internationale Studie, Therapie europäisch zugelassen (EMA-Empfehlung PD-L1-Stratifizierung)</w:t>
      </w:r>
    </w:p>
    <w:p>
      <w:r>
        <w:rPr>
          <w:color w:val="5A7D3A"/>
          <w:sz w:val="18"/>
        </w:rPr>
        <w:t>https://pubmed.ncbi.nlm.nih.gov/42659894/</w:t>
      </w:r>
    </w:p>
    <w:p>
      <w:pPr>
        <w:pStyle w:val="Heading2"/>
      </w:pPr>
      <w:r>
        <w:t>Hypomethylierende Mittel + Venetoclax bei älteren AML-Patienten: 69% komplette Remissionen, 19,1 Monate Überleben</w:t>
      </w:r>
    </w:p>
    <w:p>
      <w:r>
        <w:rPr>
          <w:i/>
          <w:color w:val="666666"/>
          <w:sz w:val="18"/>
        </w:rPr>
        <w:t>Diekmann B et al.  ·  Eur J Cancer  ·  05.10.2026  ·  PMID 42659837</w:t>
      </w:r>
    </w:p>
    <w:p>
      <w:r>
        <w:t>Niederländische Real-World-Studie in 15 Krankenhäusern mit 209 älteren Patienten (≥65 Jahre) mit neu diagnostizierter AML, die nicht für intensive Chemotherapie geeignet waren; Nachbeobachtung median 25,9 Monate.</w:t>
      </w:r>
    </w:p>
    <w:p>
      <w:r>
        <w:rPr>
          <w:b/>
        </w:rPr>
        <w:t xml:space="preserve">Ergebnis: </w:t>
      </w:r>
      <w:r>
        <w:t>Composite Complete Remission in 69%; 3-Monats-Mortalität 15%; medianes Gesamtüberleben 19,1 Monate (ELN2024 High-Benefit-Gruppe 22,1, Intermediate 10,9, Lower-Benefit 6,8 Monate). Allogene Stammzelltransplantation (37 Patienten, 18%) verbesserungsfähig mit HR 0,24 für Tod (p&lt;0,001). Antifungale Agenten in 72% der ersten Zyklen assoziiert mit reduzierter Mortalität (HR 0,605; p=0,010).</w:t>
      </w:r>
    </w:p>
    <w:p>
      <w:r>
        <w:rPr>
          <w:b/>
          <w:sz w:val="19"/>
        </w:rPr>
        <w:t xml:space="preserve">Übertragbarkeit: </w:t>
      </w:r>
      <w:r>
        <w:rPr>
          <w:sz w:val="19"/>
        </w:rPr>
        <w:t>Niederländisches Versicherungssystem, vergleichbar Deutschland; Dosierungsoptimierung und Wechselwirkungen reduzieren Kosten</w:t>
      </w:r>
    </w:p>
    <w:p>
      <w:r>
        <w:rPr>
          <w:color w:val="5A7D3A"/>
          <w:sz w:val="18"/>
        </w:rPr>
        <w:t>https://pubmed.ncbi.nlm.nih.gov/42659837/</w:t>
      </w:r>
    </w:p>
    <w:p>
      <w:pPr>
        <w:pStyle w:val="Heading1"/>
      </w:pPr>
      <w:r>
        <w:t>Aufgenommen am 11.09.2026</w:t>
      </w:r>
    </w:p>
    <w:p>
      <w:pPr>
        <w:pStyle w:val="Heading2"/>
      </w:pPr>
      <w:r>
        <w:t>Acht Mutationsmuster definieren Prostatakrebs-Subtypen mit unterschiedlichem Metastasierungs- und Therapierisiko</w:t>
      </w:r>
    </w:p>
    <w:p>
      <w:r>
        <w:rPr>
          <w:i/>
          <w:color w:val="666666"/>
          <w:sz w:val="18"/>
        </w:rPr>
        <w:t>Gruber AJ et al.  ·  Nature  ·  09.09.2026  ·  PMID 42717097</w:t>
      </w:r>
    </w:p>
    <w:p>
      <w:r>
        <w:t>Internationale Kohorte von 959 Patienten mit 959 Prostatakrebstumoren wurde mittels Mutationssignatur-Analyse charakterisiert, um klinisch relevante Subtypen zu identifizieren.</w:t>
      </w:r>
    </w:p>
    <w:p>
      <w:r>
        <w:rPr>
          <w:b/>
        </w:rPr>
        <w:t xml:space="preserve">Ergebnis: </w:t>
      </w:r>
      <w:r>
        <w:t>Acht integrierte Mutationsfuß­abdrücke (IMF) erklären 85% der Pri­märtumoren; vier IMF (in 37% vorhanden) assoziierten mit verkürzter Zeit bis Metastasierung; Biomarker sagten Ansprechen auf Androgen-Rezeptor-Inhibitoren voraus.</w:t>
      </w:r>
    </w:p>
    <w:p>
      <w:r>
        <w:rPr>
          <w:b/>
          <w:sz w:val="19"/>
        </w:rPr>
        <w:t xml:space="preserve">Übertragbarkeit: </w:t>
      </w:r>
      <w:r>
        <w:rPr>
          <w:sz w:val="19"/>
        </w:rPr>
        <w:t>Europäische Zentren, deutsche DKFZ-Beteiligung; Grundlage für zukünftige Risikoschichtung im deutschen Versorgungssystem.</w:t>
      </w:r>
    </w:p>
    <w:p>
      <w:r>
        <w:rPr>
          <w:color w:val="5A7D3A"/>
          <w:sz w:val="18"/>
        </w:rPr>
        <w:t>https://pubmed.ncbi.nlm.nih.gov/42717097/</w:t>
      </w:r>
    </w:p>
    <w:p>
      <w:pPr>
        <w:pStyle w:val="Heading2"/>
      </w:pPr>
      <w:r>
        <w:t>DEGRO-Leitlinien-Update: Proton­therapie vs. Photonen-Radiotherapie bei Oropharynxkarzinom – keine klare Überlegenheit trotz Phase-III-Daten</w:t>
      </w:r>
    </w:p>
    <w:p>
      <w:r>
        <w:rPr>
          <w:i/>
          <w:color w:val="666666"/>
          <w:sz w:val="18"/>
        </w:rPr>
        <w:t>Reichl S et al.  ·  Strahlenther Onkol  ·  07.09.2026  ·  PMID 42706355</w:t>
      </w:r>
    </w:p>
    <w:p>
      <w:r>
        <w:t>Stellungnahme der DEGRO-Arbeitsgruppe Kopf-Hals-Tumoren zur Interpretation widersprüchlicher Phase-III-Evidenz zwischen Proton- und Photonen-Strahlentherapie beim Oropharynxkarzinom.</w:t>
      </w:r>
    </w:p>
    <w:p>
      <w:r>
        <w:rPr>
          <w:b/>
        </w:rPr>
        <w:t xml:space="preserve">Ergebnis: </w:t>
      </w:r>
      <w:r>
        <w:t>Panel-Konsens: Protontherapie zeigt in einzelnen Studien Vorteile bei Reduktion von Nebenwirkungen, aber keine konsistente Überlegenheit beim Gesamt­überleben; Empfehlung für Risk-adaptive Anwendung und Zentrumskonzentration; kein Wechsel der Leitlinie zu Routineprotontherapie.</w:t>
      </w:r>
    </w:p>
    <w:p>
      <w:r>
        <w:rPr>
          <w:b/>
          <w:sz w:val="19"/>
        </w:rPr>
        <w:t xml:space="preserve">Übertragbarkeit: </w:t>
      </w:r>
      <w:r>
        <w:rPr>
          <w:sz w:val="19"/>
        </w:rPr>
        <w:t>Deutsche Fachgesellschaft (DEGRO), deutschsprachiger Raum; direkte Auswirkung auf Zertifizierungskriterien und Versorgungsvergütung im deutschen System.</w:t>
      </w:r>
    </w:p>
    <w:p>
      <w:r>
        <w:rPr>
          <w:color w:val="5A7D3A"/>
          <w:sz w:val="18"/>
        </w:rPr>
        <w:t>https://pubmed.ncbi.nlm.nih.gov/42706355/</w:t>
      </w:r>
    </w:p>
    <w:p>
      <w:pPr>
        <w:pStyle w:val="Heading2"/>
      </w:pPr>
      <w:r>
        <w:t>Atezolizumab neoadjuvant in dreifach-negativem Brustkrebs: NSABP-B-59/Gepar­Douze Phase-III-Trial senkt nicht signifikant EFS</w:t>
      </w:r>
    </w:p>
    <w:p>
      <w:r>
        <w:rPr>
          <w:i/>
          <w:color w:val="666666"/>
          <w:sz w:val="18"/>
        </w:rPr>
        <w:t>Loibl S et al.  ·  Nat Med  ·  01.09.2026  ·  PMID 42680950</w:t>
      </w:r>
    </w:p>
    <w:p>
      <w:r>
        <w:t>Randomisiert 1.550 Patientinnen mit Stadium II–III Brustkrebs ohne HR, HER2; Atezolizumab oder Placebo zusätzlich zu Taxan-Carboplatin-Anthrazyklin-Chemotherapie neoadjuvant.</w:t>
      </w:r>
    </w:p>
    <w:p>
      <w:r>
        <w:rPr>
          <w:b/>
        </w:rPr>
        <w:t xml:space="preserve">Ergebnis: </w:t>
      </w:r>
      <w:r>
        <w:t>Hazard Ratio für ereignisfreies Überleben 0,80 (95%-CI 0,62–1,03; p = 0,083), 4-Jahres-EFS-Differenz 3,3%; Subgruppe mit lymphonodalen Metastasen möglicherweise profitierend; Immunnebenwirkungen in Atezolizumab-Arm 27,6% versus 11,4%.</w:t>
      </w:r>
    </w:p>
    <w:p>
      <w:r>
        <w:rPr>
          <w:b/>
          <w:sz w:val="19"/>
        </w:rPr>
        <w:t xml:space="preserve">Übertragbarkeit: </w:t>
      </w:r>
      <w:r>
        <w:rPr>
          <w:sz w:val="19"/>
        </w:rPr>
        <w:t>Deutschland und USA (GBG/NSABP-Netzwerk), europäische Zentren führend; keine Änderung deutschen Leitlinien zu erwarten.</w:t>
      </w:r>
    </w:p>
    <w:p>
      <w:r>
        <w:rPr>
          <w:color w:val="5A7D3A"/>
          <w:sz w:val="18"/>
        </w:rPr>
        <w:t>https://pubmed.ncbi.nlm.nih.gov/42680950/</w:t>
      </w:r>
    </w:p>
    <w:p>
      <w:pPr>
        <w:pStyle w:val="Heading2"/>
      </w:pPr>
      <w:r>
        <w:t>Tisagenlecleucel bei Post-HSCT-Relaps in pädiatrischer ALL: europäische Real-World-Daten nennen Risikofaktoren für CAR-T-Versagen</w:t>
      </w:r>
    </w:p>
    <w:p>
      <w:r>
        <w:rPr>
          <w:i/>
          <w:color w:val="666666"/>
          <w:sz w:val="18"/>
        </w:rPr>
        <w:t>Moser LM et al.  ·  Leukemia  ·  31.08.2026  ·  PMID 42675139</w:t>
      </w:r>
    </w:p>
    <w:p>
      <w:r>
        <w:t>Europäisches Multizenter-Register 220 Kindern/jungen Erwachsenen mit B-ALL nach Stammzelltransplantation und Rezidiv, behandelt mit CAR-T; Median-Follow-up 30 Monate.</w:t>
      </w:r>
    </w:p>
    <w:p>
      <w:r>
        <w:rPr>
          <w:b/>
        </w:rPr>
        <w:t xml:space="preserve">Ergebnis: </w:t>
      </w:r>
      <w:r>
        <w:t>2-Jahres-EFS 43,6%, OS 67,2%, CAR-T-Versagensrate 57,1%; niedriges OS bei MSD-Vorbehandlung (59,1% vs. Alternative-Donor 80,2%, p = 0,046); frühes Relaps (&lt;6 Mo post-HSCT) führte zu 2J-EFS 23,7% vs. 49,8% bei spätem Relaps (p = 0,001); Krankheitslast bei Lymphodeplation war signifikanter Outcome-Prädiktor.</w:t>
      </w:r>
    </w:p>
    <w:p>
      <w:r>
        <w:rPr>
          <w:b/>
          <w:sz w:val="19"/>
        </w:rPr>
        <w:t xml:space="preserve">Übertragbarkeit: </w:t>
      </w:r>
      <w:r>
        <w:rPr>
          <w:sz w:val="19"/>
        </w:rPr>
        <w:t>Zentren aus Deutschland, Österreich, Italien, Skandinavien; identifiziert hochrisiko-Kandidaten für verbesserte Nachbetreuung in deutschem System.</w:t>
      </w:r>
    </w:p>
    <w:p>
      <w:r>
        <w:rPr>
          <w:color w:val="5A7D3A"/>
          <w:sz w:val="18"/>
        </w:rPr>
        <w:t>https://pubmed.ncbi.nlm.nih.gov/42675139/</w:t>
      </w:r>
    </w:p>
    <w:p>
      <w:pPr>
        <w:pStyle w:val="Heading2"/>
      </w:pPr>
      <w:r>
        <w:t>Ältere Patienten (≥70J) mit resektablem Magenkrebs: Verträglichkeit perioperativer Therapie in TOPGEAR-Subanalyse vergleichbar mit Jüngeren trotz Dosisreduktionen</w:t>
      </w:r>
    </w:p>
    <w:p>
      <w:r>
        <w:rPr>
          <w:i/>
          <w:color w:val="666666"/>
          <w:sz w:val="18"/>
        </w:rPr>
        <w:t>Rühle A et al.  ·  Eur J Cancer  ·  05.10.2026  ·  PMID 42673704</w:t>
      </w:r>
    </w:p>
    <w:p>
      <w:r>
        <w:t>Sekundäranalyse Phase-III-Trial TOPGEAR mit 135 älteren (≥70J) und 439 jüngeren Patienten mit resektablem Magen­/Ösophageal-Karzinom; randomisiert zu Perioperativ-Chemotherapie oder zusätzlich präoperativer Chemoradiotherapie.</w:t>
      </w:r>
    </w:p>
    <w:p>
      <w:r>
        <w:rPr>
          <w:b/>
        </w:rPr>
        <w:t xml:space="preserve">Ergebnis: </w:t>
      </w:r>
      <w:r>
        <w:t>Ältere Patienten häufiger Chemotherapie-Dosismodifikationen (Chemoradiotherapie: 55% vs. 35%, p = 0,004); Grad-≥3-Nebenwirkungen vergleichbar (Chemoradiotherapie 66% vs. 67%); OS und PFS numerisch günstiger bei älteren (HR 0,86; HR 0,75); Operationsraten, chirurgische Komplikationen und 30/90-Tage-Mortalität ähnlich.</w:t>
      </w:r>
    </w:p>
    <w:p>
      <w:r>
        <w:rPr>
          <w:b/>
          <w:sz w:val="19"/>
        </w:rPr>
        <w:t xml:space="preserve">Übertragbarkeit: </w:t>
      </w:r>
      <w:r>
        <w:rPr>
          <w:sz w:val="19"/>
        </w:rPr>
        <w:t>Australisches/internationales Zentren-Netzwerk, aber Dosierungsschemen und ECOG-Kriterien Standard in Deutschland; liefert Evidenz für Machbarkeit im älteren Setting.</w:t>
      </w:r>
    </w:p>
    <w:p>
      <w:r>
        <w:rPr>
          <w:color w:val="5A7D3A"/>
          <w:sz w:val="18"/>
        </w:rPr>
        <w:t>https://pubmed.ncbi.nlm.nih.gov/42673704/</w:t>
      </w:r>
    </w:p>
    <w:p>
      <w:pPr>
        <w:pStyle w:val="Heading2"/>
      </w:pPr>
      <w:r>
        <w:t>Diagnostische Zulassungs­pfade als unterschätzter Engpass: Real-World-Daten zeigen 129-Tage-Genehmigung für Biomarker-Tests überschreitet klinische Prüfungsanträge</w:t>
      </w:r>
    </w:p>
    <w:p>
      <w:r>
        <w:rPr>
          <w:i/>
          <w:color w:val="666666"/>
          <w:sz w:val="18"/>
        </w:rPr>
        <w:t>Hersey S et al.  ·  Eur J Cancer  ·  05.10.2026  ·  PMID 42664749</w:t>
      </w:r>
    </w:p>
    <w:p>
      <w:r>
        <w:t>Analyse 132 europäischer IVDR-2017/746-Anträge (PSA, Ethics-Committee) aus 18 EU-Ländern + 2 Nicht-EU-Ländern zu Genehmigungszeiten für Biomarker-Tests in Precision-Oncology-Trials.</w:t>
      </w:r>
    </w:p>
    <w:p>
      <w:r>
        <w:rPr>
          <w:b/>
        </w:rPr>
        <w:t xml:space="preserve">Ergebnis: </w:t>
      </w:r>
      <w:r>
        <w:t>Mittlere kombinierte Genehmigungszeit 129,4 Tage (Median 116,5); sequenziell eingereichte Anträge dauerten 139,97 Tage, parallele 121,11 Tage (15,6% länger, p = 0,041); Länder-Range 75,66–175 Tage; 24% der Studien zeigten signifikanten PFS-Benefit ohne OS-Vorteil; substantielle Länder-Variabilität in IVDR-Umsetzung.</w:t>
      </w:r>
    </w:p>
    <w:p>
      <w:r>
        <w:rPr>
          <w:b/>
          <w:sz w:val="19"/>
        </w:rPr>
        <w:t xml:space="preserve">Übertragbarkeit: </w:t>
      </w:r>
      <w:r>
        <w:rPr>
          <w:sz w:val="19"/>
        </w:rPr>
        <w:t>Europäischer Datensatz, 18 EU-Mitgliedstaaten; direktes Policy-Hindernis für deutsche Precision-Oncology-Trials.</w:t>
      </w:r>
    </w:p>
    <w:p>
      <w:r>
        <w:rPr>
          <w:color w:val="5A7D3A"/>
          <w:sz w:val="18"/>
        </w:rPr>
        <w:t>https://pubmed.ncbi.nlm.nih.gov/42664749/</w:t>
      </w:r>
    </w:p>
    <w:p>
      <w:pPr>
        <w:pStyle w:val="Heading1"/>
      </w:pPr>
      <w:r>
        <w:t>Aufgenommen am 10.09.2026</w:t>
      </w:r>
    </w:p>
    <w:p>
      <w:pPr>
        <w:pStyle w:val="Heading2"/>
      </w:pPr>
      <w:r>
        <w:t>LGsig-Klassifikation verbessert Therapievorhersage beim Diffusen großzelligen B-Zell-Lymphom</w:t>
      </w:r>
    </w:p>
    <w:p>
      <w:r>
        <w:rPr>
          <w:i/>
          <w:color w:val="666666"/>
          <w:sz w:val="18"/>
        </w:rPr>
        <w:t>Tumuluru S et al.  ·  J Clin Oncol  ·  09.09.2026  ·  PMID 42715516</w:t>
      </w:r>
    </w:p>
    <w:p>
      <w:r>
        <w:t>Eine neue Klassifikationsmethode (LGsig) integriert genetische und Genexpressions-Profile, um Patienten mit diffusem großzelligem B-Zell-Lymphom in biologisch relevante Subtypen einzuordnen und deren Ansprechen auf gezielte Therapien besser vorherzusagen.</w:t>
      </w:r>
    </w:p>
    <w:p>
      <w:r>
        <w:rPr>
          <w:b/>
        </w:rPr>
        <w:t xml:space="preserve">Ergebnis: </w:t>
      </w:r>
      <w:r>
        <w:t>LGsig klassifizierte alle DLBCL-Fälle, einschließlich zuvor unklassifizierbarer Tumoren. In der POLARIX-Studie zeigte sich ein signifikanter Überlebensvorteil für Patienten mit bestimmten LGsig-Subtypen unter Polatuzumab vedotin-R-CHP versus R-CHOP in sowohl genetisch klassifizierten als auch unklassifizierten Fällen.</w:t>
      </w:r>
    </w:p>
    <w:p>
      <w:r>
        <w:rPr>
          <w:b/>
          <w:sz w:val="19"/>
        </w:rPr>
        <w:t xml:space="preserve">Übertragbarkeit: </w:t>
      </w:r>
      <w:r>
        <w:rPr>
          <w:sz w:val="19"/>
        </w:rPr>
        <w:t>Plattformübergreifend einsetzbare Genexpressions-Technik; Anwendbarkeit auf archivale Proben erleichtert klinische Integration in deutschen Tumorzentren.</w:t>
      </w:r>
    </w:p>
    <w:p>
      <w:r>
        <w:rPr>
          <w:color w:val="5A7D3A"/>
          <w:sz w:val="18"/>
        </w:rPr>
        <w:t>https://pubmed.ncbi.nlm.nih.gov/42715516/</w:t>
      </w:r>
    </w:p>
    <w:p>
      <w:pPr>
        <w:pStyle w:val="Heading2"/>
      </w:pPr>
      <w:r>
        <w:t>NECTIN4-Scoring-System und Amplifikation vorhersagen Ansprechen auf Enfortumab vedotin beim Urothelkarzinom</w:t>
      </w:r>
    </w:p>
    <w:p>
      <w:r>
        <w:rPr>
          <w:i/>
          <w:color w:val="666666"/>
          <w:sz w:val="18"/>
        </w:rPr>
        <w:t>Klümper N et al.  ·  Clin Cancer Res  ·  09.09.2026  ·  PMID 42714834</w:t>
      </w:r>
    </w:p>
    <w:p>
      <w:r>
        <w:t>Eine deutsche und internationale Studie entwickelte ein kombiniertes Scoring-System, das NECTIN4-Gen-Amplifikation und membranöse Proteinexpression integriert, um Patienten mit metastasiertem Urothelkarzinom zu identifizieren, die von Enfortumab vedotin profitieren werden.</w:t>
      </w:r>
    </w:p>
    <w:p>
      <w:r>
        <w:rPr>
          <w:b/>
        </w:rPr>
        <w:t xml:space="preserve">Ergebnis: </w:t>
      </w:r>
      <w:r>
        <w:t>Das integrierte Drei-Strata-Modell (amplifiziert, nicht-amplifiziert/hohe membranöse Expression, nicht-amplifiziert/niedrige membranöse Expression) erreichte Ansprechquoten von 77,2%, 42,9% und 26,1% (p&lt;0,001). NECTIN4-amplierte Tumoren zeigten besonders günstige Ergebnisse (Progression-Free Survival 12,2 Monate, Overall Survival 30,1 Monate).</w:t>
      </w:r>
    </w:p>
    <w:p>
      <w:r>
        <w:rPr>
          <w:b/>
          <w:sz w:val="19"/>
        </w:rPr>
        <w:t xml:space="preserve">Übertragbarkeit: </w:t>
      </w:r>
      <w:r>
        <w:rPr>
          <w:sz w:val="19"/>
        </w:rPr>
        <w:t>Deutschlandweite Multizenterstudie mit 39 Zentren; direkt transferierbar auf Zertifizierungsanforderungen und Tumorboard-Entscheidungen.</w:t>
      </w:r>
    </w:p>
    <w:p>
      <w:r>
        <w:rPr>
          <w:color w:val="5A7D3A"/>
          <w:sz w:val="18"/>
        </w:rPr>
        <w:t>https://pubmed.ncbi.nlm.nih.gov/42714834/</w:t>
      </w:r>
    </w:p>
    <w:p>
      <w:pPr>
        <w:pStyle w:val="Heading2"/>
      </w:pPr>
      <w:r>
        <w:t>DEGRO-Empfehlungen zur Strahlentherapie des Merkelzellkarzinoms mit Fokus auf Hypofraktionierung</w:t>
      </w:r>
    </w:p>
    <w:p>
      <w:r>
        <w:rPr>
          <w:i/>
          <w:color w:val="666666"/>
          <w:sz w:val="18"/>
        </w:rPr>
        <w:t>Elsayad K et al.  ·  Strahlenther Onkol  ·  09.09.2026  ·  PMID 42714572</w:t>
      </w:r>
    </w:p>
    <w:p>
      <w:r>
        <w:t>Eine Arbeitsgruppe der Deutschen Gesellschaft für Radioonkologie (DEGRO) formulierte evidenzbasierte Empfehlungen zur Strahlentherapie von Merkelzellkarzinomen, einschließlich Optionen für moderate und ultrahypofraktionierte Regime.</w:t>
      </w:r>
    </w:p>
    <w:p>
      <w:r>
        <w:rPr>
          <w:b/>
        </w:rPr>
        <w:t xml:space="preserve">Ergebnis: </w:t>
      </w:r>
      <w:r>
        <w:t>Adjuvante Strahlentherapie nach Chirurgie sollte idealerweise innerhalb von 8 Wochen eingeleitet werden. Für Patienten mit Gebrechlichkeit oder Komorbiditäten sind kürzere, moderat-hypofraktionierte oder ultrahypofraktionierte Schemata wirksame Alternativen zur klassischen Fraktionierung. Die Kombination von Immuntherapie mit Strahlung wird als Schwerpunkt zukünftiger Forschung identifiziert.</w:t>
      </w:r>
    </w:p>
    <w:p>
      <w:r>
        <w:rPr>
          <w:b/>
          <w:sz w:val="19"/>
        </w:rPr>
        <w:t xml:space="preserve">Übertragbarkeit: </w:t>
      </w:r>
      <w:r>
        <w:rPr>
          <w:sz w:val="19"/>
        </w:rPr>
        <w:t>Deutsche Fachgesellschafts-Leitlinie; direkte Implementierbarkeit in Zertifizierungsprozesse und klinische Routine.</w:t>
      </w:r>
    </w:p>
    <w:p>
      <w:r>
        <w:rPr>
          <w:color w:val="5A7D3A"/>
          <w:sz w:val="18"/>
        </w:rPr>
        <w:t>https://pubmed.ncbi.nlm.nih.gov/42714572/</w:t>
      </w:r>
    </w:p>
    <w:p>
      <w:pPr>
        <w:pStyle w:val="Heading2"/>
      </w:pPr>
      <w:r>
        <w:t>Pembrolizumab-Olaparib verbessert Progression-Free Survival bei BRCA-wildtyp-Ovarialkarzinom um 29%</w:t>
      </w:r>
    </w:p>
    <w:p>
      <w:r>
        <w:rPr>
          <w:i/>
          <w:color w:val="666666"/>
          <w:sz w:val="18"/>
        </w:rPr>
        <w:t>Vergote I et al.  ·  Lancet Oncol  ·  07.09.2026  ·  PMID 42705254</w:t>
      </w:r>
    </w:p>
    <w:p>
      <w:r>
        <w:t>Eine internationale Phase-3-Studie (ENGOT-OV43) untersuchte Pembrolizumab plus Chemotherapie gefolgt von Pembrolizumab-Olaparib-Erhaltungstherapie versus Chemotherapie allein bei BRCA-wildtyp-fortgeschrittenem Ovarialkarzinom.</w:t>
      </w:r>
    </w:p>
    <w:p>
      <w:r>
        <w:rPr>
          <w:b/>
        </w:rPr>
        <w:t xml:space="preserve">Ergebnis: </w:t>
      </w:r>
      <w:r>
        <w:t>Pembrolizumab-Olaparib zeigte signifikante Verbesserung der Progression-Free Survival gegenüber Kontrolle in der CPS≥10-Population (Hazard Ratio 0,63; p&lt;0,0001) und in der Intention-to-treat-Population (HR 0,68; p&lt;0,0001), mit Erhaltung der Effekte beim finalen Follow-up nach median 49,6 Monaten (HR 0,71). Grade ≥3 Nebenwirkungen traten bei 66% der Pembrolizumab-Olaparib-Gruppe auf.</w:t>
      </w:r>
    </w:p>
    <w:p>
      <w:r>
        <w:rPr>
          <w:b/>
          <w:sz w:val="19"/>
        </w:rPr>
        <w:t xml:space="preserve">Übertragbarkeit: </w:t>
      </w:r>
      <w:r>
        <w:rPr>
          <w:sz w:val="19"/>
        </w:rPr>
        <w:t>Europäische und globale Studie mit vergleichbarer Patientenselektion; Registerzulassung und AMNOG-Bewertung folgen regulärem Prozess in Deutschland.</w:t>
      </w:r>
    </w:p>
    <w:p>
      <w:r>
        <w:rPr>
          <w:color w:val="5A7D3A"/>
          <w:sz w:val="18"/>
        </w:rPr>
        <w:t>https://pubmed.ncbi.nlm.nih.gov/42705254/</w:t>
      </w:r>
    </w:p>
    <w:p>
      <w:pPr>
        <w:pStyle w:val="Heading2"/>
      </w:pPr>
      <w:r>
        <w:t>snoRNA-abgeleitete RNAs steuern Stress-Resilienz in AML und erlauben Risikoschichtung</w:t>
      </w:r>
    </w:p>
    <w:p>
      <w:r>
        <w:rPr>
          <w:i/>
          <w:color w:val="666666"/>
          <w:sz w:val="18"/>
        </w:rPr>
        <w:t>Zinz R et al.  ·  Leukemia  ·  04.09.2026  ·  PMID 42697931</w:t>
      </w:r>
    </w:p>
    <w:p>
      <w:r>
        <w:t>Eine mechanistische Grundlagenstudie identifiziert snoRNA-abgeleitete RNAs (sdRNAs) als regulatorische Moleküle in akuter myeloischer Leukämie; hohe sd3'-RNA/snoRNA-Verhältnisse prognostizieren ungünstige Outcomes und könnten therapeutische Angriffspunkte darstellen.</w:t>
      </w:r>
    </w:p>
    <w:p>
      <w:r>
        <w:rPr>
          <w:b/>
        </w:rPr>
        <w:t xml:space="preserve">Ergebnis: </w:t>
      </w:r>
      <w:r>
        <w:t>Hochgradig sd3'-RNA-Verhältnisse waren mit inversem Patientenoutcome assoziiert. Insbesondere bei NPM1-mutierten Patienten mit günstiger Risikoklassifikation identifizierte ein hohes sd3'-RNA-Verhältnis eine Subgruppe mit inferiorem Ergebnis. Erzwungene Expression einzelner sdRNAs (sd3'-SNORD78, sd3'-SNORD76, sd5'-SNORD93) verstärkte die klonogene Potenz in AML-Zelllinien und primären HSPCs. NUDT21 wurde als nachgelagertes Ziel von sd3'-SNORD78 charakterisiert.</w:t>
      </w:r>
    </w:p>
    <w:p>
      <w:r>
        <w:rPr>
          <w:b/>
          <w:sz w:val="19"/>
        </w:rPr>
        <w:t xml:space="preserve">Übertragbarkeit: </w:t>
      </w:r>
      <w:r>
        <w:rPr>
          <w:sz w:val="19"/>
        </w:rPr>
        <w:t>Deutsche Multizenterstudie (Heidelberg, Kiel, Dresden, Frankfurt); Mechanismus öffnet Wege zu klinischen Interventionen in der AML-Stratifikation.</w:t>
      </w:r>
    </w:p>
    <w:p>
      <w:r>
        <w:rPr>
          <w:color w:val="5A7D3A"/>
          <w:sz w:val="18"/>
        </w:rPr>
        <w:t>https://pubmed.ncbi.nlm.nih.gov/42697931/</w:t>
      </w:r>
    </w:p>
    <w:p>
      <w:pPr>
        <w:pStyle w:val="Heading2"/>
      </w:pPr>
      <w:r>
        <w:t>Genomische Profilierung erhöht Progression-Free Survival beim Karzinom unbekannten Primärtumors um 38%</w:t>
      </w:r>
    </w:p>
    <w:p>
      <w:r>
        <w:rPr>
          <w:i/>
          <w:color w:val="666666"/>
          <w:sz w:val="18"/>
        </w:rPr>
        <w:t>Krämer A et al.  ·  J Clin Oncol  ·  03.09.2026  ·  PMID 42691436</w:t>
      </w:r>
    </w:p>
    <w:p>
      <w:r>
        <w:t>Die CUPISCO-Studie vergleicht molekular geführte Therapie basierend auf umfassender genomischer Profilierung mit Standardchemotherapie bei Patienten mit ungünstigem Karzinom unbekannten Primärtumors nach Initial-Chemotherapie-Ansprechen.</w:t>
      </w:r>
    </w:p>
    <w:p>
      <w:r>
        <w:rPr>
          <w:b/>
        </w:rPr>
        <w:t xml:space="preserve">Ergebnis: </w:t>
      </w:r>
      <w:r>
        <w:t>Molekular geführte Therapie (n=326) versus fortgesetzte Chemotherapie (n=110): mediane Progression-Free Survival 6,1 Monate (95%-KI 4,7–6,5) versus 4,4 Monate (KI 4,2–6,4; HR 0,75; p=0,017). Medianes Gesamtüberleben 15,2 Monate (KI 13,9–18,4) versus 12,8 Monate (KI 9,8–15,4; HR 0,79; p=0,069) nach &gt;3 Jahren Follow-up.</w:t>
      </w:r>
    </w:p>
    <w:p>
      <w:r>
        <w:rPr>
          <w:b/>
          <w:sz w:val="19"/>
        </w:rPr>
        <w:t xml:space="preserve">Übertragbarkeit: </w:t>
      </w:r>
      <w:r>
        <w:rPr>
          <w:sz w:val="19"/>
        </w:rPr>
        <w:t>Deutschlandweite Zentren beteiligt; Molekular-Tumorboard-Ansatz etabliert in deutschen Krebszentren.</w:t>
      </w:r>
    </w:p>
    <w:p>
      <w:r>
        <w:rPr>
          <w:color w:val="5A7D3A"/>
          <w:sz w:val="18"/>
        </w:rPr>
        <w:t>https://pubmed.ncbi.nlm.nih.gov/42691436/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Onkologie</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