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737360" cy="4596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vf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37360" cy="4596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0051A1"/>
          <w:sz w:val="19"/>
        </w:rPr>
        <w:t>Ein Service des Knowledge-Hubs von Monitor Versorgungsforschung. Täglich automatisiert KI-kuratiert aus PubMed und auf Deutsch übersetzt.</w:t>
      </w:r>
    </w:p>
    <w:p>
      <w:pPr>
        <w:pStyle w:val="Title"/>
      </w:pPr>
      <w:r>
        <w:t>Neueste Studien - Onkologie</w:t>
      </w:r>
    </w:p>
    <w:p>
      <w:r>
        <w:rPr>
          <w:i/>
          <w:color w:val="666666"/>
          <w:sz w:val="18"/>
        </w:rPr>
        <w:t>Stand: 25.10.2026  |  6 Studien  |  onkologie.m-vf.de</w:t>
      </w:r>
    </w:p>
    <w:p>
      <w:pPr>
        <w:pStyle w:val="Heading1"/>
      </w:pPr>
      <w:r>
        <w:t>Aufgenommen am 25.10.2026</w:t>
      </w:r>
    </w:p>
    <w:p>
      <w:pPr>
        <w:pStyle w:val="Heading2"/>
      </w:pPr>
      <w:r>
        <w:t>mKRAS-Impfstoff Camupepimut beim PDAC: DFS-Vorteil nur in Subgruppe, Biomarker vielversprechend</w:t>
      </w:r>
    </w:p>
    <w:p>
      <w:r>
        <w:rPr>
          <w:i/>
          <w:color w:val="666666"/>
          <w:sz w:val="18"/>
        </w:rPr>
        <w:t>George B et al.  ·  Nat Med  ·  23.10.2026  ·  PMID 42919966</w:t>
      </w:r>
    </w:p>
    <w:p>
      <w:r>
        <w:t>Phase-2-Randomisierungsstudie zum personalisierten mKRAS-spezifischen Impfstoff (ELI-002 7P/Camupepimut) bei Patienten mit KRAS-mutiertem PDAC (Stadium I–III) ohne Rezidiv innerhalb 6 Monaten nach Standardtherapie.</w:t>
      </w:r>
    </w:p>
    <w:p>
      <w:r>
        <w:rPr>
          <w:b/>
        </w:rPr>
        <w:t xml:space="preserve">Ergebnis: </w:t>
      </w:r>
      <w:r>
        <w:t>Primäres Ziel (DFS) nicht erreicht: medianes DFS 23,8 vs. 21,2 Monate (HR 0,85; p=0,53). Numerischer DFS-Vorteil 6-Monate 75,7 % vs. 61,7 % (HR 0,55; p=0,056). Post-hoc-Analyse: Camupepimut korrelierte mit verbessertem DFS (adjust. HR 0,47; p=0,0086). mKRAS-spezifische T-Zell-Response 98,9 %; Response &gt;9,17-fach über Baseline (82,2 %) mit verbessertem DFS (HR 0,22; p&lt;0,0001). Sicherheit vergleichbar zur Kontrolle.</w:t>
      </w:r>
    </w:p>
    <w:p>
      <w:r>
        <w:rPr>
          <w:b/>
          <w:sz w:val="19"/>
        </w:rPr>
        <w:t xml:space="preserve">Übertragbarkeit: </w:t>
      </w:r>
      <w:r>
        <w:rPr>
          <w:sz w:val="19"/>
        </w:rPr>
        <w:t>Multizentrische USA-Studie, aber Vakzin-Immunogenität-Befund übertragbar; KRAS-Mutationen global stratifizierbar; ermutigendes Signal für Phase-3-Validierung.</w:t>
      </w:r>
    </w:p>
    <w:p>
      <w:r>
        <w:rPr>
          <w:color w:val="5A7D3A"/>
          <w:sz w:val="18"/>
        </w:rPr>
        <w:t>https://pubmed.ncbi.nlm.nih.gov/42919966/</w:t>
      </w:r>
    </w:p>
    <w:p>
      <w:pPr>
        <w:pStyle w:val="Heading2"/>
      </w:pPr>
      <w:r>
        <w:t>Relatlimab + Nivolumab + Chemotherapie beim NSCLC: Subgruppen-Trend ohne Primärziel-Erfolg</w:t>
      </w:r>
    </w:p>
    <w:p>
      <w:r>
        <w:rPr>
          <w:i/>
          <w:color w:val="666666"/>
          <w:sz w:val="18"/>
        </w:rPr>
        <w:t>Girard N et al.  ·  Ann Oncol  ·  23.10.2026  ·  PMID 42918419</w:t>
      </w:r>
    </w:p>
    <w:p>
      <w:r>
        <w:t>Phase-II-Studie zur Kombination von Immune-Checkpoint-Inhibitoren (Nivolumab und Relatlimab) mit Chemotherapie versus Chemotherapie allein beim metastasierten oder rezidivierten NSCLC.</w:t>
      </w:r>
    </w:p>
    <w:p>
      <w:r>
        <w:rPr>
          <w:b/>
        </w:rPr>
        <w:t xml:space="preserve">Ergebnis: </w:t>
      </w:r>
      <w:r>
        <w:t>Primäres Ziel (Ansprechrate) nicht erreicht: 51,3 % vs. 45,0 % (p nicht signifikant). PFS-Hazard Ratio 0,89 (90%-CI 0,72–1,09). In der Subgruppe PD-L1 ≥1 % mit nichtsquamöser Histologie zeigten sich günstige Trends (ORR 58,0 % vs. 39,6 %; PFS HR 0,68; potenzieller OS-Vorteil HR 0,60). Sicherheitsprofil vertretbar.</w:t>
      </w:r>
    </w:p>
    <w:p>
      <w:r>
        <w:rPr>
          <w:b/>
          <w:sz w:val="19"/>
        </w:rPr>
        <w:t xml:space="preserve">Übertragbarkeit: </w:t>
      </w:r>
      <w:r>
        <w:rPr>
          <w:sz w:val="19"/>
        </w:rPr>
        <w:t>Multinationale Phase-II-Studie, europäische Sites inkludiert; Biomarker-Stratifizierung übertragbar auf deutsche Tumorkonferenzen.</w:t>
      </w:r>
    </w:p>
    <w:p>
      <w:r>
        <w:rPr>
          <w:color w:val="5A7D3A"/>
          <w:sz w:val="18"/>
        </w:rPr>
        <w:t>https://pubmed.ncbi.nlm.nih.gov/42918419/</w:t>
      </w:r>
    </w:p>
    <w:p>
      <w:pPr>
        <w:pStyle w:val="Heading2"/>
      </w:pPr>
      <w:r>
        <w:t>SBRT + Chemotherapie vs. Chemotherapie beim hochrisiko-PDAC: 20,2 % vs. 52,0 % lokale Rezidive</w:t>
      </w:r>
    </w:p>
    <w:p>
      <w:r>
        <w:rPr>
          <w:i/>
          <w:color w:val="666666"/>
          <w:sz w:val="18"/>
        </w:rPr>
        <w:t>Oar A et al.  ·  Lancet Oncol  ·  23.10.2026  ·  PMID 42914998</w:t>
      </w:r>
    </w:p>
    <w:p>
      <w:r>
        <w:t>Phase-2-Randomisierungs-Studie aus Australien/Neuseeland zur Zugabe von stereotaktischer Bestrahlung (40 Gy/5 Fraktionen) zu neoadjuvanter Chemotherapie beim lokalisierten PDAC mit Hochrisiko-Merkmalen.</w:t>
      </w:r>
    </w:p>
    <w:p>
      <w:r>
        <w:rPr>
          <w:b/>
        </w:rPr>
        <w:t xml:space="preserve">Ergebnis: </w:t>
      </w:r>
      <w:r>
        <w:t>12-Monats-Lokoregionalrezidiv 20,2 % (95%-CI 9,9–33,1) mit SBRT vs. 52,0 % (30,3–69,9) ohne SBRT (Hazard Ratio 0,44; p=0,022). Gesamtüberleben und PFS zeigten keinen Unterschied. Grad-3+-Nebenwirkungen 70 % vs. 64 % (p=0,27). Zwei behandlungsbedingte ernste unerwünschte Ereignisse unter SBRT.</w:t>
      </w:r>
    </w:p>
    <w:p>
      <w:r>
        <w:rPr>
          <w:b/>
          <w:sz w:val="19"/>
        </w:rPr>
        <w:t xml:space="preserve">Übertragbarkeit: </w:t>
      </w:r>
      <w:r>
        <w:rPr>
          <w:sz w:val="19"/>
        </w:rPr>
        <w:t>Australische/Neuseeländische Gesundheitssysteme; vergleichbar mit europäischem Versorgungsstandard; Transfer zu MASTERPLAN-ähnlichen deutschen Zentren möglich.</w:t>
      </w:r>
    </w:p>
    <w:p>
      <w:r>
        <w:rPr>
          <w:color w:val="5A7D3A"/>
          <w:sz w:val="18"/>
        </w:rPr>
        <w:t>https://pubmed.ncbi.nlm.nih.gov/42914998/</w:t>
      </w:r>
    </w:p>
    <w:p>
      <w:pPr>
        <w:pStyle w:val="Heading2"/>
      </w:pPr>
      <w:r>
        <w:t>Cervixkarzinom: ESMO-Leitlinie 2026 für Diagnostik, Therapie und Nachsorge</w:t>
      </w:r>
    </w:p>
    <w:p>
      <w:r>
        <w:rPr>
          <w:i/>
          <w:color w:val="666666"/>
          <w:sz w:val="18"/>
        </w:rPr>
        <w:t>Lorusso D et al.  ·  ESMO Open  ·  24.09.2026  ·  PMID 42914498</w:t>
      </w:r>
    </w:p>
    <w:p>
      <w:r>
        <w:t>Aktualisierte klinische Leitlinie der Europäischen Gesellschaft für Medizinische Onkologie zu Diagnose, Behandlung und Nachsorge des Cervixkarzinoms mit internationaler Expertenkonsensus.</w:t>
      </w:r>
    </w:p>
    <w:p>
      <w:r>
        <w:rPr>
          <w:b/>
        </w:rPr>
        <w:t xml:space="preserve">Ergebnis: </w:t>
      </w:r>
      <w:r>
        <w:t>Leitlinie mit consensus-basierten Empfehlungen zur Diagnostik (HPV-Screening, Konisation), Therapieoptionen nach Risikostratifizierung (Stadium, Histologie), Strahlentherapie-Standards und Nachsorge. Besondere Beachtung: Management früher Stadien, neoadjuvante vs. adjuvante Chemotherapie, Rolle von Immuntherapie in fortgeschrittenen Stadien.</w:t>
      </w:r>
    </w:p>
    <w:p>
      <w:r>
        <w:rPr>
          <w:b/>
          <w:sz w:val="19"/>
        </w:rPr>
        <w:t xml:space="preserve">Übertragbarkeit: </w:t>
      </w:r>
      <w:r>
        <w:rPr>
          <w:sz w:val="19"/>
        </w:rPr>
        <w:t>ESMO-Leitlinie mit europäischem Konsens; direkt übertragbar auf deutsche Leitlinienprozesse und Zertifizierungsvorgaben.</w:t>
      </w:r>
    </w:p>
    <w:p>
      <w:r>
        <w:rPr>
          <w:color w:val="5A7D3A"/>
          <w:sz w:val="18"/>
        </w:rPr>
        <w:t>https://pubmed.ncbi.nlm.nih.gov/42914498/</w:t>
      </w:r>
    </w:p>
    <w:p>
      <w:pPr>
        <w:pStyle w:val="Heading2"/>
      </w:pPr>
      <w:r>
        <w:t>STAT2-Intronretention korreliert mit Immuntherapie-Response bei Lungenadenokarzinom</w:t>
      </w:r>
    </w:p>
    <w:p>
      <w:r>
        <w:rPr>
          <w:i/>
          <w:color w:val="666666"/>
          <w:sz w:val="18"/>
        </w:rPr>
        <w:t>Englander RP et al.  ·  Science  ·  22.10.2026  ·  PMID 42912151</w:t>
      </w:r>
    </w:p>
    <w:p>
      <w:r>
        <w:t>Grundlagenforschung zur alternativen RNA-Spleiße: Long-read-Sequenzierung von Lungenadenokarzinomen identifiziert über 149.000 volle mRNA-Isoformen, von denen viele in Immungenen liegen; funktionale Charakterisierung von STAT2-Intronretention als Regulator der Interferon-Antwort und Prädiktor für PD-L1-Immuntherapie-Response.</w:t>
      </w:r>
    </w:p>
    <w:p>
      <w:r>
        <w:rPr>
          <w:b/>
        </w:rPr>
        <w:t xml:space="preserve">Ergebnis: </w:t>
      </w:r>
      <w:r>
        <w:t>Intronretention im STAT2-Gen erzeugt veränderte Protein-Isoformen, die Immunsignalisierung und Interferon-Antworten regulieren. STAT2-spezifische Intronretention korreliert mit Patientenüberleben nach Anti-PD-L1-Immuntherapie. Alternative Spleiße erkannt als Regulator der Tumor-Immunantwort; Intronretention als Interferon-regulatorische Achse mit Vorhersagekraft.</w:t>
      </w:r>
    </w:p>
    <w:p>
      <w:r>
        <w:rPr>
          <w:b/>
          <w:sz w:val="19"/>
        </w:rPr>
        <w:t xml:space="preserve">Übertragbarkeit: </w:t>
      </w:r>
      <w:r>
        <w:rPr>
          <w:sz w:val="19"/>
        </w:rPr>
        <w:t>Humane primäre Lungentumoren; molekularer Mechanismus mit Weg zur Klinik (Biomarker-Prädikation); USA-Studie, aber Biomarker-Befund therapieunabhängig.</w:t>
      </w:r>
    </w:p>
    <w:p>
      <w:r>
        <w:rPr>
          <w:color w:val="5A7D3A"/>
          <w:sz w:val="18"/>
        </w:rPr>
        <w:t>https://pubmed.ncbi.nlm.nih.gov/42912151/</w:t>
      </w:r>
    </w:p>
    <w:p>
      <w:pPr>
        <w:pStyle w:val="Heading2"/>
      </w:pPr>
      <w:r>
        <w:t>Mirvetuximab + Carboplatin beim platinsensitiven Ovarialkarzinom: 62,7 % Ansprechrate</w:t>
      </w:r>
    </w:p>
    <w:p>
      <w:r>
        <w:rPr>
          <w:i/>
          <w:color w:val="666666"/>
          <w:sz w:val="18"/>
        </w:rPr>
        <w:t>Konecny GE et al.  ·  Clin Cancer Res  ·  21.10.2026  ·  PMID 42905759</w:t>
      </w:r>
    </w:p>
    <w:p>
      <w:r>
        <w:t>Phase-2-Studie zur Kombination des Folat-Rezeptor-alpha-gerichteten Antikörper-Wirkstoff-Konjugats Mirvetuximab mit Carboplatin beim rezidivierten, platinsensitiven Ovarialkarzinom mit FRα-Expression.</w:t>
      </w:r>
    </w:p>
    <w:p>
      <w:r>
        <w:rPr>
          <w:b/>
        </w:rPr>
        <w:t xml:space="preserve">Ergebnis: </w:t>
      </w:r>
      <w:r>
        <w:t>ORR 62,7 % (95%-CI 52,6–72,1) in der FRα-≥50%-Gruppe; 81 % der Patienten setzten mit Monotherapie fort. Medianes PFS 11,0 Monate (9,8–13,1). Häufigste AEs: verschwommenes Sehen (81 %), Hornhautveränderungen (74 %, 96,7 % Grad ≤1). Pneumonitis-Rate 15,2 % (2 Todesfälle). 15 % Abbruch wegen Mirvetuximab, 9 % wegen Carboplatin.</w:t>
      </w:r>
    </w:p>
    <w:p>
      <w:r>
        <w:rPr>
          <w:b/>
          <w:sz w:val="19"/>
        </w:rPr>
        <w:t xml:space="preserve">Übertragbarkeit: </w:t>
      </w:r>
      <w:r>
        <w:rPr>
          <w:sz w:val="19"/>
        </w:rPr>
        <w:t>Nordamerikanische und europäische Sites; FRα-Expression messbar in deutschen Pathologien; Antikörper-Wirkstoff-Konjugate etablierte Substanzklasse.</w:t>
      </w:r>
    </w:p>
    <w:p>
      <w:r>
        <w:rPr>
          <w:color w:val="5A7D3A"/>
          <w:sz w:val="18"/>
        </w:rPr>
        <w:t>https://pubmed.ncbi.nlm.nih.gov/42905759/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Neueste Studien - Onkologie</dc:title>
  <dc:subject/>
  <dc:creator>Monitor Versorgungsforschung</dc:creator>
  <cp:keywords/>
  <dc:description>generated by python-docx</dc:description>
  <cp:lastModifiedBy/>
  <cp:revision>1</cp:revision>
  <dcterms:created xsi:type="dcterms:W3CDTF">2026-10-25T06:00:00Z</dcterms:created>
  <dcterms:modified xsi:type="dcterms:W3CDTF">2026-10-25T06:00:00Z</dcterms:modified>
  <cp:category/>
</cp:coreProperties>
</file>