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Onkologie</w:t>
      </w:r>
    </w:p>
    <w:p>
      <w:r>
        <w:rPr>
          <w:i/>
          <w:color w:val="666666"/>
          <w:sz w:val="18"/>
        </w:rPr>
        <w:t>Stand: 07.10.2026  |  177 Studien  |  onkologie.m-vf.de</w:t>
      </w:r>
    </w:p>
    <w:p>
      <w:pPr>
        <w:pStyle w:val="Heading1"/>
      </w:pPr>
      <w:r>
        <w:t>Aufgenommen am 07.10.2026</w:t>
      </w:r>
    </w:p>
    <w:p>
      <w:pPr>
        <w:pStyle w:val="Heading2"/>
      </w:pPr>
      <w:r>
        <w:t>Saure Mikroumgebung vermindert CD8-Immunität: Zielstruktur für Immuntherapie-Resistenz bei Magenkrebs</w:t>
      </w:r>
    </w:p>
    <w:p>
      <w:r>
        <w:rPr>
          <w:i/>
          <w:color w:val="666666"/>
          <w:sz w:val="18"/>
        </w:rPr>
        <w:t>Wang T et al.  ·  Cancer Cell  ·  06.10.2026  ·  PMID 42838052</w:t>
      </w:r>
    </w:p>
    <w:p>
      <w:r>
        <w:t>Einzelzell-Chromatin-Accessibility-Atlas von 650 Proben aus 439 Patienten mit multistep-Magenkrebsentstehung zur Identifikation epigenomischer Subtypen und ihrer Immuntherapie-Sensitivität.</w:t>
      </w:r>
    </w:p>
    <w:p>
      <w:r>
        <w:rPr>
          <w:b/>
        </w:rPr>
        <w:t xml:space="preserve">Ergebnis: </w:t>
      </w:r>
      <w:r>
        <w:t>Drei epigenomische Subtypen: proliferativ und mesenchymal-inflammatorisch sind sensitiv für neoadjuvante Immuntherapie. Ein dritter, pseudo-gastraler Subtyp ist intrinsisch therapieresistent, gekennzeichnet durch FOSL2-getriebene H+/K+-ATPase-Expression und Acidifiez­rung. Inhibition durch FOSL2-Depletion oder Vonoprazan (verfügbarer H+-Blocker) sensibilisiert für Immuntherapie und unterdrückt CD8+ T-Zellen.</w:t>
      </w:r>
    </w:p>
    <w:p>
      <w:r>
        <w:rPr>
          <w:b/>
          <w:sz w:val="19"/>
        </w:rPr>
        <w:t xml:space="preserve">Übertragbarkeit: </w:t>
      </w:r>
      <w:r>
        <w:rPr>
          <w:sz w:val="19"/>
        </w:rPr>
        <w:t>China, Mechanismus epigenetisch fundiert; Vonoprazan in Deutschland zugelassen, klinische Translation noch offen.</w:t>
      </w:r>
    </w:p>
    <w:p>
      <w:r>
        <w:rPr>
          <w:color w:val="5A7D3A"/>
          <w:sz w:val="18"/>
        </w:rPr>
        <w:t>https://pubmed.ncbi.nlm.nih.gov/42838052/</w:t>
      </w:r>
    </w:p>
    <w:p>
      <w:pPr>
        <w:pStyle w:val="Heading2"/>
      </w:pPr>
      <w:r>
        <w:t>Glofitamab plus Polatuzumab-R-CHP: 95% Complete-Response-Rate bei DLBCL</w:t>
      </w:r>
    </w:p>
    <w:p>
      <w:r>
        <w:rPr>
          <w:i/>
          <w:color w:val="666666"/>
          <w:sz w:val="18"/>
        </w:rPr>
        <w:t>Crombie JL et al.  ·  Blood  ·  06.10.2026  ·  PMID 42837325</w:t>
      </w:r>
    </w:p>
    <w:p>
      <w:r>
        <w:t>Phase-II-Studie zur Kombination des CD3xCD20-Bispecific-Antikörpers Glofitamab mit Polatuzumab und Standardchemotherapie (pola-R-CHP) bei neu diagnostiziertem diffusem großzelligem B-Zell-Lymphom mit IPI ≥2.</w:t>
      </w:r>
    </w:p>
    <w:p>
      <w:r>
        <w:rPr>
          <w:b/>
        </w:rPr>
        <w:t xml:space="preserve">Ergebnis: </w:t>
      </w:r>
      <w:r>
        <w:t>Best Complete-Response-Rate 95% (39/41; 95%-KI 83–99), beide Patienten mit Partialremission konvertierten ohne Intervention. Bei Median-Follow-up 23,9 Monate: 24-Monats-PFS 95% (95%-KI 89–100). Cytokine-Release-Syndrome nur Grad 1 (n=4, 10%), keine Neurotoxizität. Vorläufig belastbare Ansprechraten und Verträglichkeit.</w:t>
      </w:r>
    </w:p>
    <w:p>
      <w:r>
        <w:rPr>
          <w:b/>
          <w:sz w:val="19"/>
        </w:rPr>
        <w:t xml:space="preserve">Übertragbarkeit: </w:t>
      </w:r>
      <w:r>
        <w:rPr>
          <w:sz w:val="19"/>
        </w:rPr>
        <w:t>USA, ähnlicher Ressourcenausstattung wie deutsches System; Zulassung noch zu klären.</w:t>
      </w:r>
    </w:p>
    <w:p>
      <w:r>
        <w:rPr>
          <w:color w:val="5A7D3A"/>
          <w:sz w:val="18"/>
        </w:rPr>
        <w:t>https://pubmed.ncbi.nlm.nih.gov/42837325/</w:t>
      </w:r>
    </w:p>
    <w:p>
      <w:pPr>
        <w:pStyle w:val="Heading2"/>
      </w:pPr>
      <w:r>
        <w:t>Telomerlänge prognostiziert Progression bei CLL unter Venetoclax-Therapie</w:t>
      </w:r>
    </w:p>
    <w:p>
      <w:r>
        <w:rPr>
          <w:i/>
          <w:color w:val="666666"/>
          <w:sz w:val="18"/>
        </w:rPr>
        <w:t>Jebaraj BMC et al.  ·  Blood  ·  06.10.2026  ·  PMID 42837320</w:t>
      </w:r>
    </w:p>
    <w:p>
      <w:r>
        <w:t>Prospektive Analyse von 917 Patientenproben aus den randomisierten Studien GAIA/CLL13 und CLL2-GIVe zu prognostischer Bedeutung der Telomerlänge unter modernen Targeted Therapies bei chronischer lymphatischer Leukämie.</w:t>
      </w:r>
    </w:p>
    <w:p>
      <w:r>
        <w:rPr>
          <w:b/>
        </w:rPr>
        <w:t xml:space="preserve">Ergebnis: </w:t>
      </w:r>
      <w:r>
        <w:t>Kurze Telomere (Cutoff 4,17 kb) korrelierten mit ungünstigen klinischen und genetischen Merkmalen (alle p&lt;0,01). Sie waren unabhängiger Prognosefaktor für verkürztes progressionsfreies Überleben in allen Behandlungsarmen (p&lt;0,01), in der Chemoimmunotherapie auch für Gesamtüberleben (p=0,024). Unter Venetoclax-basierten Kombinationen: Median-PFS 7 Jahre bei langen Telomeren, deutlich kürzer bei kurzen.</w:t>
      </w:r>
    </w:p>
    <w:p>
      <w:r>
        <w:rPr>
          <w:b/>
          <w:sz w:val="19"/>
        </w:rPr>
        <w:t xml:space="preserve">Übertragbarkeit: </w:t>
      </w:r>
      <w:r>
        <w:rPr>
          <w:sz w:val="19"/>
        </w:rPr>
        <w:t>Deutsche und europäische Multizenterstudie, direkt auf deutsches Krebszentrumsetting übertragbar.</w:t>
      </w:r>
    </w:p>
    <w:p>
      <w:r>
        <w:rPr>
          <w:color w:val="5A7D3A"/>
          <w:sz w:val="18"/>
        </w:rPr>
        <w:t>https://pubmed.ncbi.nlm.nih.gov/42837320/</w:t>
      </w:r>
    </w:p>
    <w:p>
      <w:pPr>
        <w:pStyle w:val="Heading2"/>
      </w:pPr>
      <w:r>
        <w:t>21-Gen-Recurrence-Score bei pN2-3 Brustkrebs: OS-Vorteil durch Chemotherapie</w:t>
      </w:r>
    </w:p>
    <w:p>
      <w:r>
        <w:rPr>
          <w:i/>
          <w:color w:val="666666"/>
          <w:sz w:val="18"/>
        </w:rPr>
        <w:t>Valenza C et al.  ·  J Natl Cancer Inst  ·  06.10.2026  ·  PMID 42836707</w:t>
      </w:r>
    </w:p>
    <w:p>
      <w:r>
        <w:t>Nationale retrospektive Kohortenstudie (USA, NCDB) an 3.110 von 50.229 Patienten mit hormonrezeptorpositivem/HER2-negativem Brustkrebs (pN2-3) und 21-Gen-RS ≤25 zum Nutzen adjuvanter Chemotherapie trotz niedriger genetischer Risikogruppe.</w:t>
      </w:r>
    </w:p>
    <w:p>
      <w:r>
        <w:rPr>
          <w:b/>
        </w:rPr>
        <w:t xml:space="preserve">Ergebnis: </w:t>
      </w:r>
      <w:r>
        <w:t>Unter 2.058 getesteten Patienten mit RS ≤25 (Median 15) erhielten 68% Chemotherapie. Bei Median-Follow-up 5,3 Jahre: Adjustierte HR für Gesamtüberleben (Chemotherapie vs. keine) 0,62 (95%-KI 0,48–0,81; p=0,0002). Autoren warnen vor Confounder-by-Indication und fordern RCTs – Ergebnis unter Vorbehalt.</w:t>
      </w:r>
    </w:p>
    <w:p>
      <w:r>
        <w:rPr>
          <w:b/>
          <w:sz w:val="19"/>
        </w:rPr>
        <w:t xml:space="preserve">Übertragbarkeit: </w:t>
      </w:r>
      <w:r>
        <w:rPr>
          <w:sz w:val="19"/>
        </w:rPr>
        <w:t>USA-Klinikdaten, System unterscheidet sich; 21-Gen-Test in Deutschland begrenzt verfügbar.</w:t>
      </w:r>
    </w:p>
    <w:p>
      <w:r>
        <w:rPr>
          <w:color w:val="5A7D3A"/>
          <w:sz w:val="18"/>
        </w:rPr>
        <w:t>https://pubmed.ncbi.nlm.nih.gov/42836707/</w:t>
      </w:r>
    </w:p>
    <w:p>
      <w:pPr>
        <w:pStyle w:val="Heading2"/>
      </w:pPr>
      <w:r>
        <w:t>Antibody-Drug-Conjugates versus Chemotherapie: unterschiedliche Lebensqualitäts-Profile</w:t>
      </w:r>
    </w:p>
    <w:p>
      <w:r>
        <w:rPr>
          <w:i/>
          <w:color w:val="666666"/>
          <w:sz w:val="18"/>
        </w:rPr>
        <w:t>Milani M et al.  ·  Oncologist  ·  05.10.2026  ·  PMID 42834440</w:t>
      </w:r>
    </w:p>
    <w:p>
      <w:r>
        <w:t>Prospektive italienische Kohortenstudie (DAMA-Framework) mit elektronischen Patienten-Reported Outcome Measures (ePROMs) bei 122 Patientinnen mit metastasiertem Brustkrebs unter Second-Line-Therapie: 51 ADC vs. 71 konventionelle Chemotherapie, 6-Monats-Follow-up.</w:t>
      </w:r>
    </w:p>
    <w:p>
      <w:r>
        <w:rPr>
          <w:b/>
        </w:rPr>
        <w:t xml:space="preserve">Ergebnis: </w:t>
      </w:r>
      <w:r>
        <w:t>ADC-Gruppe: stärkerer Gewichtsverlust bei 3 Monaten (–3,1 vs. –1,2 kg), größerer Rückgang wöchentlicher körperlicher Aktivität (–41 vs. –22 Min./Woche), höhere psychische Belastung und Caregiver-Burden, aber niedrigere Schmerzwerte (3,7 vs. 5,3). Bei 6 Monaten: mehrere Unterschiede attenuiert. Physische Aktivität korrelierte nicht mit Schmerz, Stress oder Angst.</w:t>
      </w:r>
    </w:p>
    <w:p>
      <w:r>
        <w:rPr>
          <w:b/>
          <w:sz w:val="19"/>
        </w:rPr>
        <w:t xml:space="preserve">Übertragbarkeit: </w:t>
      </w:r>
      <w:r>
        <w:rPr>
          <w:sz w:val="19"/>
        </w:rPr>
        <w:t>Italien, innerhalb Europas übertragbar; ePROM-Ansatz für deutsche Versorgungsforschung relevant.</w:t>
      </w:r>
    </w:p>
    <w:p>
      <w:r>
        <w:rPr>
          <w:color w:val="5A7D3A"/>
          <w:sz w:val="18"/>
        </w:rPr>
        <w:t>https://pubmed.ncbi.nlm.nih.gov/42834440/</w:t>
      </w:r>
    </w:p>
    <w:p>
      <w:pPr>
        <w:pStyle w:val="Heading2"/>
      </w:pPr>
      <w:r>
        <w:t>Krebsinzidenz bei Kindern, Jugendlichen und jungen Erwachsenen in England 2001–2020</w:t>
      </w:r>
    </w:p>
    <w:p>
      <w:r>
        <w:rPr>
          <w:i/>
          <w:color w:val="666666"/>
          <w:sz w:val="18"/>
        </w:rPr>
        <w:t>Thompson S et al.  ·  Eur J Cancer  ·  02.10.2026  ·  PMID 42833137</w:t>
      </w:r>
    </w:p>
    <w:p>
      <w:r>
        <w:t>Nationale Registerstudie aus England (NDRS) zu Trends bei Neudiagnosen von Krebserkrankungen bei Unter-25-Jährigen über 20 Jahre mit Joinpoint-Analyse und Geschlechterstratifizierung.</w:t>
      </w:r>
    </w:p>
    <w:p>
      <w:r>
        <w:rPr>
          <w:b/>
        </w:rPr>
        <w:t xml:space="preserve">Ergebnis: </w:t>
      </w:r>
      <w:r>
        <w:t>Gesamtinzidenz 147 pro Million (0–14 Jahre) und 273 pro Million (15–24 Jahre). Lymphoidale Leukämie und Hirn-/ZNS-Tumoren: 46% der Diagnosen bei Kindern. Bei jungen Erwachsenen: Hodgkin-Lymphom 15%, malignes Melanom 9%, Hodenkrebs 24% der Männer. Kolorektaler Krebs bei 15–24-Jährigen: Anstieg bis 2015, dann APC –37,59% (p&lt;0,001). Schilddrüsenkrebs: kontinuierlicher Anstieg (APC +5,49%, p&lt;0,001). Gebärmutterhalskrebs Rückgang seit 2015 (APC –21,9%, p=0,03).</w:t>
      </w:r>
    </w:p>
    <w:p>
      <w:r>
        <w:rPr>
          <w:b/>
          <w:sz w:val="19"/>
        </w:rPr>
        <w:t xml:space="preserve">Übertragbarkeit: </w:t>
      </w:r>
      <w:r>
        <w:rPr>
          <w:sz w:val="19"/>
        </w:rPr>
        <w:t>England, vergleichbares Versicherungssystem, ähnliche Registerqualität wie Deutschland.</w:t>
      </w:r>
    </w:p>
    <w:p>
      <w:r>
        <w:rPr>
          <w:color w:val="5A7D3A"/>
          <w:sz w:val="18"/>
        </w:rPr>
        <w:t>https://pubmed.ncbi.nlm.nih.gov/42833137/</w:t>
      </w:r>
    </w:p>
    <w:p>
      <w:pPr>
        <w:pStyle w:val="Heading2"/>
      </w:pPr>
      <w:r>
        <w:t>Vaginales Östrogen bei Brust- und Gynäkologie-Krebsüberlebenden: Sicherheit und Wirksamkeit</w:t>
      </w:r>
    </w:p>
    <w:p>
      <w:r>
        <w:rPr>
          <w:i/>
          <w:color w:val="666666"/>
          <w:sz w:val="18"/>
        </w:rPr>
        <w:t>Burns JB et al.  ·  JCO Oncol Pract  ·  05.10.2026  ·  PMID 42832731</w:t>
      </w:r>
    </w:p>
    <w:p>
      <w:r>
        <w:t>Narrative Review zur Sicherheit und Wirksamkeit von Low-Dose-Vaginaloestrogen bei Behandlung von Genitourinary-Syndrome-of-Menopause (GSM) in Patienten mit früherer Brust- oder Gynäkologiakrebserkrankung basierend auf aktueller Literatur und Leitlinien.</w:t>
      </w:r>
    </w:p>
    <w:p>
      <w:r>
        <w:rPr>
          <w:b/>
        </w:rPr>
        <w:t xml:space="preserve">Ergebnis: </w:t>
      </w:r>
      <w:r>
        <w:t>Vaginoestrogen zeigt konsistent signifikante Verbesserung von GSM-Symptomen und Lebensqualität. Minimale systemische Absorption bei Low-Dose-Formulierungen (Serum-Estradiol bleibt postmenopausal). Große observationale Studien und Metaanalysen zeigen keinen erhöhten Brustkrebs-Rezidiv- oder Mortalitätsrisiko, auch bei Östrogenrezeptor-positivem Krebs und Tamoxifen-Therapie. Daten für Aromatase-Inhibitor-Patienten limitiert. Sicherheit und Wirksamkeit unterstützt bei Shared Decision-Making; nicht-hormonale Therapie erste Linie, Low-Dose-Vaginaloestrogen effektive Option bei refraktären Symptomen.</w:t>
      </w:r>
    </w:p>
    <w:p>
      <w:r>
        <w:rPr>
          <w:b/>
          <w:sz w:val="19"/>
        </w:rPr>
        <w:t xml:space="preserve">Übertragbarkeit: </w:t>
      </w:r>
      <w:r>
        <w:rPr>
          <w:sz w:val="19"/>
        </w:rPr>
        <w:t>Systematische Literaturübersicht, internationale Evidenz; deutsches Versorgungsprinzip des Shared Decision-Making abgedeckt.</w:t>
      </w:r>
    </w:p>
    <w:p>
      <w:r>
        <w:rPr>
          <w:color w:val="5A7D3A"/>
          <w:sz w:val="18"/>
        </w:rPr>
        <w:t>https://pubmed.ncbi.nlm.nih.gov/42832731/</w:t>
      </w:r>
    </w:p>
    <w:p>
      <w:pPr>
        <w:pStyle w:val="Heading1"/>
      </w:pPr>
      <w:r>
        <w:t>Aufgenommen am 06.10.2026</w:t>
      </w:r>
    </w:p>
    <w:p>
      <w:pPr>
        <w:pStyle w:val="Heading2"/>
      </w:pPr>
      <w:r>
        <w:t>EGCG reduziert EBV-Reaktivierung bei Nasopharynxkarzinom nicht</w:t>
      </w:r>
    </w:p>
    <w:p>
      <w:r>
        <w:rPr>
          <w:i/>
          <w:color w:val="666666"/>
          <w:sz w:val="18"/>
        </w:rPr>
        <w:t>Tsai HJ et al.  ·  Eur J Cancer  ·  01.10.2026  ·  PMID 42833136</w:t>
      </w:r>
    </w:p>
    <w:p>
      <w:r>
        <w:t>Randomisierte Studie bei 353 Patienten mit Nasopharynxkarzinom in Remission: Epigallocatechingallat (EGCG) aus grünem Tee versus Placebo für 3 Jahre zur Verhinderung von EBV-Reaktivierung und Tumorrezidiv.</w:t>
      </w:r>
    </w:p>
    <w:p>
      <w:r>
        <w:rPr>
          <w:b/>
        </w:rPr>
        <w:t xml:space="preserve">Ergebnis: </w:t>
      </w:r>
      <w:r>
        <w:t>EGCG reduzierte weder die EBV-DNA-Reaktivierungsrate noch die Rezidivrate signifikant. Positive plasma-EBV-DNA war jedoch stark mit hoher Rezidivrate und kürzerer rezidivfreier sowie Gesamtüberlebenszeit assoziiert (alle p&lt;0,05). EBV-DNA eignet sich als Überwachungsmarker.</w:t>
      </w:r>
    </w:p>
    <w:p>
      <w:r>
        <w:rPr>
          <w:b/>
          <w:sz w:val="19"/>
        </w:rPr>
        <w:t xml:space="preserve">Übertragbarkeit: </w:t>
      </w:r>
      <w:r>
        <w:rPr>
          <w:sz w:val="19"/>
        </w:rPr>
        <w:t>Taiwan-Studie, aber Methodik und Ergebnis sind auf HNO-Zentren übertragbar</w:t>
      </w:r>
    </w:p>
    <w:p>
      <w:r>
        <w:rPr>
          <w:color w:val="5A7D3A"/>
          <w:sz w:val="18"/>
        </w:rPr>
        <w:t>https://pubmed.ncbi.nlm.nih.gov/42833136/</w:t>
      </w:r>
    </w:p>
    <w:p>
      <w:pPr>
        <w:pStyle w:val="Heading2"/>
      </w:pPr>
      <w:r>
        <w:t>Mosunetuzumab-Polatuzumab bei älteren fragilen Patienten mit großzelligem B-Lymphom</w:t>
      </w:r>
    </w:p>
    <w:p>
      <w:r>
        <w:rPr>
          <w:i/>
          <w:color w:val="666666"/>
          <w:sz w:val="18"/>
        </w:rPr>
        <w:t>Olszewski AJ et al.  ·  Blood  ·  05.10.2026  ·  PMID 42832423</w:t>
      </w:r>
    </w:p>
    <w:p>
      <w:r>
        <w:t>Offene Phase-I/II-Studie mit 101 älteren/unfitness Patienten mit neu diagnostiziertem diffusem großzelligem B-Lymphom (Medianalter 81 Jahre): Mosunetuzumab plus Polatuzumab vedotin für bis zu 8 Zyklen, bewertet nach geriatrischer Assessmentklassifikation.</w:t>
      </w:r>
    </w:p>
    <w:p>
      <w:r>
        <w:rPr>
          <w:b/>
        </w:rPr>
        <w:t xml:space="preserve">Ergebnis: </w:t>
      </w:r>
      <w:r>
        <w:t>ORR 61,4%, komplette Remission 56,4%. Zwei-Jahres-PFS 52,2%, Zwei-Jahres-OS 62,4% (Median nicht erreicht). Cytokine-Release-Syndrome in 30,6% (überwiegend Grad 1). Infektionsbedingte Mortalität vor allem bei als 'frail' klassifizierten Patienten und während COVID-19-Pandemie.</w:t>
      </w:r>
    </w:p>
    <w:p>
      <w:r>
        <w:rPr>
          <w:b/>
          <w:sz w:val="19"/>
        </w:rPr>
        <w:t xml:space="preserve">Übertragbarkeit: </w:t>
      </w:r>
      <w:r>
        <w:rPr>
          <w:sz w:val="19"/>
        </w:rPr>
        <w:t>Internationales Design, deutschsprachiger Co-Autor, vergleichbare Behandlungsstandards</w:t>
      </w:r>
    </w:p>
    <w:p>
      <w:r>
        <w:rPr>
          <w:color w:val="5A7D3A"/>
          <w:sz w:val="18"/>
        </w:rPr>
        <w:t>https://pubmed.ncbi.nlm.nih.gov/42832423/</w:t>
      </w:r>
    </w:p>
    <w:p>
      <w:pPr>
        <w:pStyle w:val="Heading2"/>
      </w:pPr>
      <w:r>
        <w:t>RVD-lite bewährt sich langfristig bei älteren Multiplem Myelom</w:t>
      </w:r>
    </w:p>
    <w:p>
      <w:r>
        <w:rPr>
          <w:i/>
          <w:color w:val="666666"/>
          <w:sz w:val="18"/>
        </w:rPr>
        <w:t>Gustine JN et al.  ·  Clin Cancer Res  ·  05.10.2026  ·  PMID 42832368</w:t>
      </w:r>
    </w:p>
    <w:p>
      <w:r>
        <w:t>Phase-II-Studie mit 50 transplantationsungeeigneten Myelom-Patienten (Medianalter 73 Jahre): modifizierte Intensität von Lenalidomid, Bortezomib, Dexamethason über 9 Induktions- und 6 Konsolidierungszyklen, Mediannachverfolgung 72 Monate.</w:t>
      </w:r>
    </w:p>
    <w:p>
      <w:r>
        <w:rPr>
          <w:b/>
        </w:rPr>
        <w:t xml:space="preserve">Ergebnis: </w:t>
      </w:r>
      <w:r>
        <w:t>ORR 90%, ≥VGPR 66%. Median-PFS 42 Monate (5-Jahres-PFS 40%), Median-OS 76 Monate (5-Jahres-OS 63%). ECOG-Status 2 assoziiert mit schlechterer PFS und OS. Nur 4% Therapieabbau wegen Toxizität, keine behandlungsbedingte Mortalität.</w:t>
      </w:r>
    </w:p>
    <w:p>
      <w:r>
        <w:rPr>
          <w:b/>
          <w:sz w:val="19"/>
        </w:rPr>
        <w:t xml:space="preserve">Übertragbarkeit: </w:t>
      </w:r>
      <w:r>
        <w:rPr>
          <w:sz w:val="19"/>
        </w:rPr>
        <w:t>US-akademisches Zentrum, aber Outcome-Daten für deutschsprachige Praxen relevant</w:t>
      </w:r>
    </w:p>
    <w:p>
      <w:r>
        <w:rPr>
          <w:color w:val="5A7D3A"/>
          <w:sz w:val="18"/>
        </w:rPr>
        <w:t>https://pubmed.ncbi.nlm.nih.gov/42832368/</w:t>
      </w:r>
    </w:p>
    <w:p>
      <w:pPr>
        <w:pStyle w:val="Heading2"/>
      </w:pPr>
      <w:r>
        <w:t>Finanzielle Anreize fördern Rauchstopp bei Lungenkrebsscreening</w:t>
      </w:r>
    </w:p>
    <w:p>
      <w:r>
        <w:rPr>
          <w:i/>
          <w:color w:val="666666"/>
          <w:sz w:val="18"/>
        </w:rPr>
        <w:t>Hart JL et al.  ·  JAMA  ·  05.10.2026  ·  PMID 42832220</w:t>
      </w:r>
    </w:p>
    <w:p>
      <w:r>
        <w:t>Randomisierte Studie mit 3.220 unterversorgten Rauchern beim Lungenkrebsscreening in USA: vier Strategien verglichen – Standardberatung, plus freie Pharmakotherapie, plus finanzielle Anreize bis 600 USD, plus mobile Health-App.</w:t>
      </w:r>
    </w:p>
    <w:p>
      <w:r>
        <w:rPr>
          <w:b/>
        </w:rPr>
        <w:t xml:space="preserve">Ergebnis: </w:t>
      </w:r>
      <w:r>
        <w:t>Sustained Abstinenz über 6 Monate: 4,3% (Standardberatung), 5,1% (Pharmaka), 8,8% (Anreize), 7,2% (Anreize+App). Anreize zeigten adjustierte Differenz von +4,6% gegenüber Standard (p&lt;0,001) und +4,1% gegenüber Standard+Pharmaka (p&lt;0,001). Freie Medikation allein war nicht überlegen.</w:t>
      </w:r>
    </w:p>
    <w:p>
      <w:r>
        <w:rPr>
          <w:b/>
          <w:sz w:val="19"/>
        </w:rPr>
        <w:t xml:space="preserve">Übertragbarkeit: </w:t>
      </w:r>
      <w:r>
        <w:rPr>
          <w:sz w:val="19"/>
        </w:rPr>
        <w:t>USA-System mit anderer Krankenversicherung, aber Befund zu Anreizmechanismen gesundheitssystemübergreifend relevant</w:t>
      </w:r>
    </w:p>
    <w:p>
      <w:r>
        <w:rPr>
          <w:color w:val="5A7D3A"/>
          <w:sz w:val="18"/>
        </w:rPr>
        <w:t>https://pubmed.ncbi.nlm.nih.gov/42832220/</w:t>
      </w:r>
    </w:p>
    <w:p>
      <w:pPr>
        <w:pStyle w:val="Heading2"/>
      </w:pPr>
      <w:r>
        <w:t>Sequenzierung von Regorafenib vor Anti-EGFR ist möglich – Studie aber unterbesetzt</w:t>
      </w:r>
    </w:p>
    <w:p>
      <w:r>
        <w:rPr>
          <w:i/>
          <w:color w:val="666666"/>
          <w:sz w:val="18"/>
        </w:rPr>
        <w:t>Abidoye OB et al.  ·  Oncologist  ·  03.10.2026  ·  PMID 42830449</w:t>
      </w:r>
    </w:p>
    <w:p>
      <w:r>
        <w:t>Phase-II-Randomisierungsstudie REVERCE II mit 22 Patienten mit RAS/BRAF-WT metastasiertem Kolorektalkarzinom nach Standardchemotherapie: Regorafenib → Anti-EGFR versus Anti-EGFR → Regorafenib sequenziell, primärer Endpunkt Gesamtüberleben.</w:t>
      </w:r>
    </w:p>
    <w:p>
      <w:r>
        <w:rPr>
          <w:b/>
        </w:rPr>
        <w:t xml:space="preserve">Ergebnis: </w:t>
      </w:r>
      <w:r>
        <w:t>Wegen langsamer Rekrutierung vorzeitig geschlossen. Median-OS: Regorafenib-First 21,9 vs. EGFR-First 13,3 Monate (einseitig p=0,114). PFS1 2,5 vs. 5,6 Monate (p=0,998), PFS2 3,7 vs. 2,0 Monate (p=0,086). Regorafenib-First zeigte numerischen OS-Vorteil ohne Signifikanz. Keine wesentlichen Unterschiede in Nebenwirkungen.</w:t>
      </w:r>
    </w:p>
    <w:p>
      <w:r>
        <w:rPr>
          <w:b/>
          <w:sz w:val="19"/>
        </w:rPr>
        <w:t xml:space="preserve">Übertragbarkeit: </w:t>
      </w:r>
      <w:r>
        <w:rPr>
          <w:sz w:val="19"/>
        </w:rPr>
        <w:t>USA-amerikanische Studie, unterbesetzt, aber Sequenzierungsfrage für deutsche Praxen relevant</w:t>
      </w:r>
    </w:p>
    <w:p>
      <w:r>
        <w:rPr>
          <w:color w:val="5A7D3A"/>
          <w:sz w:val="18"/>
        </w:rPr>
        <w:t>https://pubmed.ncbi.nlm.nih.gov/42830449/</w:t>
      </w:r>
    </w:p>
    <w:p>
      <w:pPr>
        <w:pStyle w:val="Heading2"/>
      </w:pPr>
      <w:r>
        <w:t>Molekulares Profiling von Schweißdrüsenkarzinomen identifiziert Therapieziele</w:t>
      </w:r>
    </w:p>
    <w:p>
      <w:r>
        <w:rPr>
          <w:i/>
          <w:color w:val="666666"/>
          <w:sz w:val="18"/>
        </w:rPr>
        <w:t>Racz L et al.  ·  Eur J Cancer  ·  16.10.2026  ·  PMID 42762558</w:t>
      </w:r>
    </w:p>
    <w:p>
      <w:r>
        <w:t>Narrative Übersicht über genetische Landschaft von über 20 seltenen Schweißdrüsenkarzinom-Entitäten (SGC) mit Fokus auf Mutationslandschaften und therapeutische Angriffspunkte für aggressive Tumoren ohne Therapieoptionen im fortgeschrittenen Stadium.</w:t>
      </w:r>
    </w:p>
    <w:p>
      <w:r>
        <w:rPr>
          <w:b/>
        </w:rPr>
        <w:t xml:space="preserve">Ergebnis: </w:t>
      </w:r>
      <w:r>
        <w:t>SGCs zeigen hohe Mutationslast, UV-induzierte DNA-Schädigungssignaturen, EGFR-Dysregulation, Defekte in Homolog-Rekombinations-Reparatur. Rezidivierende Alterationen in TP53, PIK3CA, CDKN2A/B identifiziert. Fusionsgene teilweise entitätsspezifisch; digital-papilläres Adenokarzinom einziges HPV42-getriebenes SGC. Empfehlung: umfassendes molekulares Profiling + Systemregistern für seltene Krebsarten.</w:t>
      </w:r>
    </w:p>
    <w:p>
      <w:r>
        <w:rPr>
          <w:b/>
          <w:sz w:val="19"/>
        </w:rPr>
        <w:t xml:space="preserve">Übertragbarkeit: </w:t>
      </w:r>
      <w:r>
        <w:rPr>
          <w:sz w:val="19"/>
        </w:rPr>
        <w:t>Deutsche und europäische Autor:innen, deutschsprachige Zentren einbezogen, gültig für Zertifizierungsanforderungen</w:t>
      </w:r>
    </w:p>
    <w:p>
      <w:r>
        <w:rPr>
          <w:color w:val="5A7D3A"/>
          <w:sz w:val="18"/>
        </w:rPr>
        <w:t>https://pubmed.ncbi.nlm.nih.gov/42762558/</w:t>
      </w:r>
    </w:p>
    <w:p>
      <w:pPr>
        <w:pStyle w:val="Heading1"/>
      </w:pPr>
      <w:r>
        <w:t>Aufgenommen am 05.10.2026</w:t>
      </w:r>
    </w:p>
    <w:p>
      <w:pPr>
        <w:pStyle w:val="Heading2"/>
      </w:pPr>
      <w:r>
        <w:t>3D-DNA-Architektur in IDH1- und DNMT3A-mutanter AML identifiziert IGF1R- und MAPK-Vulnerabilität</w:t>
      </w:r>
    </w:p>
    <w:p>
      <w:r>
        <w:rPr>
          <w:i/>
          <w:color w:val="666666"/>
          <w:sz w:val="18"/>
        </w:rPr>
        <w:t>Steinhäuser S et al.  ·  Leukemia  ·  01.10.2026  ·  PMID 42823507</w:t>
      </w:r>
    </w:p>
    <w:p>
      <w:r>
        <w:t>Deutsche Studie an Primärproben von AML-Patienten, die mutations-spezifische Veränderungen der 3D-Genom-Architektur analysierte und damit verbundene therapeutische Targets identifizierte.</w:t>
      </w:r>
    </w:p>
    <w:p>
      <w:r>
        <w:rPr>
          <w:b/>
        </w:rPr>
        <w:t xml:space="preserve">Ergebnis: </w:t>
      </w:r>
      <w:r>
        <w:t>IDH1-mutante AML zeigte Sensitivität gegen IGF1R-Inhibitor BMS-754807, DNMT3A-mutante AML gegen p38/MAPK-Inhibitor ralimetinib. Die 3D-DNA-Konformationsveränderungen waren spezifisch für die Mutationen und wurden in Zelllinien und Patientenproben bestätigt.</w:t>
      </w:r>
    </w:p>
    <w:p>
      <w:r>
        <w:rPr>
          <w:b/>
          <w:sz w:val="19"/>
        </w:rPr>
        <w:t xml:space="preserve">Übertragbarkeit: </w:t>
      </w:r>
      <w:r>
        <w:rPr>
          <w:sz w:val="19"/>
        </w:rPr>
        <w:t>Deutsche Universitätsklinika (Kiel, Dresden, Berlin), identifiziert Therapieoptionen für AML-Subtypen</w:t>
      </w:r>
    </w:p>
    <w:p>
      <w:r>
        <w:rPr>
          <w:color w:val="5A7D3A"/>
          <w:sz w:val="18"/>
        </w:rPr>
        <w:t>https://pubmed.ncbi.nlm.nih.gov/42823507/</w:t>
      </w:r>
    </w:p>
    <w:p>
      <w:pPr>
        <w:pStyle w:val="Heading2"/>
      </w:pPr>
      <w:r>
        <w:t>Rassische Disparitäten in der Behandlung von Myelom-Knochenschaden: Afroamerikaner erhalten weniger BMAs</w:t>
      </w:r>
    </w:p>
    <w:p>
      <w:r>
        <w:rPr>
          <w:i/>
          <w:color w:val="666666"/>
          <w:sz w:val="18"/>
        </w:rPr>
        <w:t>Irimia RM et al.  ·  JCO Oncol Pract  ·  01.10.2026  ·  PMID 42821828</w:t>
      </w:r>
    </w:p>
    <w:p>
      <w:r>
        <w:t>Retrospektive Kohortenstudie an 350 neu diagnostizierten Myelompatienten (149 Afroamerikaner, 201 Weiße) zum Vergleich von Knochenereignissen und knochenmodifizierender Therapie im ersten Jahr nach Diagnose.</w:t>
      </w:r>
    </w:p>
    <w:p>
      <w:r>
        <w:rPr>
          <w:b/>
        </w:rPr>
        <w:t xml:space="preserve">Ergebnis: </w:t>
      </w:r>
      <w:r>
        <w:t>Afroamerikaner erhielten im ersten Jahr signifikant weniger knochenmodifizierende Agenzien (BMA): 64% vs. 77% (p=0,013), Mediandosen 5 vs. 7/Jahr (p&lt;0,001). Bei frühen Knochenereignissen (&lt;peridiagnostisch) waren Afroamerikaner weniger wahrscheinlich, ≥4 BMA-Dosen zu erhalten (46% vs. 76%, p&lt;0,001). Kumulatives SRE-Risiko post-peridiagnostisch unterschied sich nicht (16% vs. 21%, p=0,24).</w:t>
      </w:r>
    </w:p>
    <w:p>
      <w:r>
        <w:rPr>
          <w:b/>
          <w:sz w:val="19"/>
        </w:rPr>
        <w:t xml:space="preserve">Übertragbarkeit: </w:t>
      </w:r>
      <w:r>
        <w:rPr>
          <w:sz w:val="19"/>
        </w:rPr>
        <w:t>USA-Zentren, aber Erkenntnis zu Therapiedisparitäten und Unterbehandlung relevant für deutsche Versorgungsqualität</w:t>
      </w:r>
    </w:p>
    <w:p>
      <w:r>
        <w:rPr>
          <w:color w:val="5A7D3A"/>
          <w:sz w:val="18"/>
        </w:rPr>
        <w:t>https://pubmed.ncbi.nlm.nih.gov/42821828/</w:t>
      </w:r>
    </w:p>
    <w:p>
      <w:pPr>
        <w:pStyle w:val="Heading2"/>
      </w:pPr>
      <w:r>
        <w:t>Nivolumab + Ipilimumab + Strahlentherapie in mikrosatellit-stabiler CRC: ORR 10%, aber 25% bei Patienten ohne Lebermetastasen</w:t>
      </w:r>
    </w:p>
    <w:p>
      <w:r>
        <w:rPr>
          <w:i/>
          <w:color w:val="666666"/>
          <w:sz w:val="18"/>
        </w:rPr>
        <w:t>Pappas L et al.  ·  Clin Cancer Res  ·  01.10.2026  ·  PMID 42820689</w:t>
      </w:r>
    </w:p>
    <w:p>
      <w:r>
        <w:t>US-amerikanische Phase-II-Studie zur Kombination von Immune-Checkpoint-Inhibitoren mit nicht-ablativer Strahlentherapie bei refraktärer mikrosatellit-stabiler metastasierter CRC.</w:t>
      </w:r>
    </w:p>
    <w:p>
      <w:r>
        <w:rPr>
          <w:b/>
        </w:rPr>
        <w:t xml:space="preserve">Ergebnis: </w:t>
      </w:r>
      <w:r>
        <w:t>30 Patienten eingeschlossen: Gesamtansprechrate 10,0%, Krankheitskontrollrate 33,3% (unbestrahlte Läsionen). Bei Patienten ohne aktive Lebermetastasen (n=8) ORR 25%, bei Lebermetastasen (n=22) ORR 4,6%. Mediane PFS 2,4 Monate, mediane OS 12,8 Monate (95% KI 6,8–17,9). Nur 10% Grad-4-Toxizität (Lymphopenie).</w:t>
      </w:r>
    </w:p>
    <w:p>
      <w:r>
        <w:rPr>
          <w:b/>
          <w:sz w:val="19"/>
        </w:rPr>
        <w:t xml:space="preserve">Übertragbarkeit: </w:t>
      </w:r>
      <w:r>
        <w:rPr>
          <w:sz w:val="19"/>
        </w:rPr>
        <w:t>USA-Zentren, Mechanismus (Strahlentherapie + ICI) auf deutsche Zentren übertragbar</w:t>
      </w:r>
    </w:p>
    <w:p>
      <w:r>
        <w:rPr>
          <w:color w:val="5A7D3A"/>
          <w:sz w:val="18"/>
        </w:rPr>
        <w:t>https://pubmed.ncbi.nlm.nih.gov/42820689/</w:t>
      </w:r>
    </w:p>
    <w:p>
      <w:pPr>
        <w:pStyle w:val="Heading2"/>
      </w:pPr>
      <w:r>
        <w:t>TROP2-ADC F0024 in triple-negativer Brustkrebs: ORR 37,9% bei 10 mg/kg, mediane PFS 10,5 Monate</w:t>
      </w:r>
    </w:p>
    <w:p>
      <w:r>
        <w:rPr>
          <w:i/>
          <w:color w:val="666666"/>
          <w:sz w:val="18"/>
        </w:rPr>
        <w:t>Du Y et al.  ·  Eur J Cancer  ·  24.09.2026  ·  PMID 42810148</w:t>
      </w:r>
    </w:p>
    <w:p>
      <w:r>
        <w:t>Phase-I-Studie mit Dosisexpansion eines TROP2-gerichteten Antikörper-Wirkstoff-Konjugats in fortgeschrittenen Tumoren, Fokus triple-negative Brustkrebs (TNBC).</w:t>
      </w:r>
    </w:p>
    <w:p>
      <w:r>
        <w:rPr>
          <w:b/>
        </w:rPr>
        <w:t xml:space="preserve">Ergebnis: </w:t>
      </w:r>
      <w:r>
        <w:t>Bei 10 mg/kg (empfohlene Phase-II-Dosis): ORR 37,9%, mediane PFS 10,5 Monate in TNBC-Kohorte (n=29). Grad-≥3-Nebenwirkungen bei 57,7% (vorwiegend Hämatotoxizität). Dosiseskalation bei 15 mg/kg wegen kumulativer Toxizität gestoppt.</w:t>
      </w:r>
    </w:p>
    <w:p>
      <w:r>
        <w:rPr>
          <w:b/>
          <w:sz w:val="19"/>
        </w:rPr>
        <w:t xml:space="preserve">Übertragbarkeit: </w:t>
      </w:r>
      <w:r>
        <w:rPr>
          <w:sz w:val="19"/>
        </w:rPr>
        <w:t>China, aber Wirkmuster und Sicherheitsprofil für Phase-II-Planung international relevant</w:t>
      </w:r>
    </w:p>
    <w:p>
      <w:r>
        <w:rPr>
          <w:color w:val="5A7D3A"/>
          <w:sz w:val="18"/>
        </w:rPr>
        <w:t>https://pubmed.ncbi.nlm.nih.gov/42810148/</w:t>
      </w:r>
    </w:p>
    <w:p>
      <w:pPr>
        <w:pStyle w:val="Heading2"/>
      </w:pPr>
      <w:r>
        <w:t>Zugang zu klinischen Studien bei Nierenzellkarzinom: Innovation erreicht unterversorgte Gemeinschaften nicht</w:t>
      </w:r>
    </w:p>
    <w:p>
      <w:r>
        <w:rPr>
          <w:i/>
          <w:color w:val="666666"/>
          <w:sz w:val="18"/>
        </w:rPr>
        <w:t>Nandakumar V et al.  ·  JCO Oncol Pract  ·  29.09.2026  ·  PMID 42809806</w:t>
      </w:r>
    </w:p>
    <w:p>
      <w:r>
        <w:t>Qualitative Analyse der Barrieren für den Zugang zu klinischen Studien bei Nierenzellkarzinom in den USA, mit Fokus auf strukturelle und sozioökonomische Ungleichheiten.</w:t>
      </w:r>
    </w:p>
    <w:p>
      <w:r>
        <w:rPr>
          <w:b/>
        </w:rPr>
        <w:t xml:space="preserve">Ergebnis: </w:t>
      </w:r>
      <w:r>
        <w:t>Identifizierte Schlüsselbarrieren: geografische Distanz, finanzielle Belastung, mangelnde Informationen, Transportprobleme und systeminterne Aufnahmekriterien. Unterrepräsentierte Patienten hatten deutlich niedrigere Teilnahmeraten. Patienten in ländlichen Gegenden und mit niedrigerem Einkommen waren systematisch ausgeschlossen.</w:t>
      </w:r>
    </w:p>
    <w:p>
      <w:r>
        <w:rPr>
          <w:b/>
          <w:sz w:val="19"/>
        </w:rPr>
        <w:t xml:space="preserve">Übertragbarkeit: </w:t>
      </w:r>
      <w:r>
        <w:rPr>
          <w:sz w:val="19"/>
        </w:rPr>
        <w:t>USA-System, aber Erkenntnisse zu Zugangsungleichheiten gelten teilweise für deutsche Versorgungsregionen</w:t>
      </w:r>
    </w:p>
    <w:p>
      <w:r>
        <w:rPr>
          <w:color w:val="5A7D3A"/>
          <w:sz w:val="18"/>
        </w:rPr>
        <w:t>https://pubmed.ncbi.nlm.nih.gov/42809806/</w:t>
      </w:r>
    </w:p>
    <w:p>
      <w:pPr>
        <w:pStyle w:val="Heading2"/>
      </w:pPr>
      <w:r>
        <w:t>Sentinelbiopsie nach Neoadjuvanz bei lokal fortgeschrittener Brustkrebs: Falsch-negativ-Rate 2,1%</w:t>
      </w:r>
    </w:p>
    <w:p>
      <w:r>
        <w:rPr>
          <w:i/>
          <w:color w:val="666666"/>
          <w:sz w:val="18"/>
        </w:rPr>
        <w:t>Barrio AV et al.  ·  J Clin Oncol  ·  29.09.2026  ·  PMID 42809799</w:t>
      </w:r>
    </w:p>
    <w:p>
      <w:r>
        <w:t>Prospektive US-amerikanische Studie zum Staging der Axilla mittels Sentinelbiopsie nach neoadjuvanter Chemotherapie bei Patientinnen mit lokal fortgeschrittenem Brustkrebs (cT4/cN2-N3).</w:t>
      </w:r>
    </w:p>
    <w:p>
      <w:r>
        <w:rPr>
          <w:b/>
        </w:rPr>
        <w:t xml:space="preserve">Ergebnis: </w:t>
      </w:r>
      <w:r>
        <w:t>Von 145 Patienten wurden 87 mit adäquatem Mapping ausgewertet; Sentinelknoten wurden in 74% identifiziert. Falsch-negativ-Rate 2,1% (95% KI 0,1–12,7%), pathologische komplette Response 46%, nur 1 falsch-negativ in 47 Patienten mit Resterkrankung.</w:t>
      </w:r>
    </w:p>
    <w:p>
      <w:r>
        <w:rPr>
          <w:b/>
          <w:sz w:val="19"/>
        </w:rPr>
        <w:t xml:space="preserve">Übertragbarkeit: </w:t>
      </w:r>
      <w:r>
        <w:rPr>
          <w:sz w:val="19"/>
        </w:rPr>
        <w:t>USA-Zentren, aber Sentinelbiopsie-Standard übertragbar auf deutsche Zentren</w:t>
      </w:r>
    </w:p>
    <w:p>
      <w:r>
        <w:rPr>
          <w:color w:val="5A7D3A"/>
          <w:sz w:val="18"/>
        </w:rPr>
        <w:t>https://pubmed.ncbi.nlm.nih.gov/42809799/</w:t>
      </w:r>
    </w:p>
    <w:p>
      <w:pPr>
        <w:pStyle w:val="Heading1"/>
      </w:pPr>
      <w:r>
        <w:t>Aufgenommen am 04.10.2026</w:t>
      </w:r>
    </w:p>
    <w:p>
      <w:pPr>
        <w:pStyle w:val="Heading2"/>
      </w:pPr>
      <w:r>
        <w:t>Urin-cfRNA detektiert Blasenkrebs mit 95% Sensitivität, sagt BCG-Response voraus</w:t>
      </w:r>
    </w:p>
    <w:p>
      <w:r>
        <w:rPr>
          <w:i/>
          <w:color w:val="666666"/>
          <w:sz w:val="18"/>
        </w:rPr>
        <w:t>Liu KJ et al.  ·  Nat Med  ·  02.10.2026  ·  PMID 42827132</w:t>
      </w:r>
    </w:p>
    <w:p>
      <w:r>
        <w:t>Prospektive Validierungsstudie einer Liquid-Biopsy-Methode (uRARE-seq) für tumorspezifische RNA-Fragmente im Urin bei 683 Patienten mit und ohne Urogenital-Karzinome.</w:t>
      </w:r>
    </w:p>
    <w:p>
      <w:r>
        <w:rPr>
          <w:b/>
        </w:rPr>
        <w:t xml:space="preserve">Ergebnis: </w:t>
      </w:r>
      <w:r>
        <w:t>Für lokalisiertes Blasenkarzinom: 95% Sensitivität bei 90% Spezifität. Urin-cfRNA übertraf tumor-DNA-Analyse und war unaffiziert von Feldeffekt-Mutationen. Biomarker in Urin vor BCG-Therapie (Area-under-the-Curve 0,93) sagte BCG-Response voraus: Responder zeigten T-Zell- und Immun-Signaturen, Nicht-Responder Proliferations-Gene. Minimal Residual Disease wurde sensitiv detektiert. Ein Ansatz mit klinischem Nutzenpotential für Blasenkarzinom-Stratifizierung.</w:t>
      </w:r>
    </w:p>
    <w:p>
      <w:r>
        <w:rPr>
          <w:b/>
          <w:sz w:val="19"/>
        </w:rPr>
        <w:t xml:space="preserve">Übertragbarkeit: </w:t>
      </w:r>
      <w:r>
        <w:rPr>
          <w:sz w:val="19"/>
        </w:rPr>
        <w:t>USA-basierte Studie; Liquid-Biopsy-Methode technisch übertragbar, prospektive Validierung erforderlich.</w:t>
      </w:r>
    </w:p>
    <w:p>
      <w:r>
        <w:rPr>
          <w:color w:val="5A7D3A"/>
          <w:sz w:val="18"/>
        </w:rPr>
        <w:t>https://pubmed.ncbi.nlm.nih.gov/42827132/</w:t>
      </w:r>
    </w:p>
    <w:p>
      <w:pPr>
        <w:pStyle w:val="Heading2"/>
      </w:pPr>
      <w:r>
        <w:t>Ibrutinib-Venetoclax senkt Gesamtüberleben bei älteren CLL-Patienten deutlich</w:t>
      </w:r>
    </w:p>
    <w:p>
      <w:r>
        <w:rPr>
          <w:i/>
          <w:color w:val="666666"/>
          <w:sz w:val="18"/>
        </w:rPr>
        <w:t>U Niemann C et al.  ·  Leukemia  ·  02.10.2026  ·  PMID 42827117</w:t>
      </w:r>
    </w:p>
    <w:p>
      <w:r>
        <w:t>Randomisierte Phase-III-Studie (GLOW) verglich Ibrutinib-Venetoclax mit Chlorambucil-Obinutuzumab bei älteren/komorbiditätsbelasteten CLL-Patienten mit 67-Monat-Nachverfolgung.</w:t>
      </w:r>
    </w:p>
    <w:p>
      <w:r>
        <w:rPr>
          <w:b/>
        </w:rPr>
        <w:t xml:space="preserve">Ergebnis: </w:t>
      </w:r>
      <w:r>
        <w:t>Gesamtüberleben nach 66 Monaten: 79,0% vs 60,8% (Hazard Ratio 0,46). Ibrutinib-Venetoclax reduzierte das Risiko für Zweitlinientherapie um 77,4%. Progressionsfreies Überleben nach 66 Monaten: 51,7% vs 18,1% (HR 0,27). Grade-3/4-toxizitätsfreies PFS 21,4 Monate länger (51,6 vs 30,2 Monate). Eine klare Überlegenheit für die fixierte Zweierkombination bei älteren Patienten.</w:t>
      </w:r>
    </w:p>
    <w:p>
      <w:r>
        <w:rPr>
          <w:b/>
          <w:sz w:val="19"/>
        </w:rPr>
        <w:t xml:space="preserve">Übertragbarkeit: </w:t>
      </w:r>
      <w:r>
        <w:rPr>
          <w:sz w:val="19"/>
        </w:rPr>
        <w:t>Europäische Multicenterstudie mit HOVON-Zentren, deutschem Versorgungsstandard entsprechend.</w:t>
      </w:r>
    </w:p>
    <w:p>
      <w:r>
        <w:rPr>
          <w:color w:val="5A7D3A"/>
          <w:sz w:val="18"/>
        </w:rPr>
        <w:t>https://pubmed.ncbi.nlm.nih.gov/42827117/</w:t>
      </w:r>
    </w:p>
    <w:p>
      <w:pPr>
        <w:pStyle w:val="Heading2"/>
      </w:pPr>
      <w:r>
        <w:t>Chemotherapie + Krebsimpfstoff: TCF1+-T-Zellen erklären synergistischen Effekt</w:t>
      </w:r>
    </w:p>
    <w:p>
      <w:r>
        <w:rPr>
          <w:i/>
          <w:color w:val="666666"/>
          <w:sz w:val="18"/>
        </w:rPr>
        <w:t>Noblecourt L et al.  ·  Cancer Cell  ·  02.10.2026  ·  PMID 42826713</w:t>
      </w:r>
    </w:p>
    <w:p>
      <w:r>
        <w:t>Präklinische und erste translatorische Studie zur mechanistischen Erklärung, warum Carboplatin-Paclitaxel und Cyclophosphamid die Effizienz von Virus-Vektor-Impfstoffen gegen Tumorantigen erhöhen; Experimente mit Maus- und Patientenzellen.</w:t>
      </w:r>
    </w:p>
    <w:p>
      <w:r>
        <w:rPr>
          <w:b/>
        </w:rPr>
        <w:t xml:space="preserve">Ergebnis: </w:t>
      </w:r>
      <w:r>
        <w:t>Carboplatin-Paclitaxel induziert frühe, antigen-unabhängige Expansion von Stamm-ähnlichen TCF1+CD8+-T-Zellen. Genetische oder pharmakologische TCF1-Blockierung hebt den Immunaduvans-Effekt auf. Kombinationstriple (Vakzin + CarboTaxol + PD-1-Blockade) verbessert Tumorkon trolle und Überleben in Mausmodellen stärker als Einzelbehandlungen. Der TCF1-abhängige Mechanismus erklärt Synergie und identifiziert neue Kombinationsstrategien für klinische Evaluation.</w:t>
      </w:r>
    </w:p>
    <w:p>
      <w:r>
        <w:rPr>
          <w:b/>
          <w:sz w:val="19"/>
        </w:rPr>
        <w:t xml:space="preserve">Übertragbarkeit: </w:t>
      </w:r>
      <w:r>
        <w:rPr>
          <w:sz w:val="19"/>
        </w:rPr>
        <w:t>UK/Niederlande-Kohorte, mechanistisches Verständnis transkulturell relevant für Impfstoff-Kombinationen.</w:t>
      </w:r>
    </w:p>
    <w:p>
      <w:r>
        <w:rPr>
          <w:color w:val="5A7D3A"/>
          <w:sz w:val="18"/>
        </w:rPr>
        <w:t>https://pubmed.ncbi.nlm.nih.gov/42826713/</w:t>
      </w:r>
    </w:p>
    <w:p>
      <w:pPr>
        <w:pStyle w:val="Heading2"/>
      </w:pPr>
      <w:r>
        <w:t>ERBB2-Mutationen in Lungenkarzinom: Heterogenität und Trastuzumab-Deruxtecan-Benefit</w:t>
      </w:r>
    </w:p>
    <w:p>
      <w:r>
        <w:rPr>
          <w:i/>
          <w:color w:val="666666"/>
          <w:sz w:val="18"/>
        </w:rPr>
        <w:t>Yamashita M et al.  ·  Eur J Cancer  ·  29.09.2026  ·  PMID 42826440</w:t>
      </w:r>
    </w:p>
    <w:p>
      <w:r>
        <w:t>Japanische Real-World-Kohorte von 319 Patienten mit ERBB2-aktivierenden Mutationen im NSCLC mittels Genomik-Datenbank untersucht.</w:t>
      </w:r>
    </w:p>
    <w:p>
      <w:r>
        <w:rPr>
          <w:b/>
        </w:rPr>
        <w:t xml:space="preserve">Ergebnis: </w:t>
      </w:r>
      <w:r>
        <w:t>74% hatten kanonische Tyrosinkinase-Domänen-Insertionen; 26% nonkanonische Varianten (TKD-Missense 8%, transmembran 10%, extrazelluläre Domäne 8%). Co-driver-Alterationen in nur 5,6% (überwiegend nonkanonisch). 27% der 288 Patienten (78 von 288) erhielten Trastuzumab-Deruxtecan; time-abhängige T-DXd-Exposition assoziiert mit reduziertem Mortalitätsrisiko (adjusted HR 0,63; 95% KI 0,39-1,01; p=0,057). Wesentliche molekulare Heterogenität mit therapeutischen Implikationen.</w:t>
      </w:r>
    </w:p>
    <w:p>
      <w:r>
        <w:rPr>
          <w:b/>
          <w:sz w:val="19"/>
        </w:rPr>
        <w:t xml:space="preserve">Übertragbarkeit: </w:t>
      </w:r>
      <w:r>
        <w:rPr>
          <w:sz w:val="19"/>
        </w:rPr>
        <w:t>Japan, vergleichbare Genomik-Strukturen; Trastuzumab-Deruxtecan in Deutschland verfügbar.</w:t>
      </w:r>
    </w:p>
    <w:p>
      <w:r>
        <w:rPr>
          <w:color w:val="5A7D3A"/>
          <w:sz w:val="18"/>
        </w:rPr>
        <w:t>https://pubmed.ncbi.nlm.nih.gov/42826440/</w:t>
      </w:r>
    </w:p>
    <w:p>
      <w:pPr>
        <w:pStyle w:val="Heading2"/>
      </w:pPr>
      <w:r>
        <w:t>Tirabrutinib für rezidivertes primäres ZNS-Lymphom: 67% Ansprechquote, rascher Wirkeintritt</w:t>
      </w:r>
    </w:p>
    <w:p>
      <w:r>
        <w:rPr>
          <w:i/>
          <w:color w:val="666666"/>
          <w:sz w:val="18"/>
        </w:rPr>
        <w:t>Grommes C et al.  ·  Blood  ·  01.10.2026  ·  PMID 42821736</w:t>
      </w:r>
    </w:p>
    <w:p>
      <w:r>
        <w:t>Phase-1b/2-Studie zu dem BTK-Inhibitor Tirabrutinib als Monotherapie bei 48 Patienten mit rezidiviertem/refraktärem pCNSL nach Hochdosis-Methotrexat-Vorbehandlung.</w:t>
      </w:r>
    </w:p>
    <w:p>
      <w:r>
        <w:rPr>
          <w:b/>
        </w:rPr>
        <w:t xml:space="preserve">Ergebnis: </w:t>
      </w:r>
      <w:r>
        <w:t>Objektive Ansprechquote 67% (95% KI 52–80%), vollständige Remission 44% (95% KI 29–59%). Mediane Ansprechdauer 9,3 Monate (95% KI 4,6–14,6), mediane Zeit bis Ansprechen 1,0 Monat. Treatment-related adverse events in 75% (häufig Anämie 19%, Ausschlag 17%, Fatigue 15%), Grade-≥3 in 27% (Neutropenie 8%). Ein behandelbares Toxizitätsprofil für rare Indikation mit hohem ungedecktem Bedarf.</w:t>
      </w:r>
    </w:p>
    <w:p>
      <w:r>
        <w:rPr>
          <w:b/>
          <w:sz w:val="19"/>
        </w:rPr>
        <w:t xml:space="preserve">Übertragbarkeit: </w:t>
      </w:r>
      <w:r>
        <w:rPr>
          <w:sz w:val="19"/>
        </w:rPr>
        <w:t>USA-Studie, BTK-Inhibitor-Klasse europaweit verfügbar; Zentrumserfordernis für pCNSL-Versorgung prüfen.</w:t>
      </w:r>
    </w:p>
    <w:p>
      <w:r>
        <w:rPr>
          <w:color w:val="5A7D3A"/>
          <w:sz w:val="18"/>
        </w:rPr>
        <w:t>https://pubmed.ncbi.nlm.nih.gov/42821736/</w:t>
      </w:r>
    </w:p>
    <w:p>
      <w:pPr>
        <w:pStyle w:val="Heading2"/>
      </w:pPr>
      <w:r>
        <w:t>Leitlinie Multiples Myelom 2026 – kontinuierliche Aktualisierung basierend auf neuer Evidenz</w:t>
      </w:r>
    </w:p>
    <w:p>
      <w:r>
        <w:rPr>
          <w:i/>
          <w:color w:val="666666"/>
          <w:sz w:val="18"/>
        </w:rPr>
        <w:t>Banerjee R et al.  ·  J Clin Oncol  ·  30.09.2026  ·  PMID 42814948</w:t>
      </w:r>
    </w:p>
    <w:p>
      <w:r>
        <w:t>ASCO Living Guideline für Behandlung des Multiplen Myeloms mit regelmäßigen Aktualisierungen durch Expertengruppe bei schnell wechselnder Evidenz.</w:t>
      </w:r>
    </w:p>
    <w:p>
      <w:r>
        <w:rPr>
          <w:b/>
        </w:rPr>
        <w:t xml:space="preserve">Ergebnis: </w:t>
      </w:r>
      <w:r>
        <w:t>Leitlinie wird kontinuierlich aktualisiert; konkrete Therapie-Empfehlungen folgen Systematische-Review-Prozeduren und werden mindestens jährlich überprüft. Die aktuelle Version 2026.1.3 berücksichtigt neue Kombinationsprotokolle, CAR-T und zielgerichtete Therapien mit prognose-adaptiven Strategien für Risiko-Stratifizierung.</w:t>
      </w:r>
    </w:p>
    <w:p>
      <w:r>
        <w:rPr>
          <w:b/>
          <w:sz w:val="19"/>
        </w:rPr>
        <w:t xml:space="preserve">Übertragbarkeit: </w:t>
      </w:r>
      <w:r>
        <w:rPr>
          <w:sz w:val="19"/>
        </w:rPr>
        <w:t>USA-ASCO-Guideline; weit überwiegend international anwendbar, Dosierungen/Verfügbarkeiten lokal zu prüfen.</w:t>
      </w:r>
    </w:p>
    <w:p>
      <w:r>
        <w:rPr>
          <w:color w:val="5A7D3A"/>
          <w:sz w:val="18"/>
        </w:rPr>
        <w:t>https://pubmed.ncbi.nlm.nih.gov/42814948/</w:t>
      </w:r>
    </w:p>
    <w:p>
      <w:pPr>
        <w:pStyle w:val="Heading2"/>
      </w:pPr>
      <w:r>
        <w:t>Aglatimagene bei lokalisiertem Prostatakarzinom: kritische Neubeobachtung</w:t>
      </w:r>
    </w:p>
    <w:p>
      <w:r>
        <w:rPr>
          <w:i/>
          <w:color w:val="666666"/>
          <w:sz w:val="18"/>
        </w:rPr>
        <w:t>Büttner T et al.  ·  Lancet Oncol  ·  Okt. 2026  ·  PMID 42805200</w:t>
      </w:r>
    </w:p>
    <w:p>
      <w:r>
        <w:t>Kommentar deutschsprachiger Urologen zur Neubewertung des Viren-Therapiestoffs Aglatimagene bei lokalisiertem Prostatakarzinom.</w:t>
      </w:r>
    </w:p>
    <w:p>
      <w:r>
        <w:rPr>
          <w:b/>
        </w:rPr>
        <w:t xml:space="preserve">Ergebnis: </w:t>
      </w:r>
      <w:r>
        <w:t>Keine konkreten Endpunkte im Abstract; die Arbeit erörtert Limitationen bisheriger Daten zu einer experimentellen Therapie mit unklarer klinischer Rolle. Die Autoren fordern Klärung vor breiter Anwendung.</w:t>
      </w:r>
    </w:p>
    <w:p>
      <w:r>
        <w:rPr>
          <w:b/>
          <w:sz w:val="19"/>
        </w:rPr>
        <w:t xml:space="preserve">Übertragbarkeit: </w:t>
      </w:r>
      <w:r>
        <w:rPr>
          <w:sz w:val="19"/>
        </w:rPr>
        <w:t>Deutschland (Bonn, Erlangen), deutsches Versorgungssystem betroffen.</w:t>
      </w:r>
    </w:p>
    <w:p>
      <w:r>
        <w:rPr>
          <w:color w:val="5A7D3A"/>
          <w:sz w:val="18"/>
        </w:rPr>
        <w:t>https://pubmed.ncbi.nlm.nih.gov/42805200/</w:t>
      </w:r>
    </w:p>
    <w:p>
      <w:pPr>
        <w:pStyle w:val="Heading1"/>
      </w:pPr>
      <w:r>
        <w:t>Aufgenommen am 03.10.2026</w:t>
      </w:r>
    </w:p>
    <w:p>
      <w:pPr>
        <w:pStyle w:val="Heading2"/>
      </w:pPr>
      <w:r>
        <w:t>Leitlinie Infektionsprophylaxe bei pädiatrischer Onkologie: aktualisierte Empfehlungen</w:t>
      </w:r>
    </w:p>
    <w:p>
      <w:r>
        <w:rPr>
          <w:i/>
          <w:color w:val="666666"/>
          <w:sz w:val="18"/>
        </w:rPr>
        <w:t>Morgan JE et al.  ·  J Clin Oncol  ·  02.10.2026  ·  PMID 42826360</w:t>
      </w:r>
    </w:p>
    <w:p>
      <w:r>
        <w:t>Systematische Überprüfung und Harmonisierung von Leitlinienempfehlungen zur antibakteriellen und antimykotischen Prophylaxe bei Kindern mit Krebs und nach Stammzelltransplantation.</w:t>
      </w:r>
    </w:p>
    <w:p>
      <w:r>
        <w:rPr>
          <w:b/>
        </w:rPr>
        <w:t xml:space="preserve">Ergebnis: </w:t>
      </w:r>
      <w:r>
        <w:t>Starke Empfehlung für Antifungal-Prophylaxe (Echinocandin oder Mold-active Azol) bei AML und allogener Transplantation; konditionale Empfehlung für Antibakteriell-Prophylaxe mit Levofloxacin bei AML und rezidivierter ALL. 13 neue randomisierte Studien seit 2019 identifiziert; insgesamt 195 Studien berücksichtigt.</w:t>
      </w:r>
    </w:p>
    <w:p>
      <w:r>
        <w:rPr>
          <w:b/>
          <w:sz w:val="19"/>
        </w:rPr>
        <w:t xml:space="preserve">Übertragbarkeit: </w:t>
      </w:r>
      <w:r>
        <w:rPr>
          <w:sz w:val="19"/>
        </w:rPr>
        <w:t>Deutschland und europäische Systeme, international konsentiertes Vorgehen</w:t>
      </w:r>
    </w:p>
    <w:p>
      <w:r>
        <w:rPr>
          <w:color w:val="5A7D3A"/>
          <w:sz w:val="18"/>
        </w:rPr>
        <w:t>https://pubmed.ncbi.nlm.nih.gov/42826360/</w:t>
      </w:r>
    </w:p>
    <w:p>
      <w:pPr>
        <w:pStyle w:val="Heading2"/>
      </w:pPr>
      <w:r>
        <w:t>Pembrolizumab-GVD plus Stammzelltransplantation bei rezidiviertem Hodgkin-Lymphom: 5-Jahres-Follow-up</w:t>
      </w:r>
    </w:p>
    <w:p>
      <w:r>
        <w:rPr>
          <w:i/>
          <w:color w:val="666666"/>
          <w:sz w:val="18"/>
        </w:rPr>
        <w:t>Patel K et al.  ·  Blood  ·  08.09.2026  ·  PMID 42825495</w:t>
      </w:r>
    </w:p>
    <w:p>
      <w:r>
        <w:t>Phase-2-Studie bei transplantationsgeeigneten Patienten mit rezidiviertem/refraktärem Hodgkin-Lymphom: Pembrolizumab plus Gemcitabin/Vinorelbine/liposomales Doxorubicin gefolgt von Hochdosis-Chemotherapie mit autologer Stammzellrescue.</w:t>
      </w:r>
    </w:p>
    <w:p>
      <w:r>
        <w:rPr>
          <w:b/>
        </w:rPr>
        <w:t xml:space="preserve">Ergebnis: </w:t>
      </w:r>
      <w:r>
        <w:t>Komplettremissionsrate 95% nach bis zu 4 Zyklen Pembrolizumab-GVD. Nach Median 57 Monaten: geschätzte 5-Jahres-PFS 91%, Gesamtüberleben 94%. Nur 1 Rezidiv nach Protokoll-Therapie, 2 therapieassoziierte Todesfälle. Keine neuen Sicherheitssignale.</w:t>
      </w:r>
    </w:p>
    <w:p>
      <w:r>
        <w:rPr>
          <w:b/>
          <w:sz w:val="19"/>
        </w:rPr>
        <w:t xml:space="preserve">Übertragbarkeit: </w:t>
      </w:r>
      <w:r>
        <w:rPr>
          <w:sz w:val="19"/>
        </w:rPr>
        <w:t>USA-basiert, aber intensive Chemotherapie + Immuntherapie + Transplantation ist in deutschen Zentren etabliert</w:t>
      </w:r>
    </w:p>
    <w:p>
      <w:r>
        <w:rPr>
          <w:color w:val="5A7D3A"/>
          <w:sz w:val="18"/>
        </w:rPr>
        <w:t>https://pubmed.ncbi.nlm.nih.gov/42825495/</w:t>
      </w:r>
    </w:p>
    <w:p>
      <w:pPr>
        <w:pStyle w:val="Heading2"/>
      </w:pPr>
      <w:r>
        <w:t>Tuberkulose-Netzwerk als Werkzeug für frühe Lungenkrebserkennung: Modell Brasilien</w:t>
      </w:r>
    </w:p>
    <w:p>
      <w:r>
        <w:rPr>
          <w:i/>
          <w:color w:val="666666"/>
          <w:sz w:val="18"/>
        </w:rPr>
        <w:t>Gruber K  ·  Lancet Oncol  ·  01.10.2026  ·  PMID 42822486</w:t>
      </w:r>
    </w:p>
    <w:p>
      <w:r>
        <w:t>Bericht über das Potenzial, bestehende Tuberkulose-Überwachungssysteme in Brasilien für die Frühdiagnose von Lungenkrebs zu nutzen.</w:t>
      </w:r>
    </w:p>
    <w:p>
      <w:r>
        <w:rPr>
          <w:b/>
        </w:rPr>
        <w:t xml:space="preserve">Ergebnis: </w:t>
      </w:r>
      <w:r>
        <w:t>TB-Netzwerk mit etablierten Screening- und Diagnostik-Strukturen könnte Lungenkrebserkennung beschleunigen; bisherige Aktivitäten und Barrieren werden erörtert, ohne quantitative Endpunkte.</w:t>
      </w:r>
    </w:p>
    <w:p>
      <w:r>
        <w:rPr>
          <w:b/>
          <w:sz w:val="19"/>
        </w:rPr>
        <w:t xml:space="preserve">Übertragbarkeit: </w:t>
      </w:r>
      <w:r>
        <w:rPr>
          <w:sz w:val="19"/>
        </w:rPr>
        <w:t>Niedrig-Ressourcen-Länder, für Deutschland ohne unmittelbare Anwendung</w:t>
      </w:r>
    </w:p>
    <w:p>
      <w:r>
        <w:rPr>
          <w:color w:val="5A7D3A"/>
          <w:sz w:val="18"/>
        </w:rPr>
        <w:t>https://pubmed.ncbi.nlm.nih.gov/42822486/</w:t>
      </w:r>
    </w:p>
    <w:p>
      <w:pPr>
        <w:pStyle w:val="Heading2"/>
      </w:pPr>
      <w:r>
        <w:t>Androgen-Rezeptor-Inhibitoren bessern PFS bei metastasiertem hormonsensitivem Prostatakarzinom</w:t>
      </w:r>
    </w:p>
    <w:p>
      <w:r>
        <w:rPr>
          <w:i/>
          <w:color w:val="666666"/>
          <w:sz w:val="18"/>
        </w:rPr>
        <w:t>Nwogu IB et al.  ·  JCO Oncol Pract  ·  01.10.2026  ·  PMID 42821836</w:t>
      </w:r>
    </w:p>
    <w:p>
      <w:r>
        <w:t>Real-World-Vergleichsstudie von Abiraterone, Apalutamide, Enzalutamide und Docetaxel je mit ADT bei metastasiertem hormonsensitivem Prostatakarzinom (mHSPC) in den USA 2019–2023.</w:t>
      </w:r>
    </w:p>
    <w:p>
      <w:r>
        <w:rPr>
          <w:b/>
        </w:rPr>
        <w:t xml:space="preserve">Ergebnis: </w:t>
      </w:r>
      <w:r>
        <w:t>Unter 9.141 Männern: ARPI-Dubletten zeigten gegenüber Docetaxel-Dubletten überlegene PFS (Abiraterone: aHR 0,60 [95% CI 0,55–0,66]; Apalutamide: aHR 0,64; Enzalutamide: aHR 0,57). Gesamtüberleben vergleichbar. TTP und Zeit bis neue Therapie ebenfalls besser unter ARPIs. Keine Unterschiede zwischen den ARPIs.</w:t>
      </w:r>
    </w:p>
    <w:p>
      <w:r>
        <w:rPr>
          <w:b/>
          <w:sz w:val="19"/>
        </w:rPr>
        <w:t xml:space="preserve">Übertragbarkeit: </w:t>
      </w:r>
      <w:r>
        <w:rPr>
          <w:sz w:val="19"/>
        </w:rPr>
        <w:t>USA-Gesundheitssystem mit unterschiedlicher Finanzierung, Ergebnis (ARPI-Überlegenheit) ist aber geräteunabhängig übertragbar</w:t>
      </w:r>
    </w:p>
    <w:p>
      <w:r>
        <w:rPr>
          <w:color w:val="5A7D3A"/>
          <w:sz w:val="18"/>
        </w:rPr>
        <w:t>https://pubmed.ncbi.nlm.nih.gov/42821836/</w:t>
      </w:r>
    </w:p>
    <w:p>
      <w:pPr>
        <w:pStyle w:val="Heading2"/>
      </w:pPr>
      <w:r>
        <w:t>Platinchemoresistentes Ovarialkarzinom: Behandlungsintensivierung verbessert Remissionsraten</w:t>
      </w:r>
    </w:p>
    <w:p>
      <w:r>
        <w:rPr>
          <w:i/>
          <w:color w:val="666666"/>
          <w:sz w:val="18"/>
        </w:rPr>
        <w:t>You B et al.  ·  JAMA Oncol  ·  01.10.2026  ·  PMID 42821287</w:t>
      </w:r>
    </w:p>
    <w:p>
      <w:r>
        <w:t>Systematische Übersicht über Strategien zur Chemosensitivierung bei schlecht chemosensitivem fortgeschrittenem serösen Ovarialkarzinom anhand von retrospektiven Post-hoc-Analysen prospektiver Phase-3-Studien.</w:t>
      </w:r>
    </w:p>
    <w:p>
      <w:r>
        <w:rPr>
          <w:b/>
        </w:rPr>
        <w:t xml:space="preserve">Ergebnis: </w:t>
      </w:r>
      <w:r>
        <w:t>Wöchentlich dosiertes Paclitaxel zeigte in der "2 red flags"-Subgruppe (schlechte Chemosensitivität) der ICON-8-Studie verbesserte Überlebensergebnisse. Bevacizumab addiert zu neoadjuvanter Chemotherapie oder Standardchemotherapie: Überlebenssignale in hochrisiko- und schlecht chemosensitiven Subgruppen. Phase-3-Studien SALVOVAR und Phase-1/2-Studie RegeNovar laufen prospektiv.</w:t>
      </w:r>
    </w:p>
    <w:p>
      <w:r>
        <w:rPr>
          <w:b/>
          <w:sz w:val="19"/>
        </w:rPr>
        <w:t xml:space="preserve">Übertragbarkeit: </w:t>
      </w:r>
      <w:r>
        <w:rPr>
          <w:sz w:val="19"/>
        </w:rPr>
        <w:t>Europäische Studienstandorte und ESMO-Guidelines, Therapiesequenzierung in deutschen Tumorzentren relevant</w:t>
      </w:r>
    </w:p>
    <w:p>
      <w:r>
        <w:rPr>
          <w:color w:val="5A7D3A"/>
          <w:sz w:val="18"/>
        </w:rPr>
        <w:t>https://pubmed.ncbi.nlm.nih.gov/42821287/</w:t>
      </w:r>
    </w:p>
    <w:p>
      <w:pPr>
        <w:pStyle w:val="Heading2"/>
      </w:pPr>
      <w:r>
        <w:t>Genomische Instabilität treibt gegensätzliche Immunantworten: Mechanismus für Immuntherapie-Resistenz</w:t>
      </w:r>
    </w:p>
    <w:p>
      <w:r>
        <w:rPr>
          <w:i/>
          <w:color w:val="666666"/>
          <w:sz w:val="18"/>
        </w:rPr>
        <w:t>Alouani E et al.  ·  Cancer Discov  ·  01.10.2026  ·  PMID 42817715</w:t>
      </w:r>
    </w:p>
    <w:p>
      <w:r>
        <w:t>Übersichtsarbeit zu zwei Formen genomischer Instabilität: Mutationsinstabilität versus Chromosomeninstabilität und deren gegensätzliche Effekte auf Tumor-Immunität.</w:t>
      </w:r>
    </w:p>
    <w:p>
      <w:r>
        <w:rPr>
          <w:b/>
        </w:rPr>
        <w:t xml:space="preserve">Ergebnis: </w:t>
      </w:r>
      <w:r>
        <w:t>Hypermutierte Tumoren generieren Neoantigene und sind sensibel für Checkpoint-Blockade. Chromosomeninstabilität triggert chronische angeborene Immunaktivierung mit Immunsuppression durch Myeloid- und T-Zell-Dysfunktion. Diese gegensätzlichen Mechanismen erfordern unterschiedliche Immuntherapie-Strategien.</w:t>
      </w:r>
    </w:p>
    <w:p>
      <w:r>
        <w:rPr>
          <w:b/>
          <w:sz w:val="19"/>
        </w:rPr>
        <w:t xml:space="preserve">Übertragbarkeit: </w:t>
      </w:r>
      <w:r>
        <w:rPr>
          <w:sz w:val="19"/>
        </w:rPr>
        <w:t>Grundlagenarbeit zur Immuntherapie-Resistenz, Basis für Stratifizierungsansätze in der Praxis</w:t>
      </w:r>
    </w:p>
    <w:p>
      <w:r>
        <w:rPr>
          <w:color w:val="5A7D3A"/>
          <w:sz w:val="18"/>
        </w:rPr>
        <w:t>https://pubmed.ncbi.nlm.nih.gov/42817715/</w:t>
      </w:r>
    </w:p>
    <w:p>
      <w:pPr>
        <w:pStyle w:val="Heading1"/>
      </w:pPr>
      <w:r>
        <w:t>Aufgenommen am 02.10.2026</w:t>
      </w:r>
    </w:p>
    <w:p>
      <w:pPr>
        <w:pStyle w:val="Heading2"/>
      </w:pPr>
      <w:r>
        <w:t>Stereotaktische MRT-gesteuerte adaptive Strahlentherapie verbessert Lokalkontrolle bei fortgeschrittenem Pankreaskarzinom</w:t>
      </w:r>
    </w:p>
    <w:p>
      <w:r>
        <w:rPr>
          <w:i/>
          <w:color w:val="666666"/>
          <w:sz w:val="18"/>
        </w:rPr>
        <w:t>Hartfelt PB et al.  ·  Radiother Oncol  ·  01.10.2026  ·  PMID 42822782</w:t>
      </w:r>
    </w:p>
    <w:p>
      <w:r>
        <w:t>Prospektive Studie zur MRT-gesteuerten adaptiven Strahlentherapie (SMART) bei 118 Patienten mit lokal fortgeschrittenem Pankreaskarzinom (50 Gy/5 Fraktionen).</w:t>
      </w:r>
    </w:p>
    <w:p>
      <w:r>
        <w:rPr>
          <w:b/>
        </w:rPr>
        <w:t xml:space="preserve">Ergebnis: </w:t>
      </w:r>
      <w:r>
        <w:t>Medianes Gesamtüberleben 13,2 Monate ab Therapiestart (95%-CI 10,4–15,9), 2-Jahres-Überleben 23,9%. Lokale Progression bei 15,0% nach 1 Jahr und 22,2% nach 2 Jahren. Akute Grad-≥III-Toxizität bei 5,4%, späte bei 3,2%. Fernprogression war dominantes Versagensmus ter.</w:t>
      </w:r>
    </w:p>
    <w:p>
      <w:r>
        <w:rPr>
          <w:b/>
          <w:sz w:val="19"/>
        </w:rPr>
        <w:t xml:space="preserve">Übertragbarkeit: </w:t>
      </w:r>
      <w:r>
        <w:rPr>
          <w:sz w:val="19"/>
        </w:rPr>
        <w:t>Dänemark (Odense), vergleichbares europäisches Gesundheitssystem, Technologie in deutschen Zentren verfügbar.</w:t>
      </w:r>
    </w:p>
    <w:p>
      <w:r>
        <w:rPr>
          <w:color w:val="5A7D3A"/>
          <w:sz w:val="18"/>
        </w:rPr>
        <w:t>https://pubmed.ncbi.nlm.nih.gov/42822782/</w:t>
      </w:r>
    </w:p>
    <w:p>
      <w:pPr>
        <w:pStyle w:val="Heading2"/>
      </w:pPr>
      <w:r>
        <w:t>Hohe SMAD4-Expression prognostiziert besseres Überleben nach Pankreaskarzinom-Resektion</w:t>
      </w:r>
    </w:p>
    <w:p>
      <w:r>
        <w:rPr>
          <w:i/>
          <w:color w:val="666666"/>
          <w:sz w:val="18"/>
        </w:rPr>
        <w:t>Williams TM et al.  ·  Int J Radiat Oncol Biol Phys  ·  01.10.2026  ·  PMID 42822544</w:t>
      </w:r>
    </w:p>
    <w:p>
      <w:r>
        <w:t>Biomarker-Analyse von 141 Tumorproben aus der Phase-III-Studie RTOG 9704 zur SMAD4-Expression und Überleben nach adjuvanter Chemoradiotherapie.</w:t>
      </w:r>
    </w:p>
    <w:p>
      <w:r>
        <w:rPr>
          <w:b/>
        </w:rPr>
        <w:t xml:space="preserve">Ergebnis: </w:t>
      </w:r>
      <w:r>
        <w:t>Hohe SMAD4-Expression assoziiert mit verbessertem rezidivfreiem Überleben (HR 0,68, 95%-CI 0,48–0,97, p=0,03) und Gesamtüberleben (HR 0,69, 95%-CI 0,48–0,99, p=0,04). Fernmetastasen-Risiko gesenkt (HR 0,69, p=0,048). Multivariable Analyse bestätigte unabhängige Assoziation für rezidivfreies Überleben (HR 0,66, p=0,03) und Fernmetastasen (HR 0,68, p=0,052).</w:t>
      </w:r>
    </w:p>
    <w:p>
      <w:r>
        <w:rPr>
          <w:b/>
          <w:sz w:val="19"/>
        </w:rPr>
        <w:t xml:space="preserve">Übertragbarkeit: </w:t>
      </w:r>
      <w:r>
        <w:rPr>
          <w:sz w:val="19"/>
        </w:rPr>
        <w:t>USA, Biomarker-Definition auf deutsche Pankreaskarzinom-Patienten übertragbar, Prognose-Stratifizierung möglich.</w:t>
      </w:r>
    </w:p>
    <w:p>
      <w:r>
        <w:rPr>
          <w:color w:val="5A7D3A"/>
          <w:sz w:val="18"/>
        </w:rPr>
        <w:t>https://pubmed.ncbi.nlm.nih.gov/42822544/</w:t>
      </w:r>
    </w:p>
    <w:p>
      <w:pPr>
        <w:pStyle w:val="Heading2"/>
      </w:pPr>
      <w:r>
        <w:t>Immuntherapie vor Lebertransplantation senkt Rezidivrisiko bei Hepatozellulärkarzinom</w:t>
      </w:r>
    </w:p>
    <w:p>
      <w:r>
        <w:rPr>
          <w:i/>
          <w:color w:val="666666"/>
          <w:sz w:val="18"/>
        </w:rPr>
        <w:t>Ong M et al.  ·  JAMA Oncol  ·  01.10.2026  ·  PMID 42821267</w:t>
      </w:r>
    </w:p>
    <w:p>
      <w:r>
        <w:t>Retrospektive Matched-Cohort-Studie mit 416 Patienten zur ICI-basierten Downstaging-Therapie vor Lebertransplantation bei initial über Milan-Kriterien liegendem Hepatozellulärkarzinom in acht hochvolumigen chinesischen Transplantationszentren.</w:t>
      </w:r>
    </w:p>
    <w:p>
      <w:r>
        <w:rPr>
          <w:b/>
        </w:rPr>
        <w:t xml:space="preserve">Ergebnis: </w:t>
      </w:r>
      <w:r>
        <w:t>Medianes Gesamtüberleben 4,57 Jahre (ICI-Gruppe, 95%-CI 4,34-n.e.) vs. 2,53 Jahre (Kontrollgruppe, p&lt;0,001). Medianes rezidivfreies Überleben 1,47 Jahre vs. 0,89 Jahre (p=0,02). Postoperatives Rezidivrisiko: HR 0,54 (95%-CI 0,40–0,72). Akute Abstoßung häufiger in ICI-Gruppe (16,3% vs. 8,2%, p=0,01).</w:t>
      </w:r>
    </w:p>
    <w:p>
      <w:r>
        <w:rPr>
          <w:b/>
          <w:sz w:val="19"/>
        </w:rPr>
        <w:t xml:space="preserve">Übertragbarkeit: </w:t>
      </w:r>
      <w:r>
        <w:rPr>
          <w:sz w:val="19"/>
        </w:rPr>
        <w:t>Studiendesign auf europäische Transplantationszentren übertragbar, aber China-spezifische Organverfügbarkeit und Immunsuppression – Sicherheit vor Wirksamkeit klären.</w:t>
      </w:r>
    </w:p>
    <w:p>
      <w:r>
        <w:rPr>
          <w:color w:val="5A7D3A"/>
          <w:sz w:val="18"/>
        </w:rPr>
        <w:t>https://pubmed.ncbi.nlm.nih.gov/42821267/</w:t>
      </w:r>
    </w:p>
    <w:p>
      <w:pPr>
        <w:pStyle w:val="Heading2"/>
      </w:pPr>
      <w:r>
        <w:t>Immuntherapie in der Pädiatrie reduziert Spätfolgen-Mortalität beim Hodgkin-Lymphom</w:t>
      </w:r>
    </w:p>
    <w:p>
      <w:r>
        <w:rPr>
          <w:i/>
          <w:color w:val="666666"/>
          <w:sz w:val="18"/>
        </w:rPr>
        <w:t>Rogers JR et al.  ·  J Natl Cancer Inst  ·  01.10.2026  ·  PMID 42820770</w:t>
      </w:r>
    </w:p>
    <w:p>
      <w:r>
        <w:t>Simulationsmodell zur Lebenszeitprognose von 118 Kindern und Adoleszenten mit fortgeschrittenem Hodgkin-Lymphom unter modernen Brentuximab-vedotin- oder Nivolumab-Regimen vs. historischen Chemotherapie-Schemata.</w:t>
      </w:r>
    </w:p>
    <w:p>
      <w:r>
        <w:rPr>
          <w:b/>
        </w:rPr>
        <w:t xml:space="preserve">Ergebnis: </w:t>
      </w:r>
      <w:r>
        <w:t>Überlebensrate im Alter von 50 Jahren: 86% nach historischen und 92–93% nach modernen Immuntherapie-basierten Regimen (vs. 100% in Allgemeinbevölkerung). Überlebensvorteil persistiert, solange immuntherapie-assoziierte Spätsterblichkeit unter ca. 8% bleibt. Modell suggeriert Reduktion der Spätfolge-Last trotz Überlebensvorteil.</w:t>
      </w:r>
    </w:p>
    <w:p>
      <w:r>
        <w:rPr>
          <w:b/>
          <w:sz w:val="19"/>
        </w:rPr>
        <w:t xml:space="preserve">Übertragbarkeit: </w:t>
      </w:r>
      <w:r>
        <w:rPr>
          <w:sz w:val="19"/>
        </w:rPr>
        <w:t>USA-basiert, aber Endpunkt (Langzeitüberleben, Spätfolgen) tumorentitäts- und systemunabhängig.</w:t>
      </w:r>
    </w:p>
    <w:p>
      <w:r>
        <w:rPr>
          <w:color w:val="5A7D3A"/>
          <w:sz w:val="18"/>
        </w:rPr>
        <w:t>https://pubmed.ncbi.nlm.nih.gov/42820770/</w:t>
      </w:r>
    </w:p>
    <w:p>
      <w:pPr>
        <w:pStyle w:val="Heading2"/>
      </w:pPr>
      <w:r>
        <w:t>Onkolytisches Adenovirus mit Hyaluronidase verbessert Überleben bei metastasiertem Pankreaskarzinom</w:t>
      </w:r>
    </w:p>
    <w:p>
      <w:r>
        <w:rPr>
          <w:i/>
          <w:color w:val="666666"/>
          <w:sz w:val="18"/>
        </w:rPr>
        <w:t>Garcia-Carbonero R et al.  ·  Nat Med  ·  30.09.2026  ·  PMID 42816596</w:t>
      </w:r>
    </w:p>
    <w:p>
      <w:r>
        <w:t>Randomisierte Phase-2b-Studie mit 101 Patienten (53 VCN-01+Gemcitabin/nab-Paclitaxel, 48 Chemotherapie allein) zur First-Line-Therapie des metastasierten Pankreaskarzinoms.</w:t>
      </w:r>
    </w:p>
    <w:p>
      <w:r>
        <w:rPr>
          <w:b/>
        </w:rPr>
        <w:t xml:space="preserve">Ergebnis: </w:t>
      </w:r>
      <w:r>
        <w:t>Medianes Gesamtüberleben in Full-Analysis-Set: 10,8 Monate (VCN-01-Gruppe) vs. 8,6 Monate (Kontrolle; HR 0,57, 95%-CI 0,34–0,96, p=0,055). Progressionsfreies Überleben 7,0 vs. 4,6 Monate (HR 0,55, p=0,011). 15-Monats-Überleben 35,5% vs. 12,8%, 18-Monats-Überleben 31,1% vs. 8,5%. Ansprechdauer 11,2 vs. 5,4 Monate (p=0,004).</w:t>
      </w:r>
    </w:p>
    <w:p>
      <w:r>
        <w:rPr>
          <w:b/>
          <w:sz w:val="19"/>
        </w:rPr>
        <w:t xml:space="preserve">Übertragbarkeit: </w:t>
      </w:r>
      <w:r>
        <w:rPr>
          <w:sz w:val="19"/>
        </w:rPr>
        <w:t>Spanien und USA, Zulassung in Phase-3 ausstehend – Transfer zu AMNOG-Bewertung notwendig.</w:t>
      </w:r>
    </w:p>
    <w:p>
      <w:r>
        <w:rPr>
          <w:color w:val="5A7D3A"/>
          <w:sz w:val="18"/>
        </w:rPr>
        <w:t>https://pubmed.ncbi.nlm.nih.gov/42816596/</w:t>
      </w:r>
    </w:p>
    <w:p>
      <w:pPr>
        <w:pStyle w:val="Heading2"/>
      </w:pPr>
      <w:r>
        <w:t>Liquid Biopsy und Tumorvolumen verbessern Überlebensprognose bei metastasierten Malignomen</w:t>
      </w:r>
    </w:p>
    <w:p>
      <w:r>
        <w:rPr>
          <w:i/>
          <w:color w:val="666666"/>
          <w:sz w:val="18"/>
        </w:rPr>
        <w:t>Choucair A et al.  ·  Eur J Cancer  ·  25.09.2026  ·  PMID 42815199</w:t>
      </w:r>
    </w:p>
    <w:p>
      <w:r>
        <w:t>Retrospektive Pankrebs-Kohortenstudie mit 719 Patienten (Training n=570, Validierung n=149) zur kombinierten Prognostik durch Tumorfrakt ion in Blutplasma, CT-Tumorvolumen und Body-Composition.</w:t>
      </w:r>
    </w:p>
    <w:p>
      <w:r>
        <w:rPr>
          <w:b/>
        </w:rPr>
        <w:t xml:space="preserve">Ergebnis: </w:t>
      </w:r>
      <w:r>
        <w:t>28,2% der Patienten zeigten Tumorfrakt ion=0% trotz messbaren Tumors (medianes Volumen 43,6 cm³). Kombiniertes Modell (Tumorfrakt ion + Volumen + klinische Variablen) erreichte C-Index 0,678, besser als Tumorfrakt ion allein (0,634, p=0,04) oder nur klinische Variablen (0,563, p=0,004). Risiko stratifizierung zeigte markant unterschiedliche Überlebensraten (8,3 vs. &gt;25 Monate, p&lt;0,001).</w:t>
      </w:r>
    </w:p>
    <w:p>
      <w:r>
        <w:rPr>
          <w:b/>
          <w:sz w:val="19"/>
        </w:rPr>
        <w:t xml:space="preserve">Übertragbarkeit: </w:t>
      </w:r>
      <w:r>
        <w:rPr>
          <w:sz w:val="19"/>
        </w:rPr>
        <w:t>Frankreich (Gustave Roussy), validiertes prospektives Design für deutsche Zentren nachbildbar.</w:t>
      </w:r>
    </w:p>
    <w:p>
      <w:r>
        <w:rPr>
          <w:color w:val="5A7D3A"/>
          <w:sz w:val="18"/>
        </w:rPr>
        <w:t>https://pubmed.ncbi.nlm.nih.gov/42815199/</w:t>
      </w:r>
    </w:p>
    <w:p>
      <w:pPr>
        <w:pStyle w:val="Heading1"/>
      </w:pPr>
      <w:r>
        <w:t>Aufgenommen am 01.10.2026</w:t>
      </w:r>
    </w:p>
    <w:p>
      <w:pPr>
        <w:pStyle w:val="Heading2"/>
      </w:pPr>
      <w:r>
        <w:t>Strahlentherapie mit Antikörper-Wirkstoff-Konjugaten bei Brustkrebs: Sicherheit belegt</w:t>
      </w:r>
    </w:p>
    <w:p>
      <w:r>
        <w:rPr>
          <w:i/>
          <w:color w:val="666666"/>
          <w:sz w:val="18"/>
        </w:rPr>
        <w:t>Visani L et al.  ·  Radiother Oncol  ·  30.09.2026  ·  PMID 42815776</w:t>
      </w:r>
    </w:p>
    <w:p>
      <w:r>
        <w:t>Systematische Übersicht mit Metaanalyse von 29 Studien (3.817 Patienten) zur Verträglichkeit kombinierter Radiotherapie und Antikörper-Wirkstoff-Konjugaten bei frühem und metastasiertem Brustkrebs.</w:t>
      </w:r>
    </w:p>
    <w:p>
      <w:r>
        <w:rPr>
          <w:b/>
        </w:rPr>
        <w:t xml:space="preserve">Ergebnis: </w:t>
      </w:r>
      <w:r>
        <w:t>Schwere Strahlengewebsnekrose trat in 5% der Fälle auf (95%-KI: 1–12%). Bei intracranialer Stereotaxie waren 8% der Ereignisse ≥Grad 3 (95%-KI: 3–15%), mit T-DM1 13% (95%-KI: 1–34%). Pneumonitis und Hautreaktionen ≥Grad 3 waren selten (je 0%). Außerhalb des Schädels ist die Therapiekombination sicher; intracraniell, besonders mit T-DM1, ist Vorsicht geboten.</w:t>
      </w:r>
    </w:p>
    <w:p>
      <w:r>
        <w:rPr>
          <w:b/>
          <w:sz w:val="19"/>
        </w:rPr>
        <w:t xml:space="preserve">Übertragbarkeit: </w:t>
      </w:r>
      <w:r>
        <w:rPr>
          <w:sz w:val="19"/>
        </w:rPr>
        <w:t>Europa, internationale Konsensusgruppe; übertragbar auf deutsche Zentren.</w:t>
      </w:r>
    </w:p>
    <w:p>
      <w:r>
        <w:rPr>
          <w:color w:val="5A7D3A"/>
          <w:sz w:val="18"/>
        </w:rPr>
        <w:t>https://pubmed.ncbi.nlm.nih.gov/42815776/</w:t>
      </w:r>
    </w:p>
    <w:p>
      <w:pPr>
        <w:pStyle w:val="Heading2"/>
      </w:pPr>
      <w:r>
        <w:t>Erdafitinib verlängert Überleben bei FGFR-verändertem Urothelkarzinom deutlich</w:t>
      </w:r>
    </w:p>
    <w:p>
      <w:r>
        <w:rPr>
          <w:i/>
          <w:color w:val="666666"/>
          <w:sz w:val="18"/>
        </w:rPr>
        <w:t>Loriot Y et al.  ·  ESMO Open  ·  30.09.2026  ·  PMID 42815410</w:t>
      </w:r>
    </w:p>
    <w:p>
      <w:r>
        <w:t>Phase-III-Studie THOR mit 278 Patienten mit FGFR3/2-alteriertem metastasiertem Urothelkarzinom nach PD-(L)1-Progression: Erdafitinib gegen Chemotherapie (Docetaxel/Vinflunin).</w:t>
      </w:r>
    </w:p>
    <w:p>
      <w:r>
        <w:rPr>
          <w:b/>
        </w:rPr>
        <w:t xml:space="preserve">Ergebnis: </w:t>
      </w:r>
      <w:r>
        <w:t>Medianes Gesamtüberleben: 12,1 vs. 8,7 Monate (HR 0,65; 95%-KI 0,48–0,86; p=0,0031). Progressionsfreies Überleben: 5,4 vs. 2,7 Monate (HR 0,59; p&lt;0,0001). Ansprechrate: 46,9% vs. 12,6% (RR 3,74). Schwere Nebenwirkungen 67,6% vs. 65,8%; therapieassoziierte Todesfälle 0,7% vs. 6,0%.</w:t>
      </w:r>
    </w:p>
    <w:p>
      <w:r>
        <w:rPr>
          <w:b/>
          <w:sz w:val="19"/>
        </w:rPr>
        <w:t xml:space="preserve">Übertragbarkeit: </w:t>
      </w:r>
      <w:r>
        <w:rPr>
          <w:sz w:val="19"/>
        </w:rPr>
        <w:t>Internationale Studie; Zulassung relevant für Deutschland.</w:t>
      </w:r>
    </w:p>
    <w:p>
      <w:r>
        <w:rPr>
          <w:color w:val="5A7D3A"/>
          <w:sz w:val="18"/>
        </w:rPr>
        <w:t>https://pubmed.ncbi.nlm.nih.gov/42815410/</w:t>
      </w:r>
    </w:p>
    <w:p>
      <w:pPr>
        <w:pStyle w:val="Heading2"/>
      </w:pPr>
      <w:r>
        <w:t>Verzögerte Übelkeit unter moderater Chemoemesis-Gefährdung: Untererfassung über 120 Stunden hinaus</w:t>
      </w:r>
    </w:p>
    <w:p>
      <w:r>
        <w:rPr>
          <w:i/>
          <w:color w:val="666666"/>
          <w:sz w:val="18"/>
        </w:rPr>
        <w:t>Iimura Y et al.  ·  ESMO Open  ·  30.09.2026  ·  PMID 42815409</w:t>
      </w:r>
    </w:p>
    <w:p>
      <w:r>
        <w:t>Scoping Review systematischer Erfassung verzögerter chemotherapieassoziierter Übelkeit/Erbrechen (&gt;120 h) in 26 prospektiven Antiemetika-Studien (15 Phase III, 11 Phase II).</w:t>
      </w:r>
    </w:p>
    <w:p>
      <w:r>
        <w:rPr>
          <w:b/>
        </w:rPr>
        <w:t xml:space="preserve">Ergebnis: </w:t>
      </w:r>
      <w:r>
        <w:t>80,8% der Studien beschränkten Erfassung auf konventionelle 24–120 h. Komplette Remissionsquoten fielen von 71% in der Standardphase auf 62% in der Langzeitphase (&gt;120 h). Neurokinin-1-Antagonisten und ältere Patienten zeigten bessere Raten, höherer Frauenanteil schlechtere. Verlängerung der Erfassung wird empfohlen.</w:t>
      </w:r>
    </w:p>
    <w:p>
      <w:r>
        <w:rPr>
          <w:b/>
          <w:sz w:val="19"/>
        </w:rPr>
        <w:t xml:space="preserve">Übertragbarkeit: </w:t>
      </w:r>
      <w:r>
        <w:rPr>
          <w:sz w:val="19"/>
        </w:rPr>
        <w:t>Multizentrisch mit deutschen Autoren; Versorgungsforschungsfrage.</w:t>
      </w:r>
    </w:p>
    <w:p>
      <w:r>
        <w:rPr>
          <w:color w:val="5A7D3A"/>
          <w:sz w:val="18"/>
        </w:rPr>
        <w:t>https://pubmed.ncbi.nlm.nih.gov/42815409/</w:t>
      </w:r>
    </w:p>
    <w:p>
      <w:pPr>
        <w:pStyle w:val="Heading2"/>
      </w:pPr>
      <w:r>
        <w:t>Abemaciclib plus endokrine Therapie bei HR-positivem Brustkrebs: Nutzen über Lymphknoten-Subgruppen konsistent</w:t>
      </w:r>
    </w:p>
    <w:p>
      <w:r>
        <w:rPr>
          <w:i/>
          <w:color w:val="666666"/>
          <w:sz w:val="18"/>
        </w:rPr>
        <w:t>Cortes J et al.  ·  ESMO Open  ·  30.09.2026  ·  PMID 42815408</w:t>
      </w:r>
    </w:p>
    <w:p>
      <w:r>
        <w:t>Nachfolgeanalyse monarchE-Studie, Kohort 1 (91% der Gesamtpopulation): Abemaciclib + endokrine Therapie über 2 Jahre bei knoten-positiven Hochrisiko-Patienten mit HR-positivem, HER2-negativem frühem Brustkrebs nach medianer Nachbeobachtung 76,8 Monate.</w:t>
      </w:r>
    </w:p>
    <w:p>
      <w:r>
        <w:rPr>
          <w:b/>
        </w:rPr>
        <w:t xml:space="preserve">Ergebnis: </w:t>
      </w:r>
      <w:r>
        <w:t>Konsistent anhaltender Rückgang des Rezidivrisikos (invasives krankheitsfreies Überleben) und fernmetastasenfreies Überleben über alle Lymphknoten-Subgruppen (N1-Hochrisiko, N2, N3). Ähnliches Rezidivrisiko zwischen N1-Hochrisiko (68,6% Grad 3) und N2; Nutzen in allen Subgruppen bestätigt.</w:t>
      </w:r>
    </w:p>
    <w:p>
      <w:r>
        <w:rPr>
          <w:b/>
          <w:sz w:val="19"/>
        </w:rPr>
        <w:t xml:space="preserve">Übertragbarkeit: </w:t>
      </w:r>
      <w:r>
        <w:rPr>
          <w:sz w:val="19"/>
        </w:rPr>
        <w:t>Zulassungsrelevante Phase-III-Studie; Zentrenstandard.</w:t>
      </w:r>
    </w:p>
    <w:p>
      <w:r>
        <w:rPr>
          <w:color w:val="5A7D3A"/>
          <w:sz w:val="18"/>
        </w:rPr>
        <w:t>https://pubmed.ncbi.nlm.nih.gov/42815408/</w:t>
      </w:r>
    </w:p>
    <w:p>
      <w:pPr>
        <w:pStyle w:val="Heading2"/>
      </w:pPr>
      <w:r>
        <w:t>Giredestrant + Everolimus verdoppelt progressionsfreies Überleben bei HR+/HER2- metastasiertem Brustkrebs</w:t>
      </w:r>
    </w:p>
    <w:p>
      <w:r>
        <w:rPr>
          <w:i/>
          <w:color w:val="666666"/>
          <w:sz w:val="18"/>
        </w:rPr>
        <w:t>Mayer EL et al.  ·  N Engl J Med  ·  01.10.2026  ·  PMID 42814929</w:t>
      </w:r>
    </w:p>
    <w:p>
      <w:r>
        <w:t>Phase-III-Studie evERA mit 373 Patienten HR-positiv/HER2-negativ fortgeschrittenem Brustkrebs nach CDK4/6-Inhibitor-Versagen: Giredestrant + Everolimus vs. Standard endokrine Therapie + Everolimus.</w:t>
      </w:r>
    </w:p>
    <w:p>
      <w:r>
        <w:rPr>
          <w:b/>
        </w:rPr>
        <w:t xml:space="preserve">Ergebnis: </w:t>
      </w:r>
      <w:r>
        <w:t>Medianes progressionsfreies Überleben gesamt: 8,8 vs. 5,5 Monate (HR 0,56; 95%-KI 0,44–0,71; p&lt;0,001). Bei ESR1-mutiert (n=207): 10,0 vs. 5,5 Monate (HR 0,38; 95%-KI 0,27–0,54). Nebenwirkungsraten ähnlich: Stomatitis 47,3% vs. 48,9%, Diarrhö 26,9% vs. 22,6%, Anämie 23,6% vs. 21,0%.</w:t>
      </w:r>
    </w:p>
    <w:p>
      <w:r>
        <w:rPr>
          <w:b/>
          <w:sz w:val="19"/>
        </w:rPr>
        <w:t xml:space="preserve">Übertragbarkeit: </w:t>
      </w:r>
      <w:r>
        <w:rPr>
          <w:sz w:val="19"/>
        </w:rPr>
        <w:t>Zulassungsrelevant; breites europäisches Netzwerk.</w:t>
      </w:r>
    </w:p>
    <w:p>
      <w:r>
        <w:rPr>
          <w:color w:val="5A7D3A"/>
          <w:sz w:val="18"/>
        </w:rPr>
        <w:t>https://pubmed.ncbi.nlm.nih.gov/42814929/</w:t>
      </w:r>
    </w:p>
    <w:p>
      <w:pPr>
        <w:pStyle w:val="Heading2"/>
      </w:pPr>
      <w:r>
        <w:t>Tumor-Adipozyten-Kontakt prognostiziert schlechteres Überleben beim Pankreaskarzinom unabhängig</w:t>
      </w:r>
    </w:p>
    <w:p>
      <w:r>
        <w:rPr>
          <w:i/>
          <w:color w:val="666666"/>
          <w:sz w:val="18"/>
        </w:rPr>
        <w:t>Günther M et al.  ·  Eur J Cancer  ·  16.10.2026  ·  PMID 42777382</w:t>
      </w:r>
    </w:p>
    <w:p>
      <w:r>
        <w:t>Internationale Multicenter-Studie (941 resezierte PDAC aus 5 Kohorten: München n=400, Bern n=215, Graz n=111, Erlangen n=101, TCGA n=114): Direkte Tumor-Adipozyten-Kontaktflächen (TAC/SARIFA) auf H&amp;E-Schnitten als prognostisches Merkmal.</w:t>
      </w:r>
    </w:p>
    <w:p>
      <w:r>
        <w:rPr>
          <w:b/>
        </w:rPr>
        <w:t xml:space="preserve">Ergebnis: </w:t>
      </w:r>
      <w:r>
        <w:t>TAC/SARIFA in 53% positiv, Cohen's Kappa 0,71 (Interobserver-Agreement). TAC+ assoziiert mit höherem N-Stadium, höherem Grad, älteren Patienten (alle p&lt;0,01). Medianes Gesamtüberleben 14,1 vs. 28,0 Monate (p&lt;0,001); unabhängiger Prognosefaktor (gepoolte HR 1,84; 95%-KI 1,59–2,14; p&lt;0,001). Geschlechtsspezifischer Effekt: HR 2,46 bei Männern vs. 1,50 bei Frauen.</w:t>
      </w:r>
    </w:p>
    <w:p>
      <w:r>
        <w:rPr>
          <w:b/>
          <w:sz w:val="19"/>
        </w:rPr>
        <w:t xml:space="preserve">Übertragbarkeit: </w:t>
      </w:r>
      <w:r>
        <w:rPr>
          <w:sz w:val="19"/>
        </w:rPr>
        <w:t>Deutschsprachige Klinikdaten, vergleichbare Dokumentation; Routine-H&amp;E-Slides.</w:t>
      </w:r>
    </w:p>
    <w:p>
      <w:r>
        <w:rPr>
          <w:color w:val="5A7D3A"/>
          <w:sz w:val="18"/>
        </w:rPr>
        <w:t>https://pubmed.ncbi.nlm.nih.gov/42777382/</w:t>
      </w:r>
    </w:p>
    <w:p>
      <w:pPr>
        <w:pStyle w:val="Heading2"/>
      </w:pPr>
      <w:r>
        <w:t>Futibatinib nach nicht-kovalenten FGFR-Inhibitoren bei FGFR2-verändertem Gallengangskarzinom wirksam</w:t>
      </w:r>
    </w:p>
    <w:p>
      <w:r>
        <w:rPr>
          <w:i/>
          <w:color w:val="666666"/>
          <w:sz w:val="18"/>
        </w:rPr>
        <w:t>Casalino S et al.  ·  Eur J Cancer  ·  16.10.2026  ·  PMID 42731348</w:t>
      </w:r>
    </w:p>
    <w:p>
      <w:r>
        <w:t>Retrospektive europäische Multicenter-Studie (3 Zentren) an 16 Patienten mit FGFR2-rearrangiertem intrahepatischem Cholangiokarziom: Futibatinib nach Progression unter nicht-kovalenten FGFR-Inhibitoren.</w:t>
      </w:r>
    </w:p>
    <w:p>
      <w:r>
        <w:rPr>
          <w:b/>
        </w:rPr>
        <w:t xml:space="preserve">Ergebnis: </w:t>
      </w:r>
      <w:r>
        <w:t>Medianes PFS unter nicht-kovalenten Inhibitoren: 10,2 Monate (95%-KI 7,0–15,5), Ansprechrate 60,0%. Mit Futibatinib (Viertlinien-Median): ORR 31,3%, Kontrolle 50,0%, medianes PFS 4,5 Monate (95%-KI 2,0–9,1), medianes OS 9,9 Monate (95%-KI 5,7–nicht erreicht). FGFR2-Resistenzmutationen in 100% (n=11), polyklonal 45,5%. Effizienz unabhängig von Anzahl Resistenzmutationen.</w:t>
      </w:r>
    </w:p>
    <w:p>
      <w:r>
        <w:rPr>
          <w:b/>
          <w:sz w:val="19"/>
        </w:rPr>
        <w:t xml:space="preserve">Übertragbarkeit: </w:t>
      </w:r>
      <w:r>
        <w:rPr>
          <w:sz w:val="19"/>
        </w:rPr>
        <w:t>Deutschland und italienische/britische Zentren; Mechanismus-Beweis für kovalente Nachfolgetherapie.</w:t>
      </w:r>
    </w:p>
    <w:p>
      <w:r>
        <w:rPr>
          <w:color w:val="5A7D3A"/>
          <w:sz w:val="18"/>
        </w:rPr>
        <w:t>https://pubmed.ncbi.nlm.nih.gov/42731348/</w:t>
      </w:r>
    </w:p>
    <w:p>
      <w:pPr>
        <w:pStyle w:val="Heading1"/>
      </w:pPr>
      <w:r>
        <w:t>Aufgenommen am 30.09.2026</w:t>
      </w:r>
    </w:p>
    <w:p>
      <w:pPr>
        <w:pStyle w:val="Heading2"/>
      </w:pPr>
      <w:r>
        <w:t>Bewegungsintervention verbessert Aufmerksamkeit bei Brustkrebsüberlebenden.</w:t>
      </w:r>
    </w:p>
    <w:p>
      <w:r>
        <w:rPr>
          <w:i/>
          <w:color w:val="666666"/>
          <w:sz w:val="18"/>
        </w:rPr>
        <w:t>Hartman SJ et al.  ·  J Natl Cancer Inst  ·  30.09.2026  ·  PMID 42810736</w:t>
      </w:r>
    </w:p>
    <w:p>
      <w:r>
        <w:t>Randomisierte kontrollierte Studie mit 253 Brustkrebsüberlebenden: 12 Monate ferngesteuerte Bewegungsintervention vs. Kontakt-gematchte Health-&amp;-Wellness-Kontrolle auf Kognition und körperliche Aktivität.</w:t>
      </w:r>
    </w:p>
    <w:p>
      <w:r>
        <w:rPr>
          <w:b/>
        </w:rPr>
        <w:t xml:space="preserve">Ergebnis: </w:t>
      </w:r>
      <w:r>
        <w:t>Bewegungsarm zeigte größere Zunahme an moderater bis intensiver Aktivität (18 auf 23,5 Min./Tag vs. 15 auf 15,5 Min.). Kein signifikanter Unterschied in primären Outcomes (Selbstbericht Kognition, Processing Speed, 6 und 12 Monate, p &gt; 0,05). Sekundäre Outcomes: Bewegungsarm bessere Aufmerksamkeit (6 Mo.: b = 0,14, p = 0,03; 12 Mo.: b = 0,21, p = 0,002) und kurzfristig besseres Gedächtnis (6 Mo.: b = 0,18, p &lt; 0,01).</w:t>
      </w:r>
    </w:p>
    <w:p>
      <w:r>
        <w:rPr>
          <w:b/>
          <w:sz w:val="19"/>
        </w:rPr>
        <w:t xml:space="preserve">Übertragbarkeit: </w:t>
      </w:r>
      <w:r>
        <w:rPr>
          <w:sz w:val="19"/>
        </w:rPr>
        <w:t>USA-amerikanisches Forschungssetting, aber patientenrelevanter Endpunkt und gut skalierbare Fernintervention.</w:t>
      </w:r>
    </w:p>
    <w:p>
      <w:r>
        <w:rPr>
          <w:color w:val="5A7D3A"/>
          <w:sz w:val="18"/>
        </w:rPr>
        <w:t>https://pubmed.ncbi.nlm.nih.gov/42810736/</w:t>
      </w:r>
    </w:p>
    <w:p>
      <w:pPr>
        <w:pStyle w:val="Heading2"/>
      </w:pPr>
      <w:r>
        <w:t>Bewegung verlangsamt epigenetisches Altern bei Brustkrebsüberlebenden.</w:t>
      </w:r>
    </w:p>
    <w:p>
      <w:r>
        <w:rPr>
          <w:i/>
          <w:color w:val="666666"/>
          <w:sz w:val="18"/>
        </w:rPr>
        <w:t>Carlin D et al.  ·  J Natl Cancer Inst  ·  30.09.2026  ·  PMID 42810733</w:t>
      </w:r>
    </w:p>
    <w:p>
      <w:r>
        <w:t>Sekundäranalyse einer RCT mit 124 Brustkrebsüberlebenden: Auswirkung einer 12-Monate-Bewegungsintervention auf DNA-Methylierungsmuster (epigenetische Uhren).</w:t>
      </w:r>
    </w:p>
    <w:p>
      <w:r>
        <w:rPr>
          <w:b/>
        </w:rPr>
        <w:t xml:space="preserve">Ergebnis: </w:t>
      </w:r>
      <w:r>
        <w:t>Bewegungsarm zeigte verlangsamtes epigenetisches Altern nach GrimAge2 (p = 0,02) und DNAmFitAge (p = 0,002) vs. Kontrolle über 12 Monate. Schnelleres epigenetisches Altern mit größerem kognitiven Abbau assoziiert. Genomweite Analyse: differenziell methylierte Stellen mit Anreicherung in BDNF-Signalwegen. Epigenetisches Altern als modifizierbar durch Bewegung und möglicherweise mechanistisches Bindeglied zu kognitiven Effekten.</w:t>
      </w:r>
    </w:p>
    <w:p>
      <w:r>
        <w:rPr>
          <w:b/>
          <w:sz w:val="19"/>
        </w:rPr>
        <w:t xml:space="preserve">Übertragbarkeit: </w:t>
      </w:r>
      <w:r>
        <w:rPr>
          <w:sz w:val="19"/>
        </w:rPr>
        <w:t>USA-Studie, aber biologischer Mechanismus und patientenrelevantes Outcome übertragbar.</w:t>
      </w:r>
    </w:p>
    <w:p>
      <w:r>
        <w:rPr>
          <w:color w:val="5A7D3A"/>
          <w:sz w:val="18"/>
        </w:rPr>
        <w:t>https://pubmed.ncbi.nlm.nih.gov/42810733/</w:t>
      </w:r>
    </w:p>
    <w:p>
      <w:pPr>
        <w:pStyle w:val="Heading2"/>
      </w:pPr>
      <w:r>
        <w:t>Pembrolizumab-Monotherapie beim Nierenzellkarzinom: Biomarker und Langzeitergebnisse.</w:t>
      </w:r>
    </w:p>
    <w:p>
      <w:r>
        <w:rPr>
          <w:i/>
          <w:color w:val="666666"/>
          <w:sz w:val="18"/>
        </w:rPr>
        <w:t>McDermott DF et al.  ·  Ann Oncol  ·  29.09.2026  ·  PMID 42810586</w:t>
      </w:r>
    </w:p>
    <w:p>
      <w:r>
        <w:t>Phase-II-Studie KEYNOTE-427 nach Median 61 Monaten Follow-up: Objektives Ansprechen und Prognosefaktoren für Pembrolizumab ohne Kombinationstherapie bei klarzelliger und nicht-klarzelliger RCC.</w:t>
      </w:r>
    </w:p>
    <w:p>
      <w:r>
        <w:rPr>
          <w:b/>
        </w:rPr>
        <w:t xml:space="preserve">Ergebnis: </w:t>
      </w:r>
      <w:r>
        <w:t>Objektive Ansprechrate 36,4 % (klarzelliges RCC) und 26,7 % (nicht-klarzelliges RCC). T-Zell-entzündliches Genexpressionsprofil (TcellinfGEP) assoziiert mit höherem Ansprechen (p = 0,0208 bzw. p = 0,0021). PD-L1 CPS kontinuierlich mit Gesamtüberleben korreliert (nicht-klarzelliges RCC: p = 0,0014). Patienten mit nachweisbarer ctDNA am Baseline hatten kürzeres OS (30,5 vs. 53,7 Monate). Treibermutationen zeigten keine konsistenten Muster.</w:t>
      </w:r>
    </w:p>
    <w:p>
      <w:r>
        <w:rPr>
          <w:b/>
          <w:sz w:val="19"/>
        </w:rPr>
        <w:t xml:space="preserve">Übertragbarkeit: </w:t>
      </w:r>
      <w:r>
        <w:rPr>
          <w:sz w:val="19"/>
        </w:rPr>
        <w:t>Nordamerikanische Kohorte, internationale Zentren, Biomarker-Erkenntnisse für Präzisionstherapie übertragbar.</w:t>
      </w:r>
    </w:p>
    <w:p>
      <w:r>
        <w:rPr>
          <w:color w:val="5A7D3A"/>
          <w:sz w:val="18"/>
        </w:rPr>
        <w:t>https://pubmed.ncbi.nlm.nih.gov/42810586/</w:t>
      </w:r>
    </w:p>
    <w:p>
      <w:pPr>
        <w:pStyle w:val="Heading2"/>
      </w:pPr>
      <w:r>
        <w:t>Lebensqualität in Adjuvansstudien: Neue Standards zur Berichterstattung.</w:t>
      </w:r>
    </w:p>
    <w:p>
      <w:r>
        <w:rPr>
          <w:i/>
          <w:color w:val="666666"/>
          <w:sz w:val="18"/>
        </w:rPr>
        <w:t>Tannock IF et al.  ·  Lancet Oncol  ·  29.09.2026  ·  PMID 42810369</w:t>
      </w:r>
    </w:p>
    <w:p>
      <w:r>
        <w:t>Konsensempfehlungen europäischer und kanadischer Leitlinienautoren zur Erfassung und Darstellung der gesundheitsbezogenen Lebensqualität in Publikationen von Zulassungsstudien der adjuvanten Systemtherapie.</w:t>
      </w:r>
    </w:p>
    <w:p>
      <w:r>
        <w:rPr>
          <w:b/>
        </w:rPr>
        <w:t xml:space="preserve">Ergebnis: </w:t>
      </w:r>
      <w:r>
        <w:t>Die Studienautoren empfehlen, den Anteil der Patienten mit vordefinierter Verschlechterung in validierten Lebensqualitätsskalen sowie die Dauer dieser Beeinträchtigung während und nach Therapie zu dokumentieren. Symptome, Funktionsfähigkeit und Gesamtlebensqualität sollen differenzieren zwischen Patienten mit und ohne klinisch bedeutsame Toxizität. Diese Angaben sind im Primärbericht essentiell für informed treatment decisions.</w:t>
      </w:r>
    </w:p>
    <w:p>
      <w:r>
        <w:rPr>
          <w:b/>
          <w:sz w:val="19"/>
        </w:rPr>
        <w:t xml:space="preserve">Übertragbarkeit: </w:t>
      </w:r>
      <w:r>
        <w:rPr>
          <w:sz w:val="19"/>
        </w:rPr>
        <w:t>Europäische Autorenschaft, Standard für randomisierte Therapiestudien, übertragbar auf deutsches Zulassungswesen.</w:t>
      </w:r>
    </w:p>
    <w:p>
      <w:r>
        <w:rPr>
          <w:color w:val="5A7D3A"/>
          <w:sz w:val="18"/>
        </w:rPr>
        <w:t>https://pubmed.ncbi.nlm.nih.gov/42810369/</w:t>
      </w:r>
    </w:p>
    <w:p>
      <w:pPr>
        <w:pStyle w:val="Heading2"/>
      </w:pPr>
      <w:r>
        <w:t>Pembrolizumab-Lenvatinib bei metastasiertem Endometriumkarzinom: Real-World-Wirksamkeit.</w:t>
      </w:r>
    </w:p>
    <w:p>
      <w:r>
        <w:rPr>
          <w:i/>
          <w:color w:val="666666"/>
          <w:sz w:val="18"/>
        </w:rPr>
        <w:t>Bello Roufai D et al.  ·  ESMO Open  ·  29.09.2026  ·  PMID 42810020</w:t>
      </w:r>
    </w:p>
    <w:p>
      <w:r>
        <w:t>Französisches Programm für frühzeitigen Zugang: Wirksamkeit und Sicherheit von Pembrolizumab-Lenvatinib bei 351 Patienten mit metastasiertem Endometriumkarzinom in 25 Zentren, einschließlich älterer und fragiler Patienten.</w:t>
      </w:r>
    </w:p>
    <w:p>
      <w:r>
        <w:rPr>
          <w:b/>
        </w:rPr>
        <w:t xml:space="preserve">Ergebnis: </w:t>
      </w:r>
      <w:r>
        <w:t>Medianes Progressions-freies Überleben 6,0 Monate, medianes Gesamtüberleben 21 Monate. Objektive Ansprechrate 41 %, klinischer Benefit 68 %. Mismatch-Repair-Defizienz mit verlängertem PFS assoziiert (16 vs. 6 Monate, p &lt; 0,001). 27,6 % permanentes Absetzen von Lenvatinib wegen Toxizität; reduzierte Startdosen (37,2 %) beeinträchtigten PFS nicht. Wirksam auch in realen Populationen jenseits von Studienbedingungen.</w:t>
      </w:r>
    </w:p>
    <w:p>
      <w:r>
        <w:rPr>
          <w:b/>
          <w:sz w:val="19"/>
        </w:rPr>
        <w:t xml:space="preserve">Übertragbarkeit: </w:t>
      </w:r>
      <w:r>
        <w:rPr>
          <w:sz w:val="19"/>
        </w:rPr>
        <w:t>Französisches Versicherungssystem, Zentrumserfahrung, klinische Kohorten ähnlich deutschem Patientengut.</w:t>
      </w:r>
    </w:p>
    <w:p>
      <w:r>
        <w:rPr>
          <w:color w:val="5A7D3A"/>
          <w:sz w:val="18"/>
        </w:rPr>
        <w:t>https://pubmed.ncbi.nlm.nih.gov/42810020/</w:t>
      </w:r>
    </w:p>
    <w:p>
      <w:pPr>
        <w:pStyle w:val="Heading2"/>
      </w:pPr>
      <w:r>
        <w:t>Entscheidungshilfe für Palliativbehandlung beim Pankreaskarzinom: Real-World-Implementierung.</w:t>
      </w:r>
    </w:p>
    <w:p>
      <w:r>
        <w:rPr>
          <w:i/>
          <w:color w:val="666666"/>
          <w:sz w:val="18"/>
        </w:rPr>
        <w:t>Graus MUJE et al.  ·  Oncologist  ·  29.09.2026  ·  PMID 42809229</w:t>
      </w:r>
    </w:p>
    <w:p>
      <w:r>
        <w:t>Prospektive Multizenter-Studie an 10 niederländischen Expertenzentren: Einsatz einer Shared-Decision-Making-Hilfe bei 181 Patienten mit metastasiertem Pankreaskarzinom zur Unterstützung von Therapieentscheidungen.</w:t>
      </w:r>
    </w:p>
    <w:p>
      <w:r>
        <w:rPr>
          <w:b/>
        </w:rPr>
        <w:t xml:space="preserve">Ergebnis: </w:t>
      </w:r>
      <w:r>
        <w:t>Patienten mit ausreichend Bedenkzeit verwendeten die Entscheidungshilfe häufiger (p &lt; 0,01). Mediane Bewertung durch Patienten und Kliniker: 8/10. Diskordanz zwischen Arzt- und Patientenpreferenzen in 37 % beobachtet; Unterschiede zur finalen Therapieentscheidung häufig. Struktur-unterstützte SDM-Hilfe wird hochwertig akzeptiert und kann erfolgreich implementiert werden.</w:t>
      </w:r>
    </w:p>
    <w:p>
      <w:r>
        <w:rPr>
          <w:b/>
          <w:sz w:val="19"/>
        </w:rPr>
        <w:t xml:space="preserve">Übertragbarkeit: </w:t>
      </w:r>
      <w:r>
        <w:rPr>
          <w:sz w:val="19"/>
        </w:rPr>
        <w:t>Niederländisches System, vergleichbar mit deutschem Gesundheitswesen, SDM-Verfahren direkt übertragbar.</w:t>
      </w:r>
    </w:p>
    <w:p>
      <w:r>
        <w:rPr>
          <w:color w:val="5A7D3A"/>
          <w:sz w:val="18"/>
        </w:rPr>
        <w:t>https://pubmed.ncbi.nlm.nih.gov/42809229/</w:t>
      </w:r>
    </w:p>
    <w:p>
      <w:pPr>
        <w:pStyle w:val="Heading1"/>
      </w:pPr>
      <w:r>
        <w:t>Aufgenommen am 29.09.2026</w:t>
      </w:r>
    </w:p>
    <w:p>
      <w:pPr>
        <w:pStyle w:val="Heading2"/>
      </w:pPr>
      <w:r>
        <w:t>Hypofractionierte Postmastektomie-Radiotherapie ohne Anstieg schwerer Toxizitäten</w:t>
      </w:r>
    </w:p>
    <w:p>
      <w:r>
        <w:rPr>
          <w:i/>
          <w:color w:val="666666"/>
          <w:sz w:val="18"/>
        </w:rPr>
        <w:t>Sun GY et al.  ·  Lancet Oncol  ·  Okt. 2026  ·  PMID 42805199</w:t>
      </w:r>
    </w:p>
    <w:p>
      <w:r>
        <w:t>Randomisierte Phase-3-Studie mit 10-Jahres-Nachbeobachtung von 820 Patientinnen mit hochrisiko-Brustkrebs nach Mastektomie.</w:t>
      </w:r>
    </w:p>
    <w:p>
      <w:r>
        <w:rPr>
          <w:b/>
        </w:rPr>
        <w:t xml:space="preserve">Ergebnis: </w:t>
      </w:r>
      <w:r>
        <w:t>Lokoregionales Rezidiv nach 10 Jahren: 10,3 % (konventionell) vs. 12,0 % (hypofraktioniert; Hazard Ratio 1,19; 95%-KI 0,79–1,82). Grade-3-Toxizitäten waren selten und ähnlich in beiden Gruppen (je &lt;1–2 %). Hypofraktionierung ist zeiteffizient und gleichwertig sicher.</w:t>
      </w:r>
    </w:p>
    <w:p>
      <w:r>
        <w:rPr>
          <w:b/>
          <w:sz w:val="19"/>
        </w:rPr>
        <w:t xml:space="preserve">Übertragbarkeit: </w:t>
      </w:r>
      <w:r>
        <w:rPr>
          <w:sz w:val="19"/>
        </w:rPr>
        <w:t>China, vergleichbare onkologische Versorgung; Ergebnis sollte Leitlinien beeinflussen.</w:t>
      </w:r>
    </w:p>
    <w:p>
      <w:r>
        <w:rPr>
          <w:color w:val="5A7D3A"/>
          <w:sz w:val="18"/>
        </w:rPr>
        <w:t>https://pubmed.ncbi.nlm.nih.gov/42805199/</w:t>
      </w:r>
    </w:p>
    <w:p>
      <w:pPr>
        <w:pStyle w:val="Heading2"/>
      </w:pPr>
      <w:r>
        <w:t>2,3 Millionen Krebsfälle weltweit durch Infektionen: Prävention möglich</w:t>
      </w:r>
    </w:p>
    <w:p>
      <w:r>
        <w:rPr>
          <w:i/>
          <w:color w:val="666666"/>
          <w:sz w:val="18"/>
        </w:rPr>
        <w:t>Rumgay H et al.  ·  Lancet Oncol  ·  Okt. 2026  ·  PMID 42805198</w:t>
      </w:r>
    </w:p>
    <w:p>
      <w:r>
        <w:t>Analyse der Global Cancer Observatory 2024 zu Krebslast durch 12 klassifizierten Karzinogene (H. pylori, HPV, HBV, HCV, EBV u. a.).</w:t>
      </w:r>
    </w:p>
    <w:p>
      <w:r>
        <w:rPr>
          <w:b/>
        </w:rPr>
        <w:t xml:space="preserve">Ergebnis: </w:t>
      </w:r>
      <w:r>
        <w:t>12 % aller Krebsinzidenz 2024 (2,3 Mio. Fälle) attributabel: H. pylori 760.000 (4 %), HPV 750.000 (4 %), HBV 360.000 (2 %). Höchste Lasten in Ostasien (990.000 Fälle; 31,9/100.000), Sub-Sahara-Afrika (28,5/100.000). Prävention durch Impfung, Test-and-Treat möglich.</w:t>
      </w:r>
    </w:p>
    <w:p>
      <w:r>
        <w:rPr>
          <w:b/>
          <w:sz w:val="19"/>
        </w:rPr>
        <w:t xml:space="preserve">Übertragbarkeit: </w:t>
      </w:r>
      <w:r>
        <w:rPr>
          <w:sz w:val="19"/>
        </w:rPr>
        <w:t>Global applikabel, auch für Deutschland bei Präventionsplanung relevant.</w:t>
      </w:r>
    </w:p>
    <w:p>
      <w:r>
        <w:rPr>
          <w:color w:val="5A7D3A"/>
          <w:sz w:val="18"/>
        </w:rPr>
        <w:t>https://pubmed.ncbi.nlm.nih.gov/42805198/</w:t>
      </w:r>
    </w:p>
    <w:p>
      <w:pPr>
        <w:pStyle w:val="Heading2"/>
      </w:pPr>
      <w:r>
        <w:t>Keimbahnvariantenscreening: Nutzen vs. Schaden für Population?</w:t>
      </w:r>
    </w:p>
    <w:p>
      <w:r>
        <w:rPr>
          <w:i/>
          <w:color w:val="666666"/>
          <w:sz w:val="18"/>
        </w:rPr>
        <w:t>Turnbull C et al.  ·  Lancet Oncol  ·  25.09.2026  ·  PMID 42790443</w:t>
      </w:r>
    </w:p>
    <w:p>
      <w:r>
        <w:t>Policy Review von Experten zu Expansion von Cancer-Susceptibility-Testing von Genetik-Kliniken in die Bevölkerung; Fokus auf klinische Evidenz und Health-System-Implikationen.</w:t>
      </w:r>
    </w:p>
    <w:p>
      <w:r>
        <w:rPr>
          <w:b/>
        </w:rPr>
        <w:t xml:space="preserve">Ergebnis: </w:t>
      </w:r>
      <w:r>
        <w:t>Nur für wenige Gene (BRCA1, BRCA2, MLH1, MSH2) etablierte Risiken und evidenzgestützte Interventionen. Für viele Panel-Gene: unsichere Penetranz, fehlende Mortalitätsreduktion und Kosteneffektivität. Polygene Risikoscores diskriminatorisch begrenzt, abhängig von Ethnizität. Tiered, kontextabhängiger Implementierungsansatz empfohlen.</w:t>
      </w:r>
    </w:p>
    <w:p>
      <w:r>
        <w:rPr>
          <w:b/>
          <w:sz w:val="19"/>
        </w:rPr>
        <w:t xml:space="preserve">Übertragbarkeit: </w:t>
      </w:r>
      <w:r>
        <w:rPr>
          <w:sz w:val="19"/>
        </w:rPr>
        <w:t>Direkt auf Deutschland übertragbar; könnte AMNOG-, Zertifizierungs- und Leitlinien-Entscheidungen beeinflussen.</w:t>
      </w:r>
    </w:p>
    <w:p>
      <w:r>
        <w:rPr>
          <w:color w:val="5A7D3A"/>
          <w:sz w:val="18"/>
        </w:rPr>
        <w:t>https://pubmed.ncbi.nlm.nih.gov/42790443/</w:t>
      </w:r>
    </w:p>
    <w:p>
      <w:pPr>
        <w:pStyle w:val="Heading2"/>
      </w:pPr>
      <w:r>
        <w:t>Real-World-Überleben HER2-positiver metastastischer Brustkrebs: 41,4 Monate</w:t>
      </w:r>
    </w:p>
    <w:p>
      <w:r>
        <w:rPr>
          <w:i/>
          <w:color w:val="666666"/>
          <w:sz w:val="18"/>
        </w:rPr>
        <w:t>Lee SC et al.  ·  ESMO Open  ·  25.09.2026  ·  PMID 42790263</w:t>
      </w:r>
    </w:p>
    <w:p>
      <w:r>
        <w:t>Retrospektive HER2 REAL Study aus 6 Ländern mit 763 Patienten und HER2-positivem metastasiertem Brustkrebs; Treatment Patterns und OS.</w:t>
      </w:r>
    </w:p>
    <w:p>
      <w:r>
        <w:rPr>
          <w:b/>
        </w:rPr>
        <w:t xml:space="preserve">Ergebnis: </w:t>
      </w:r>
      <w:r>
        <w:t>Mediales Gesamtüberleben: 41,4 Monate (95%-KI 38,1–45,8). Erste Linie Trastuzumab+Pertuzumab+CT: 58,1 % erhalten, medianes OS 46,8 Monate. Zweite Linie T-DM1: 45,5 %, medianes OS 23,9 Monate. Heterogenes Therapiemuster, Optimierungsbedarf identifiziert.</w:t>
      </w:r>
    </w:p>
    <w:p>
      <w:r>
        <w:rPr>
          <w:b/>
          <w:sz w:val="19"/>
        </w:rPr>
        <w:t xml:space="preserve">Übertragbarkeit: </w:t>
      </w:r>
      <w:r>
        <w:rPr>
          <w:sz w:val="19"/>
        </w:rPr>
        <w:t>6 Länder, Patientenauswahl pragmatisch, Real-World-Vergleichswert aber limitiert aussagekräftig für Deutschland.</w:t>
      </w:r>
    </w:p>
    <w:p>
      <w:r>
        <w:rPr>
          <w:color w:val="5A7D3A"/>
          <w:sz w:val="18"/>
        </w:rPr>
        <w:t>https://pubmed.ncbi.nlm.nih.gov/42790263/</w:t>
      </w:r>
    </w:p>
    <w:p>
      <w:pPr>
        <w:pStyle w:val="Heading2"/>
      </w:pPr>
      <w:r>
        <w:t>Daratumumab mit VRd verbessert Remissionstiefe bei transplantuntauglichem Myelom</w:t>
      </w:r>
    </w:p>
    <w:p>
      <w:r>
        <w:rPr>
          <w:i/>
          <w:color w:val="666666"/>
          <w:sz w:val="18"/>
        </w:rPr>
        <w:t>Usmani SZ et al.  ·  J Clin Oncol  ·  25.09.2026  ·  PMID 42789828</w:t>
      </w:r>
    </w:p>
    <w:p>
      <w:r>
        <w:t>Phase-3-Studie CEPHEUS mit 289 transplantuntauglichen Patienten (median 58,7 Monate Nachfolge): DVRd versus VRd.</w:t>
      </w:r>
    </w:p>
    <w:p>
      <w:r>
        <w:rPr>
          <w:b/>
        </w:rPr>
        <w:t xml:space="preserve">Ergebnis: </w:t>
      </w:r>
      <w:r>
        <w:t>MRD-Negativität (10⁻⁵): 60,4 % (DVRd) vs. 39,3 % (VRd; p=0,0004). Progressionsfreies Überleben: HR 0,51 (95%-KI 0,35–0,74; p=0,0003). Nachhaltige MRD ≥12 Monate: 47,2 % vs. 28,3 % (p=0,0010).</w:t>
      </w:r>
    </w:p>
    <w:p>
      <w:r>
        <w:rPr>
          <w:b/>
          <w:sz w:val="19"/>
        </w:rPr>
        <w:t xml:space="preserve">Übertragbarkeit: </w:t>
      </w:r>
      <w:r>
        <w:rPr>
          <w:sz w:val="19"/>
        </w:rPr>
        <w:t>Zulassungsrelevante Studie, Datenlage für AMNOG-Bewertung verfügbar.</w:t>
      </w:r>
    </w:p>
    <w:p>
      <w:r>
        <w:rPr>
          <w:color w:val="5A7D3A"/>
          <w:sz w:val="18"/>
        </w:rPr>
        <w:t>https://pubmed.ncbi.nlm.nih.gov/42789828/</w:t>
      </w:r>
    </w:p>
    <w:p>
      <w:pPr>
        <w:pStyle w:val="Heading2"/>
      </w:pPr>
      <w:r>
        <w:t>Symptomcluster nach Schilddrüsenkrebs-OP beeinflussen Lebensqualität</w:t>
      </w:r>
    </w:p>
    <w:p>
      <w:r>
        <w:rPr>
          <w:i/>
          <w:color w:val="666666"/>
          <w:sz w:val="18"/>
        </w:rPr>
        <w:t>Gao J et al.  ·  Oncologist  ·  24.09.2026  ·  PMID 42786665</w:t>
      </w:r>
    </w:p>
    <w:p>
      <w:r>
        <w:t>Nationale multizentrische Querschnittsstudie mit 1.093 Patienten 4 Wochen post-Thyreoidektomie; Symptome und Lebensqualität mittels EORTC QLQ erhoben.</w:t>
      </w:r>
    </w:p>
    <w:p>
      <w:r>
        <w:rPr>
          <w:b/>
        </w:rPr>
        <w:t xml:space="preserve">Ergebnis: </w:t>
      </w:r>
      <w:r>
        <w:t>Drei Symptomcluster identifiziert: psychologisch-somatisch, Schilddrüsenhormon-bezogen, Operations-bezogen. Psychologisch-somatischer Cluster stärker mit schlechterer Lebensqualität assoziiert (β=−0,596; 95%-KI −0,713 bis −0,581). Frauen und Totalthyreoidektomie zeigten höhere Risikomarker.</w:t>
      </w:r>
    </w:p>
    <w:p>
      <w:r>
        <w:rPr>
          <w:b/>
          <w:sz w:val="19"/>
        </w:rPr>
        <w:t xml:space="preserve">Übertragbarkeit: </w:t>
      </w:r>
      <w:r>
        <w:rPr>
          <w:sz w:val="19"/>
        </w:rPr>
        <w:t>China, Symptomerfassung übertragbar, strukturierte Nachsorge-Interventionen ableitbar.</w:t>
      </w:r>
    </w:p>
    <w:p>
      <w:r>
        <w:rPr>
          <w:color w:val="5A7D3A"/>
          <w:sz w:val="18"/>
        </w:rPr>
        <w:t>https://pubmed.ncbi.nlm.nih.gov/42786665/</w:t>
      </w:r>
    </w:p>
    <w:p>
      <w:pPr>
        <w:pStyle w:val="Heading2"/>
      </w:pPr>
      <w:r>
        <w:t>TA-Wiederholungen als Schwachstelle extrachromosomaler DNA im Tumor</w:t>
      </w:r>
    </w:p>
    <w:p>
      <w:r>
        <w:rPr>
          <w:i/>
          <w:color w:val="666666"/>
          <w:sz w:val="18"/>
        </w:rPr>
        <w:t>Billing D et al.  ·  Nature  ·  23.09.2026  ·  PMID 42778593</w:t>
      </w:r>
    </w:p>
    <w:p>
      <w:r>
        <w:t>Grundlagenarbeit zur Mechanik der Aufrechterhaltung extrachromosomaler DNA (ecDNA) in Krebszellen mittels Single-Cell-Sequenzierung und funktionellen Studien.</w:t>
      </w:r>
    </w:p>
    <w:p>
      <w:r>
        <w:rPr>
          <w:b/>
        </w:rPr>
        <w:t xml:space="preserve">Ergebnis: </w:t>
      </w:r>
      <w:r>
        <w:t>Polymerase-θ (Polθ) und FANCM supprimieren Bruchbildung an TA-reichen Stellen. MMEJ-Reparatur hält ecDNA stabil; Polθ-Inhibition destabilisiert ecDNA selektiv, induziert Fitnessverlust in ecDNA-abhängigen Tumoren. Therapeutisches Potenzial identifiziert.</w:t>
      </w:r>
    </w:p>
    <w:p>
      <w:r>
        <w:rPr>
          <w:b/>
          <w:sz w:val="19"/>
        </w:rPr>
        <w:t xml:space="preserve">Übertragbarkeit: </w:t>
      </w:r>
      <w:r>
        <w:rPr>
          <w:sz w:val="19"/>
        </w:rPr>
        <w:t>USA und Deutschland (Charité beteiligt); Zielstruktur für neue Wirkstoff-entwicklung, noch präklinisch.</w:t>
      </w:r>
    </w:p>
    <w:p>
      <w:r>
        <w:rPr>
          <w:color w:val="5A7D3A"/>
          <w:sz w:val="18"/>
        </w:rPr>
        <w:t>https://pubmed.ncbi.nlm.nih.gov/42778593/</w:t>
      </w:r>
    </w:p>
    <w:p>
      <w:pPr>
        <w:pStyle w:val="Heading1"/>
      </w:pPr>
      <w:r>
        <w:t>Aufgenommen am 28.09.2026</w:t>
      </w:r>
    </w:p>
    <w:p>
      <w:pPr>
        <w:pStyle w:val="Heading2"/>
      </w:pPr>
      <w:r>
        <w:t>Kanonische Action Research verbessert Protontherapie-Zuweisungsquoten: Niederländische Versorgungsstudie zeigt Implementierungsdefizite</w:t>
      </w:r>
    </w:p>
    <w:p>
      <w:r>
        <w:rPr>
          <w:i/>
          <w:color w:val="666666"/>
          <w:sz w:val="18"/>
        </w:rPr>
        <w:t>Ho F et al.  ·  Radiother Oncol  ·  27.09.2026  ·  PMID 42801959</w:t>
      </w:r>
    </w:p>
    <w:p>
      <w:r>
        <w:t>Qualitative Implementierungsstudie mit Canonical Action Research in niederländischen Radiotherapie-Zentren zu Barrieren und Interventionen bei Protontherapie-Zuweisungen für Lungen- und Ösophaguskarzinome.</w:t>
      </w:r>
    </w:p>
    <w:p>
      <w:r>
        <w:rPr>
          <w:b/>
        </w:rPr>
        <w:t xml:space="preserve">Ergebnis: </w:t>
      </w:r>
      <w:r>
        <w:t>Diagnose-Phase identifizierte Barrieren (Wissenslücken, unzureichende Koordination, Logistik). Implementierte stakeholder-entwickelte Interventionen (Logistik-Verbesserungen, Patienten-Begleiter) waren mit erhöhten Überweisungs- und Behandlungsraten an einem Zentrum assoziiert. Stakeholder-Wahrnehmung von Pathway-Design und Intervention-Angemessenheit verbesserte sich; Patienten-Zufriedenheit blieb stabil.</w:t>
      </w:r>
    </w:p>
    <w:p>
      <w:r>
        <w:rPr>
          <w:b/>
          <w:sz w:val="19"/>
        </w:rPr>
        <w:t xml:space="preserve">Übertragbarkeit: </w:t>
      </w:r>
      <w:r>
        <w:rPr>
          <w:sz w:val="19"/>
        </w:rPr>
        <w:t>Niederlande, vergleichbares Versicherungssystem; Modell übertragbar auf deutsche Zentrumsvernetzung</w:t>
      </w:r>
    </w:p>
    <w:p>
      <w:r>
        <w:rPr>
          <w:color w:val="5A7D3A"/>
          <w:sz w:val="18"/>
        </w:rPr>
        <w:t>https://pubmed.ncbi.nlm.nih.gov/42801959/</w:t>
      </w:r>
    </w:p>
    <w:p>
      <w:pPr>
        <w:pStyle w:val="Heading2"/>
      </w:pPr>
      <w:r>
        <w:t>Schlafstörungen und Müdigkeit bei Oropharyngeal-Karzinom-Radiotherapie-Überlebenden korrelieren mit Gesamtüberleben</w:t>
      </w:r>
    </w:p>
    <w:p>
      <w:r>
        <w:rPr>
          <w:i/>
          <w:color w:val="666666"/>
          <w:sz w:val="18"/>
        </w:rPr>
        <w:t>Carevic G et al.  ·  Radiother Oncol  ·  26.09.2026  ·  PMID 42800678</w:t>
      </w:r>
    </w:p>
    <w:p>
      <w:r>
        <w:t>Prospektive Longitudinalkohorte (372 Patienten mit Oropharyngeal-Karzinom unter kurativer Strahlentherapie ± Chemotherapie) zum Symptom-Verlauf und Überleben anhand patientenberichteter Outcomes (MDASI-HN).</w:t>
      </w:r>
    </w:p>
    <w:p>
      <w:r>
        <w:rPr>
          <w:b/>
        </w:rPr>
        <w:t xml:space="preserve">Ergebnis: </w:t>
      </w:r>
      <w:r>
        <w:t>Schwere Müdigkeit, Schlafstörung und Schläfrigkeit erreichten Höhepunkt bei RT-Ende (26%, 15%, 18%) und normalisierten sich bis Monat 6. Schwere longitudinale Müdigkeit (HR 5,05), Schlafstörung (HR 3,86) und Schläfrigkeit (HR 8,24) waren unabhängig mit schlechterer Overall Survival assoziiert (p &lt; 0,05). Effekt blieb nach multivariater Anpassung signifikant.</w:t>
      </w:r>
    </w:p>
    <w:p>
      <w:r>
        <w:rPr>
          <w:b/>
          <w:sz w:val="19"/>
        </w:rPr>
        <w:t xml:space="preserve">Übertragbarkeit: </w:t>
      </w:r>
      <w:r>
        <w:rPr>
          <w:sz w:val="19"/>
        </w:rPr>
        <w:t>USA-Tertiary Center; Symptom-basierte Risikoidentifikation übertragbar auf deutsche Nachsorge-Protokolle</w:t>
      </w:r>
    </w:p>
    <w:p>
      <w:r>
        <w:rPr>
          <w:color w:val="5A7D3A"/>
          <w:sz w:val="18"/>
        </w:rPr>
        <w:t>https://pubmed.ncbi.nlm.nih.gov/42800678/</w:t>
      </w:r>
    </w:p>
    <w:p>
      <w:pPr>
        <w:pStyle w:val="Heading2"/>
      </w:pPr>
      <w:r>
        <w:t>Präzisionsmedizin bei ungleicher Zugangsverteilung: Global-Audit zeigt massive Lücken zwischen Anspruch und Versorgung</w:t>
      </w:r>
    </w:p>
    <w:p>
      <w:r>
        <w:rPr>
          <w:i/>
          <w:color w:val="666666"/>
          <w:sz w:val="18"/>
        </w:rPr>
        <w:t>Casolino R et al.  ·  Lancet Oncol  ·  25.09.2026  ·  PMID 42790448</w:t>
      </w:r>
    </w:p>
    <w:p>
      <w:r>
        <w:t>Lancet-Onkologie-Kommission analysierte die globale Lage der Krebsgenetik und Präzisionsmedizin und bewertete Implementierungsbarrieren, Ungleichheiten und den Nutzen biomarker-gestützter Therapien.</w:t>
      </w:r>
    </w:p>
    <w:p>
      <w:r>
        <w:rPr>
          <w:b/>
        </w:rPr>
        <w:t xml:space="preserve">Ergebnis: </w:t>
      </w:r>
      <w:r>
        <w:t>Nur wenige validierte Biomarker-Therapie-Paare zeigen konsistente klinische Gewinne; umfassendere genomische Profiling-Ansätze erweitern Optionen für Patienten, doch profitiert nur ein kleiner Anteil von angepasster Therapie. Massive Ungleichheiten bei Zugang zur Genomik und Präzisionsmedizin bestehen länder- und populationsübergreifend. Die Studie liefert ein Implementierungs-Framework für gerechte, nachhaltige Skalierung.</w:t>
      </w:r>
    </w:p>
    <w:p>
      <w:r>
        <w:rPr>
          <w:b/>
          <w:sz w:val="19"/>
        </w:rPr>
        <w:t xml:space="preserve">Übertragbarkeit: </w:t>
      </w:r>
      <w:r>
        <w:rPr>
          <w:sz w:val="19"/>
        </w:rPr>
        <w:t>Deutsches Gesundheitssystem: zentral für Zertifizierung der Zentren und AMNOG-Bewertung</w:t>
      </w:r>
    </w:p>
    <w:p>
      <w:r>
        <w:rPr>
          <w:color w:val="5A7D3A"/>
          <w:sz w:val="18"/>
        </w:rPr>
        <w:t>https://pubmed.ncbi.nlm.nih.gov/42790448/</w:t>
      </w:r>
    </w:p>
    <w:p>
      <w:pPr>
        <w:pStyle w:val="Heading2"/>
      </w:pPr>
      <w:r>
        <w:t>Gesamtüberleben als primärer Endpunkt in Phase-III-Onkologie-Studien: Metaanalyse zeigt konsistente Gewinne</w:t>
      </w:r>
    </w:p>
    <w:p>
      <w:r>
        <w:rPr>
          <w:i/>
          <w:color w:val="666666"/>
          <w:sz w:val="18"/>
        </w:rPr>
        <w:t>Sherry AD et al.  ·  Oncologist  ·  09.09.2026  ·  PMID 42789933</w:t>
      </w:r>
    </w:p>
    <w:p>
      <w:r>
        <w:t>OPTIMA-Metaanalyse mit individualisierten Patientendaten von 159 Phase-III-Studien mit Gesamt-Überleben als primärem Endpunkt (104.740 Patienten).</w:t>
      </w:r>
    </w:p>
    <w:p>
      <w:r>
        <w:rPr>
          <w:b/>
        </w:rPr>
        <w:t xml:space="preserve">Ergebnis: </w:t>
      </w:r>
      <w:r>
        <w:t>Experimentelle Arme zeigten im Zwei-Stufen-Cox-Modell verbesserte Overall Survival (Hazard Ratio 0,87; 95%-KI 0,85–0,89; p &lt; 0,0001), bestätigt im einstufigen stratifizierten Modell (HR 0,88; 95%-KI 0,85–0,90). Befund dokumentiert, dass randomisierte Phase-III-Studien mit OS-Primärendpunkt konsistent therapeutische Fortschritte nachweisen.</w:t>
      </w:r>
    </w:p>
    <w:p>
      <w:r>
        <w:rPr>
          <w:b/>
          <w:sz w:val="19"/>
        </w:rPr>
        <w:t xml:space="preserve">Übertragbarkeit: </w:t>
      </w:r>
      <w:r>
        <w:rPr>
          <w:sz w:val="19"/>
        </w:rPr>
        <w:t>Multinationale Studienpopulation; Befunde unterstützen Regulierungs- und Finanzierungsprioritäten für OS-fokussierte Trials</w:t>
      </w:r>
    </w:p>
    <w:p>
      <w:r>
        <w:rPr>
          <w:color w:val="5A7D3A"/>
          <w:sz w:val="18"/>
        </w:rPr>
        <w:t>https://pubmed.ncbi.nlm.nih.gov/42789933/</w:t>
      </w:r>
    </w:p>
    <w:p>
      <w:pPr>
        <w:pStyle w:val="Heading2"/>
      </w:pPr>
      <w:r>
        <w:t>Alkoholkonsum und Kolorektalkarzinom-Risiko bei Prä-Diabetes und Diabetes: Südkoreanische Kohorten zeigen Synergien</w:t>
      </w:r>
    </w:p>
    <w:p>
      <w:r>
        <w:rPr>
          <w:i/>
          <w:color w:val="666666"/>
          <w:sz w:val="18"/>
        </w:rPr>
        <w:t>Kim TS et al.  ·  J Natl Cancer Inst  ·  24.09.2026  ·  PMID 42786582</w:t>
      </w:r>
    </w:p>
    <w:p>
      <w:r>
        <w:t>Nationale südkoreanische Kohortenstudie (4,475.492 Erwachsene, Median-Follow-up 9,33 Jahre) zur Dosis-Wirkung zwischen Alkoholkonsum und Kolorektalkrebs-Inzidenz nach glykämischem Status.</w:t>
      </w:r>
    </w:p>
    <w:p>
      <w:r>
        <w:rPr>
          <w:b/>
        </w:rPr>
        <w:t xml:space="preserve">Ergebnis: </w:t>
      </w:r>
      <w:r>
        <w:t>51.592 CRC-Fälle dokumentiert. Leichter bis mäßiger Alkoholkonsum erhöhte CRC-Risiko synergistisch bei Prä-Diabetes (HR 1,23; 95%-KI 1,19–1,27; Synergieindex 1,72) und Diabetes (HR 1,48; 95%-KI 1,42–1,54; Synergieindex 2,04). Dose-abhängige lineare Assoziation über alle kolorektalen Subsites, steiler bei Diabetes.</w:t>
      </w:r>
    </w:p>
    <w:p>
      <w:r>
        <w:rPr>
          <w:b/>
          <w:sz w:val="19"/>
        </w:rPr>
        <w:t xml:space="preserve">Übertragbarkeit: </w:t>
      </w:r>
      <w:r>
        <w:rPr>
          <w:sz w:val="19"/>
        </w:rPr>
        <w:t>Südkorea, hohes Screening-Aufkommen; Prävention bei Stoffwechselvorstufen setzt patientenrelevante Endpunkte voraus</w:t>
      </w:r>
    </w:p>
    <w:p>
      <w:r>
        <w:rPr>
          <w:color w:val="5A7D3A"/>
          <w:sz w:val="18"/>
        </w:rPr>
        <w:t>https://pubmed.ncbi.nlm.nih.gov/42786582/</w:t>
      </w:r>
    </w:p>
    <w:p>
      <w:pPr>
        <w:pStyle w:val="Heading2"/>
      </w:pPr>
      <w:r>
        <w:t>KI-Modelle zur Risikoprognose in der Magenkrebsnachsorge: Transfernutzen unklar</w:t>
      </w:r>
    </w:p>
    <w:p>
      <w:r>
        <w:rPr>
          <w:i/>
          <w:color w:val="666666"/>
          <w:sz w:val="18"/>
        </w:rPr>
        <w:t>Rabasco Meneghetti A  ·  Ann Oncol  ·  Okt. 2026  ·  PMID 42760040</w:t>
      </w:r>
    </w:p>
    <w:p>
      <w:r>
        <w:t>Kommentar zu DeepComp, einem KI-System für postoperative Risikostratifizierung beim Magenkarzinom; erörtert Vorhersagekompetenz und Umsetzungserfordernisse.</w:t>
      </w:r>
    </w:p>
    <w:p>
      <w:r>
        <w:rPr>
          <w:b/>
        </w:rPr>
        <w:t xml:space="preserve">Ergebnis: </w:t>
      </w:r>
      <w:r>
        <w:t>Der Kommentar diskutiert Chancen maschineller Lernverfahren zur Risikoklassifizierung, warnt aber vor Interpretationsfallen und nennt fehlende Validierung in prospektiven Kohorten als zentrale Hürde für klinische Adoption.</w:t>
      </w:r>
    </w:p>
    <w:p>
      <w:r>
        <w:rPr>
          <w:b/>
          <w:sz w:val="19"/>
        </w:rPr>
        <w:t xml:space="preserve">Übertragbarkeit: </w:t>
      </w:r>
      <w:r>
        <w:rPr>
          <w:sz w:val="19"/>
        </w:rPr>
        <w:t>Deutschland: Validierung in Zentren notwendig vor Einsatz in AMNOG- und Zertifizierungskontexten</w:t>
      </w:r>
    </w:p>
    <w:p>
      <w:r>
        <w:rPr>
          <w:color w:val="5A7D3A"/>
          <w:sz w:val="18"/>
        </w:rPr>
        <w:t>https://pubmed.ncbi.nlm.nih.gov/42760040/</w:t>
      </w:r>
    </w:p>
    <w:p>
      <w:pPr>
        <w:pStyle w:val="Heading1"/>
      </w:pPr>
      <w:r>
        <w:t>Aufgenommen am 27.09.2026</w:t>
      </w:r>
    </w:p>
    <w:p>
      <w:pPr>
        <w:pStyle w:val="Heading2"/>
      </w:pPr>
      <w:r>
        <w:t>Single-Fraction SABR gleichwertig zu Multi-Fraction bei frühem NSCLC</w:t>
      </w:r>
    </w:p>
    <w:p>
      <w:r>
        <w:rPr>
          <w:i/>
          <w:color w:val="666666"/>
          <w:sz w:val="18"/>
        </w:rPr>
        <w:t>Aguirre-Meneses KA et al.  ·  Radiother Oncol  ·  26.09.2026  ·  PMID 42800679</w:t>
      </w:r>
    </w:p>
    <w:p>
      <w:r>
        <w:t>Bevölkerungsbasierte retrospektive Analyse aus British Columbia (2021-2024): 814 Läsionen bei 778 Patienten mit peripher gelegenem T1-2N0-NSCLC, behandelt mit Single-Fraction (SF) oder Multi-Fraction (MF) SABR, Nachverfolgung median 25,8 Monate.</w:t>
      </w:r>
    </w:p>
    <w:p>
      <w:r>
        <w:rPr>
          <w:b/>
        </w:rPr>
        <w:t xml:space="preserve">Ergebnis: </w:t>
      </w:r>
      <w:r>
        <w:t>Keine signifikanten Unterschiede in 2-Jahres-Lokalversagen (3,5% vs. 4,8%, p=0,11) oder 2-Jahres-Gesamtüberleben (79,3% vs. 79,4%, p=0,62). Grad-2-Toxizität 11,5% vs. 12,4%, Grad-3-5-Toxizität 1,5% vs. 3,9% (p=0,08), Brustwandtoxizität identisch 5,0%. SF-SABR war kein unabhängiger Prädiktor für Lokalversagen oder Toxizität.</w:t>
      </w:r>
    </w:p>
    <w:p>
      <w:r>
        <w:rPr>
          <w:b/>
          <w:sz w:val="19"/>
        </w:rPr>
        <w:t xml:space="preserve">Übertragbarkeit: </w:t>
      </w:r>
      <w:r>
        <w:rPr>
          <w:sz w:val="19"/>
        </w:rPr>
        <w:t>Kanadisches System mit vergleichbarem öffentlichem Versicherungsauftrag; Kostenwirksamkeit für deutsche Strahlenkliniken relevant.</w:t>
      </w:r>
    </w:p>
    <w:p>
      <w:r>
        <w:rPr>
          <w:color w:val="5A7D3A"/>
          <w:sz w:val="18"/>
        </w:rPr>
        <w:t>https://pubmed.ncbi.nlm.nih.gov/42800679/</w:t>
      </w:r>
    </w:p>
    <w:p>
      <w:pPr>
        <w:pStyle w:val="Heading2"/>
      </w:pPr>
      <w:r>
        <w:t>Tumor-First DNA-Testing effizienter als Familienanamnese für BRCA-Screening</w:t>
      </w:r>
    </w:p>
    <w:p>
      <w:r>
        <w:rPr>
          <w:i/>
          <w:color w:val="666666"/>
          <w:sz w:val="18"/>
        </w:rPr>
        <w:t>Kloots ISH et al.  ·  Eur J Cancer  ·  19.09.2026  ·  PMID 42800309</w:t>
      </w:r>
    </w:p>
    <w:p>
      <w:r>
        <w:t>Prospektive Studie (PROMPT) mit 452 Patienten mit metastasiertem Prostatakarzinom: Vergleich tumor-first-workflow (TFW) versus familienanamnese-basierte Testung für Keimbahnvarianten in BRCA1/2, PALB2, ATM, CHEK2.</w:t>
      </w:r>
    </w:p>
    <w:p>
      <w:r>
        <w:rPr>
          <w:b/>
        </w:rPr>
        <w:t xml:space="preserve">Ergebnis: </w:t>
      </w:r>
      <w:r>
        <w:t>TFW identifizierte 22/36 (61%) aller Träger pathogener Keimbahnvarianten mit technischer Sensitivität von 97%. Gegenüber modellierter Familienanamnese-Strategie (8 vs. 22 Träger identifiziert; p&lt;0,001) war TFW deutlich überlegen mit positiv-prädiktivem Wert 51% vs. 13% und niedrigerer Anzahl zum Testen (2,0 vs. 7,9). Kosten pro entdeckter Variante: 998 € vs. 12.246 €.</w:t>
      </w:r>
    </w:p>
    <w:p>
      <w:r>
        <w:rPr>
          <w:b/>
          <w:sz w:val="19"/>
        </w:rPr>
        <w:t xml:space="preserve">Übertragbarkeit: </w:t>
      </w:r>
      <w:r>
        <w:rPr>
          <w:sz w:val="19"/>
        </w:rPr>
        <w:t>Niederländisches Gesundheitssystem mit direkter Übertragbarkeit auf deutsches Mutationsscreening-Protokoll.</w:t>
      </w:r>
    </w:p>
    <w:p>
      <w:r>
        <w:rPr>
          <w:color w:val="5A7D3A"/>
          <w:sz w:val="18"/>
        </w:rPr>
        <w:t>https://pubmed.ncbi.nlm.nih.gov/42800309/</w:t>
      </w:r>
    </w:p>
    <w:p>
      <w:pPr>
        <w:pStyle w:val="Heading2"/>
      </w:pPr>
      <w:r>
        <w:t>Spirituelle Überzeugungen hemmen Studienteilnahme schwarzer Krebspatienten massiv</w:t>
      </w:r>
    </w:p>
    <w:p>
      <w:r>
        <w:rPr>
          <w:i/>
          <w:color w:val="666666"/>
          <w:sz w:val="18"/>
        </w:rPr>
        <w:t>Gomez C et al.  ·  Int J Radiat Oncol Biol Phys  ·  25.09.2026  ·  PMID 42790602</w:t>
      </w:r>
    </w:p>
    <w:p>
      <w:r>
        <w:t>Querschnittstudie an 172 von 247 Patienten (70% Teilnahmequote) nach definitiver Strahlentherapie für GI-, thorakale, gynäkologische und HNO-Malignome (Oktober 2023–Februar 2024): Psychosoziale Faktoren und Studieneinschlusshindernisse.</w:t>
      </w:r>
    </w:p>
    <w:p>
      <w:r>
        <w:rPr>
          <w:b/>
        </w:rPr>
        <w:t xml:space="preserve">Ergebnis: </w:t>
      </w:r>
      <w:r>
        <w:t>Schwarze Patienten (n=42, 24%) waren weniger verheiratet (16,7% vs. 68,8%; p&lt;0,001), geringer gebildet und hatten niedrigeres Einkommen ($69.318 vs. $106.823; p&lt;0,001). Obwohl gleich viele zur Teilnahme eingeladen (17,9% vs. 21,7%), stimmten weniger schwarze Patienten zu (17,1% vs. 31,9%; p&lt;0,001). Höhere Religiosität senkte Teilnahmebereitschaft um 44% (p=0,036). 48% schwarzer vs. 17,3% weißer Patienten glaubten, dass Gott Heilung bestimmt (p=0,024); 18% schwarzer vs. 3,6% weißer Patienten misstrauten klinischer Forschung (p=0,001).</w:t>
      </w:r>
    </w:p>
    <w:p>
      <w:r>
        <w:rPr>
          <w:b/>
          <w:sz w:val="19"/>
        </w:rPr>
        <w:t xml:space="preserve">Übertragbarkeit: </w:t>
      </w:r>
      <w:r>
        <w:rPr>
          <w:sz w:val="19"/>
        </w:rPr>
        <w:t>USA - Disparitäten-fokussiertes qualitatives Forschungsdesign; deutsche Rekrutierungsstrategien müssen kulturelle und religiöse Faktoren adressieren.</w:t>
      </w:r>
    </w:p>
    <w:p>
      <w:r>
        <w:rPr>
          <w:color w:val="5A7D3A"/>
          <w:sz w:val="18"/>
        </w:rPr>
        <w:t>https://pubmed.ncbi.nlm.nih.gov/42790602/</w:t>
      </w:r>
    </w:p>
    <w:p>
      <w:pPr>
        <w:pStyle w:val="Heading2"/>
      </w:pPr>
      <w:r>
        <w:t>Komplexe Genomik verzögert Zugang zu Essential Cancer Medicines global</w:t>
      </w:r>
    </w:p>
    <w:p>
      <w:r>
        <w:rPr>
          <w:i/>
          <w:color w:val="666666"/>
          <w:sz w:val="18"/>
        </w:rPr>
        <w:t>Vokinger KN et al.  ·  Lancet Oncol  ·  25.09.2026  ·  PMID 42790449</w:t>
      </w:r>
    </w:p>
    <w:p>
      <w:r>
        <w:t>Retrospektive Analyse der Verfügbarkeit von 41 Essential Cancer Medicines auf der WHO-Liste zwischen 2002 und 2023 in 71 Ländern, unterschieden nach Anforderung an Immunhistochemie, komplexe Genomik oder keine Diagnostik.</w:t>
      </w:r>
    </w:p>
    <w:p>
      <w:r>
        <w:rPr>
          <w:b/>
        </w:rPr>
        <w:t xml:space="preserve">Ergebnis: </w:t>
      </w:r>
      <w:r>
        <w:t>Arzneien, die komplexe genomische Diagnostik erfordern, zeigen 65% niedrigere Aufnahmevolumina als solche ohne Diagnostik-Anforderung (Regressionskoeffizient −0,453, p&lt;0,0001). In Ländern mit niedrigem BIP (&lt;11.000 USD) werden nur 44% der Arzneien mit komplexer Genomik eingesetzt, gegenüber 79% in Ländern mit hohem BIP (&gt;33.000 USD). Die Aufnahme zeigt, dass WHO-EML-Listung allein für Zugang insufficient ist.</w:t>
      </w:r>
    </w:p>
    <w:p>
      <w:r>
        <w:rPr>
          <w:b/>
          <w:sz w:val="19"/>
        </w:rPr>
        <w:t xml:space="preserve">Übertragbarkeit: </w:t>
      </w:r>
      <w:r>
        <w:rPr>
          <w:sz w:val="19"/>
        </w:rPr>
        <w:t>Zeigt strukturelle Barrieren für Precision Oncology in Ländern mit begrenzter diagnostischer Infrastruktur; international vergleichbar.</w:t>
      </w:r>
    </w:p>
    <w:p>
      <w:r>
        <w:rPr>
          <w:color w:val="5A7D3A"/>
          <w:sz w:val="18"/>
        </w:rPr>
        <w:t>https://pubmed.ncbi.nlm.nih.gov/42790449/</w:t>
      </w:r>
    </w:p>
    <w:p>
      <w:pPr>
        <w:pStyle w:val="Heading2"/>
      </w:pPr>
      <w:r>
        <w:t>Venetoclax + Inotuzumab ozogamicin erzielt 95% komplette Remission im rezidivierten/refraktären B-ALL</w:t>
      </w:r>
    </w:p>
    <w:p>
      <w:r>
        <w:rPr>
          <w:i/>
          <w:color w:val="666666"/>
          <w:sz w:val="18"/>
        </w:rPr>
        <w:t>Luskin MR et al.  ·  Blood  ·  25.09.2026  ·  PMID 42789493</w:t>
      </w:r>
    </w:p>
    <w:p>
      <w:r>
        <w:t>Phase-1-Studie (23 Patienten, 15 ALL, 8 LBL): Kombination BCL-2-Inhibitor Venetoclax (VEN 400 mg/Tag 21 Tage) plus CD22-Antikörper-Wirkstoff-Konjugat Inotuzumab ozogamicin (Standard-Dosis) bei rezidiviertem/refraktärem CD22+ B-ALL/lymphoblastischem Lymphom.</w:t>
      </w:r>
    </w:p>
    <w:p>
      <w:r>
        <w:rPr>
          <w:b/>
        </w:rPr>
        <w:t xml:space="preserve">Ergebnis: </w:t>
      </w:r>
      <w:r>
        <w:t>Von 22 evaluablen Patienten erreichten 21 (95,5%) komplette Remission, 19 nach einem Zyklus. Messbare Resterkrankung (MRD) negativ in 88,9% (Flow &lt;10⁻⁴) und 73,7% (NGS &lt;10⁻⁶). Zwei-Jahres-krankheitsfreies Überleben 48% (95% KI 24–72%), medianes Gesamtüberleben nicht erreicht. Nebenwirkungen Grad ≥3: Thrombozytopenie 43,5%, Neutropenie 39,1%, sinusoidales obstruktives Syndrom 4 Patienten. MRD-Negativität korrelierte mit BCL-2-Abhängigkeit; Progression verband sich mit MCL-1-Abhängigkeit, CD22-Escape, ABCB1-Expression.</w:t>
      </w:r>
    </w:p>
    <w:p>
      <w:r>
        <w:rPr>
          <w:b/>
          <w:sz w:val="19"/>
        </w:rPr>
        <w:t xml:space="preserve">Übertragbarkeit: </w:t>
      </w:r>
      <w:r>
        <w:rPr>
          <w:sz w:val="19"/>
        </w:rPr>
        <w:t>USA-Zentrum, Phase 1; internationale Wirkstoffkombination, Übertragung auf Deutschland abhängig von Zulassung und lokaler ALL-Protokoll-Integration.</w:t>
      </w:r>
    </w:p>
    <w:p>
      <w:r>
        <w:rPr>
          <w:color w:val="5A7D3A"/>
          <w:sz w:val="18"/>
        </w:rPr>
        <w:t>https://pubmed.ncbi.nlm.nih.gov/42789493/</w:t>
      </w:r>
    </w:p>
    <w:p>
      <w:pPr>
        <w:pStyle w:val="Heading2"/>
      </w:pPr>
      <w:r>
        <w:t>Körperliche Aktivität verbessert Krankheitsfreies Überleben bei ctDNA-negativem Kolonkarzinom</w:t>
      </w:r>
    </w:p>
    <w:p>
      <w:r>
        <w:rPr>
          <w:i/>
          <w:color w:val="666666"/>
          <w:sz w:val="18"/>
        </w:rPr>
        <w:t>Zhang GQ et al.  ·  J Natl Cancer Inst  ·  24.09.2026  ·  PMID 42786576</w:t>
      </w:r>
    </w:p>
    <w:p>
      <w:r>
        <w:t>Post-hoc-Analyse der Phase-III-Studie CALGB/SWOG 80702 (763 Patienten Stage III Kolonkarzinom): Assoziation von körperlicher Aktivität (gemessen in MET-Stunden/Woche) und postoperativem Überleben, stratifiziert nach zirkulierender Tumor-DNA (ctDNA).</w:t>
      </w:r>
    </w:p>
    <w:p>
      <w:r>
        <w:rPr>
          <w:b/>
        </w:rPr>
        <w:t xml:space="preserve">Ergebnis: </w:t>
      </w:r>
      <w:r>
        <w:t>Bei ctDNA-negativen Patienten zeigten moderate (HR 0,58, 95% KI 0,37–0,91) und hohe körperliche Aktivität (HR 0,49, 95% KI 0,27–0,86) versus Inaktivität verbessertes krankheitsfreies Überleben. Bei ctDNA-positiven Patienten war körperliche Aktivität nicht prognostisch (p&gt;0,05). Physische Aktivität plus adjuvantes Celecoxib zeigte Vorteil in beiden Gruppen (ctDNA-positiv: HR 0,29, 95% KI 0,15–0,57).</w:t>
      </w:r>
    </w:p>
    <w:p>
      <w:r>
        <w:rPr>
          <w:b/>
          <w:sz w:val="19"/>
        </w:rPr>
        <w:t xml:space="preserve">Übertragbarkeit: </w:t>
      </w:r>
      <w:r>
        <w:rPr>
          <w:sz w:val="19"/>
        </w:rPr>
        <w:t>Nordamerikanische Kohortenstudie; ctDNA-Analytik national nur in Zentren verfügbar, Aktivitätsinterventionen aber universell umsetzbar.</w:t>
      </w:r>
    </w:p>
    <w:p>
      <w:r>
        <w:rPr>
          <w:color w:val="5A7D3A"/>
          <w:sz w:val="18"/>
        </w:rPr>
        <w:t>https://pubmed.ncbi.nlm.nih.gov/42786576/</w:t>
      </w:r>
    </w:p>
    <w:p>
      <w:pPr>
        <w:pStyle w:val="Heading2"/>
      </w:pPr>
      <w:r>
        <w:t>Evorpacept + Trastuzumab/Ramucirumab/Paclitaxel verbessert Ansprechrate im HER2+ Magenkarzinom</w:t>
      </w:r>
    </w:p>
    <w:p>
      <w:r>
        <w:rPr>
          <w:i/>
          <w:color w:val="666666"/>
          <w:sz w:val="18"/>
        </w:rPr>
        <w:t>Shitara K et al.  ·  Nat Med  ·  24.09.2026  ·  PMID 42786305</w:t>
      </w:r>
    </w:p>
    <w:p>
      <w:r>
        <w:t>Phase-2-Portion der randomisierten Studie ASPEN-06 (127 Patienten mit vorbehandeltem HER2-überexprimiertem metastasiertem Magen-/Ösophaguskarzinom): Evorpacept (CD47-SIRPα-Blocker) plus Standard-Tripel (TRP) versus TRP allein.</w:t>
      </w:r>
    </w:p>
    <w:p>
      <w:r>
        <w:rPr>
          <w:b/>
        </w:rPr>
        <w:t xml:space="preserve">Ergebnis: </w:t>
      </w:r>
      <w:r>
        <w:t>Primärer Endpunkt: Objektive Ansprechrate (ORR) investigator-assessed 40,3% (Evo+TRP) vs. 26,6% (TRP) in ITT-Population (Differenz 13,7%, p&lt;0,001), in Fresh-Biopsy-HER2+-Subgruppe 54,8% vs. 23,1% (Differenz 31,7%). Differenzen überschritten Schwellen, aber vs. historischem Benchmark (30%) verfehlte nur Fresh-Biopsy-Gruppe Signifikanz knapp (p=0,030 one-sided). Toxizitäten vergleichbar mit etabliertem Profil.</w:t>
      </w:r>
    </w:p>
    <w:p>
      <w:r>
        <w:rPr>
          <w:b/>
          <w:sz w:val="19"/>
        </w:rPr>
        <w:t xml:space="preserve">Übertragbarkeit: </w:t>
      </w:r>
      <w:r>
        <w:rPr>
          <w:sz w:val="19"/>
        </w:rPr>
        <w:t>Internationale Phase-2-Studie; Zulassungsfähigkeit zu klären, Übertragung auf Deutschland abhängig von Zulassung und Amnog-Bewertung.</w:t>
      </w:r>
    </w:p>
    <w:p>
      <w:r>
        <w:rPr>
          <w:color w:val="5A7D3A"/>
          <w:sz w:val="18"/>
        </w:rPr>
        <w:t>https://pubmed.ncbi.nlm.nih.gov/42786305/</w:t>
      </w:r>
    </w:p>
    <w:p>
      <w:pPr>
        <w:pStyle w:val="Heading1"/>
      </w:pPr>
      <w:r>
        <w:t>Aufgenommen am 26.09.2026</w:t>
      </w:r>
    </w:p>
    <w:p>
      <w:pPr>
        <w:pStyle w:val="Heading2"/>
      </w:pPr>
      <w:r>
        <w:t>Reduzierte Dosis für elektive Halsknotenbest. in Nasopharynxkarzinom: 5-Jahres-Sicherheit</w:t>
      </w:r>
    </w:p>
    <w:p>
      <w:r>
        <w:rPr>
          <w:i/>
          <w:color w:val="666666"/>
          <w:sz w:val="18"/>
        </w:rPr>
        <w:t>Chen X et al.  ·  Radiother Oncol  ·  25.09.2026  ·  PMID 42790787</w:t>
      </w:r>
    </w:p>
    <w:p>
      <w:r>
        <w:t>Retrospektive Kohorte mit 752 Patienten zu Langzeiteffizienz und Organschonung bei De-Eskalation der elektiven Halsknotenbestrahlung von 50 Gy auf 45 Gy EQD2 bei intensitätsmodulierter Radiotherapie.</w:t>
      </w:r>
    </w:p>
    <w:p>
      <w:r>
        <w:rPr>
          <w:b/>
        </w:rPr>
        <w:t xml:space="preserve">Ergebnis: </w:t>
      </w:r>
      <w:r>
        <w:t>5-Jahres-Regionalkontrollen 97,3 %, Gesamtüberleben 89,7 %. Nur 0,7 % isolierte Rezidive in der 45-Gy-Dosis. Vergleichspläne zeigten signifikante Dosisreduktion für alle Risikoorgane (p &lt; 0,001) mit bedeutsamen NTCP-Reduktionen für Parotisfunktionsverlust, Dysphagie und Hypothyreose (alle p &lt; 0,001).</w:t>
      </w:r>
    </w:p>
    <w:p>
      <w:r>
        <w:rPr>
          <w:b/>
          <w:sz w:val="19"/>
        </w:rPr>
        <w:t xml:space="preserve">Übertragbarkeit: </w:t>
      </w:r>
      <w:r>
        <w:rPr>
          <w:sz w:val="19"/>
        </w:rPr>
        <w:t>Chinesische Daten, internationales Standard-Bestrahlungsprotokoll, direkt übertragbar.</w:t>
      </w:r>
    </w:p>
    <w:p>
      <w:r>
        <w:rPr>
          <w:color w:val="5A7D3A"/>
          <w:sz w:val="18"/>
        </w:rPr>
        <w:t>https://pubmed.ncbi.nlm.nih.gov/42790787/</w:t>
      </w:r>
    </w:p>
    <w:p>
      <w:pPr>
        <w:pStyle w:val="Heading2"/>
      </w:pPr>
      <w:r>
        <w:t>Iberdomid + Daratumumab gegen Bortezomib bei Myelom: MRD-negative Remissionen verdoppelt</w:t>
      </w:r>
    </w:p>
    <w:p>
      <w:r>
        <w:rPr>
          <w:i/>
          <w:color w:val="666666"/>
          <w:sz w:val="18"/>
        </w:rPr>
        <w:t>Lonial S et al.  ·  Lancet Oncol  ·  25.09.2026  ·  PMID 42790445</w:t>
      </w:r>
    </w:p>
    <w:p>
      <w:r>
        <w:t>Phase-3-Studie (EXCALIBER-RRMM) mit 420 Patienten, randomisiert zum Vergleich Iberdomid/Daratumumab/Dexamethason vs. Daratumumab/Bortezomib/Dexamethason bei rezidiviertem/refraktärem Myelom.</w:t>
      </w:r>
    </w:p>
    <w:p>
      <w:r>
        <w:rPr>
          <w:b/>
        </w:rPr>
        <w:t xml:space="preserve">Ergebnis: </w:t>
      </w:r>
      <w:r>
        <w:t>MRD-negative komplette Remissionen (Fluoreszenzfluss &lt;10−5) 41 % vs. 21 % (odds ratio 2,8; 95%-KI 1,8–4,3; p &lt; 0,0001). Grad-3/4-Nebenwirkungen in 92 % vs. 70 % (Neutropenie 84 % vs. 11 %, Infektionen 39 % vs. 22 %), managebar mit Supportivtherapie.</w:t>
      </w:r>
    </w:p>
    <w:p>
      <w:r>
        <w:rPr>
          <w:b/>
          <w:sz w:val="19"/>
        </w:rPr>
        <w:t xml:space="preserve">Übertragbarkeit: </w:t>
      </w:r>
      <w:r>
        <w:rPr>
          <w:sz w:val="19"/>
        </w:rPr>
        <w:t>Internationale Studie, zentraler europäischer Einsatz in AMNOG-Verfahren zu prüfen.</w:t>
      </w:r>
    </w:p>
    <w:p>
      <w:r>
        <w:rPr>
          <w:color w:val="5A7D3A"/>
          <w:sz w:val="18"/>
        </w:rPr>
        <w:t>https://pubmed.ncbi.nlm.nih.gov/42790445/</w:t>
      </w:r>
    </w:p>
    <w:p>
      <w:pPr>
        <w:pStyle w:val="Heading2"/>
      </w:pPr>
      <w:r>
        <w:t>Online adaptive Radiotherapie bei Prostatakarzinom: weniger Toxizität, bessere Lebensqualität</w:t>
      </w:r>
    </w:p>
    <w:p>
      <w:r>
        <w:rPr>
          <w:i/>
          <w:color w:val="666666"/>
          <w:sz w:val="18"/>
        </w:rPr>
        <w:t>Kalinauskaite G et al.  ·  Strahlenther Onkol  ·  25.09.2026  ·  PMID 42789071</w:t>
      </w:r>
    </w:p>
    <w:p>
      <w:r>
        <w:t>Prospektive Studie zum Vergleich der akuten Toxizität und Lebensqualität bei adaptiver MRT-gestützter Online-Bestrahlung vs. konventioneller bildgestützter Radiotherapie bei Prostatakarzinom mit moderat hypofraktioniertem Schema.</w:t>
      </w:r>
    </w:p>
    <w:p>
      <w:r>
        <w:rPr>
          <w:b/>
        </w:rPr>
        <w:t xml:space="preserve">Ergebnis: </w:t>
      </w:r>
      <w:r>
        <w:t>Adaptive Radiotherapie war mit günstigerem gastrointestinalem Toxizitätsprofil assoziiert (niedrigere maximale Toxizitätsgrade; p = 0,028). Patienten der Vergleichsgruppe zeigten häufiger klinisch bedeutsame Verschlechterungen bei Fatigue (74 % vs. 37 %; p = 0,004), körperlicher Funktionsfähigkeit (27 % vs. 3 %; p = 0,009) und Rollenerfüllung (48,1 % vs. 22,9 %; p = 0,04).</w:t>
      </w:r>
    </w:p>
    <w:p>
      <w:r>
        <w:rPr>
          <w:b/>
          <w:sz w:val="19"/>
        </w:rPr>
        <w:t xml:space="preserve">Übertragbarkeit: </w:t>
      </w:r>
      <w:r>
        <w:rPr>
          <w:sz w:val="19"/>
        </w:rPr>
        <w:t>Deutsches Zentrumsmodell, Charité und Ulm, validierbar für deutsche Routineversorgung.</w:t>
      </w:r>
    </w:p>
    <w:p>
      <w:r>
        <w:rPr>
          <w:color w:val="5A7D3A"/>
          <w:sz w:val="18"/>
        </w:rPr>
        <w:t>https://pubmed.ncbi.nlm.nih.gov/42789071/</w:t>
      </w:r>
    </w:p>
    <w:p>
      <w:pPr>
        <w:pStyle w:val="Heading2"/>
      </w:pPr>
      <w:r>
        <w:t>Zentralisierte MRT-geführte adaptive Brachytherapie für Zervixkarzinom in Österreich: Durchführbarkeit und Ergebnisse</w:t>
      </w:r>
    </w:p>
    <w:p>
      <w:r>
        <w:rPr>
          <w:i/>
          <w:color w:val="666666"/>
          <w:sz w:val="18"/>
        </w:rPr>
        <w:t>Knoth J et al.  ·  Strahlenther Onkol  ·  25.09.2026  ·  PMID 42789070</w:t>
      </w:r>
    </w:p>
    <w:p>
      <w:r>
        <w:t>Retrospektive Kohortenstudie zur Machbarkeit eines österreichischen Zentranzugangsmodells mit dezentraler Perkutanstrahlung und zentralisierter MRT-gestützter adaptiver Brachytherapie bei 89 Patienten mit FIGO IB–IVA Zervixkarzinom (2018–2022).</w:t>
      </w:r>
    </w:p>
    <w:p>
      <w:r>
        <w:rPr>
          <w:b/>
        </w:rPr>
        <w:t xml:space="preserve">Ergebnis: </w:t>
      </w:r>
      <w:r>
        <w:t>3-Jahres-Gesamtüberleben 74 %, Lokalkontrollen 95 %, Beckenregionalkontrollen 95 %. Grad-≥3-Morbidität bei 26,1 %. Mediane Gesamtbehandlungsdauer 50 Tage. Durchführbarkeit und Qualität bestätigt, auch bei paraaortischen Metastasen (17 %).</w:t>
      </w:r>
    </w:p>
    <w:p>
      <w:r>
        <w:rPr>
          <w:b/>
          <w:sz w:val="19"/>
        </w:rPr>
        <w:t xml:space="preserve">Übertragbarkeit: </w:t>
      </w:r>
      <w:r>
        <w:rPr>
          <w:sz w:val="19"/>
        </w:rPr>
        <w:t>Österreichisches Verbundsystem direkt auf deutsche Zentrumslandschaft übertragbar.</w:t>
      </w:r>
    </w:p>
    <w:p>
      <w:r>
        <w:rPr>
          <w:color w:val="5A7D3A"/>
          <w:sz w:val="18"/>
        </w:rPr>
        <w:t>https://pubmed.ncbi.nlm.nih.gov/42789070/</w:t>
      </w:r>
    </w:p>
    <w:p>
      <w:pPr>
        <w:pStyle w:val="Heading2"/>
      </w:pPr>
      <w:r>
        <w:t>Frühe Palliativversorgung für afroamerikanische und rural wohnhafte Angehörige: Langzeitergebnisse</w:t>
      </w:r>
    </w:p>
    <w:p>
      <w:r>
        <w:rPr>
          <w:i/>
          <w:color w:val="666666"/>
          <w:sz w:val="18"/>
        </w:rPr>
        <w:t>Odom JN et al.  ·  J Natl Cancer Inst  ·  24.09.2026  ·  PMID 42786668</w:t>
      </w:r>
    </w:p>
    <w:p>
      <w:r>
        <w:t>Randomisierte Studie (ENABLE Cornerstone) bei 222 Angehörigen und 165 Patienten mit fortgeschrittenem Krebsleiden; Intervention: Laienkurs-geführte Palliativberatung für Pflegepersonen vs. Standardversorgung über 36–48 Wochen.</w:t>
      </w:r>
    </w:p>
    <w:p>
      <w:r>
        <w:rPr>
          <w:b/>
        </w:rPr>
        <w:t xml:space="preserve">Ergebnis: </w:t>
      </w:r>
      <w:r>
        <w:t>Pflegepersonen der Interventionsgruppe: niedrigere Anforderungsbelastung (Differenz −1,54; Cohen's d −0,41; p = 0,03) bei 36 Wochen. Patienten: niedriger depressive Symptome bei 36 Wochen (Differenz −1,53; p = 0,048) und bessere körperliche Lebensqualität bei 48 Wochen (Differenz +3,93; p = 0,02). Effekte bei Subgruppen mit strukturellen Zugangsbarrieren bedeutsam.</w:t>
      </w:r>
    </w:p>
    <w:p>
      <w:r>
        <w:rPr>
          <w:b/>
          <w:sz w:val="19"/>
        </w:rPr>
        <w:t xml:space="preserve">Übertragbarkeit: </w:t>
      </w:r>
      <w:r>
        <w:rPr>
          <w:sz w:val="19"/>
        </w:rPr>
        <w:t>USA, unterrepräsentierte Bevölkerungsgruppen; Modell für deutsche Versorgungslücken anwendbar.</w:t>
      </w:r>
    </w:p>
    <w:p>
      <w:r>
        <w:rPr>
          <w:color w:val="5A7D3A"/>
          <w:sz w:val="18"/>
        </w:rPr>
        <w:t>https://pubmed.ncbi.nlm.nih.gov/42786668/</w:t>
      </w:r>
    </w:p>
    <w:p>
      <w:pPr>
        <w:pStyle w:val="Heading2"/>
      </w:pPr>
      <w:r>
        <w:t>Keramidsynthese und YAP-Signalweg treiben Kolonkarzinom-Metastasen</w:t>
      </w:r>
    </w:p>
    <w:p>
      <w:r>
        <w:rPr>
          <w:i/>
          <w:color w:val="666666"/>
          <w:sz w:val="18"/>
        </w:rPr>
        <w:t>Goswami S et al.  ·  Science  ·  24.09.2026  ·  PMID 42784694</w:t>
      </w:r>
    </w:p>
    <w:p>
      <w:r>
        <w:t>Mechanistische Studie in Zellsystemen und Tiermodellen zur Rolle von de-novo-Keramidsynthese, Desaturase Degs1 und YAP-Signalweg in der Initiierung von Kolorektalkarzinom-Metastasen unter Einfluss diätetischen Fetts.</w:t>
      </w:r>
    </w:p>
    <w:p>
      <w:r>
        <w:rPr>
          <w:b/>
        </w:rPr>
        <w:t xml:space="preserve">Ergebnis: </w:t>
      </w:r>
      <w:r>
        <w:t>Dietäres Fett löst anhaltende Keramidakkumulation aus → YAP-Aktivierung über PP2A-Dephosphorylierung → YAP-DR-Programm mit Basp1-Expression. Degs1-Knockout reduzierten Keramidspiegel, YAP-Aktivität und Metastasierung ohne Primärtumor-Wachstum zu beeinflussen. Basp1-high-Zellen waren erforderlich für Metastasierungsseeding.</w:t>
      </w:r>
    </w:p>
    <w:p>
      <w:r>
        <w:rPr>
          <w:b/>
          <w:sz w:val="19"/>
        </w:rPr>
        <w:t xml:space="preserve">Übertragbarkeit: </w:t>
      </w:r>
      <w:r>
        <w:rPr>
          <w:sz w:val="19"/>
        </w:rPr>
        <w:t>USA-Daten, Grundlagenarbeit; therapeutisches Ansatzpotential (Keramid-Inhibition) für klinische Translation.</w:t>
      </w:r>
    </w:p>
    <w:p>
      <w:r>
        <w:rPr>
          <w:color w:val="5A7D3A"/>
          <w:sz w:val="18"/>
        </w:rPr>
        <w:t>https://pubmed.ncbi.nlm.nih.gov/42784694/</w:t>
      </w:r>
    </w:p>
    <w:p>
      <w:pPr>
        <w:pStyle w:val="Heading2"/>
      </w:pPr>
      <w:r>
        <w:t>IDH-mutantes Gliom: Hirngeometrie und Hypoxie strukturieren Tumororganisation</w:t>
      </w:r>
    </w:p>
    <w:p>
      <w:r>
        <w:rPr>
          <w:i/>
          <w:color w:val="666666"/>
          <w:sz w:val="18"/>
        </w:rPr>
        <w:t>Hoefflin R et al.  ·  Cancer Cell  ·  14.09.2026  ·  PMID 42735681</w:t>
      </w:r>
    </w:p>
    <w:p>
      <w:r>
        <w:t>Räumlich-translationale Studie kombiniert Einzelzell-Proteomik und räumliche Transkriptomik bei IDH-mutierten Gliomen über alle Tumorgrade hinweg, um organisatorische Prinzipien von Tumorprogression zu identifizieren.</w:t>
      </w:r>
    </w:p>
    <w:p>
      <w:r>
        <w:rPr>
          <w:b/>
        </w:rPr>
        <w:t xml:space="preserve">Ergebnis: </w:t>
      </w:r>
      <w:r>
        <w:t>Frühe Tumore: anatomisch-getriebene Organisation an weiß-grauer Substanzgrenze, Oligodendrozyten-Vorläufer (OPC)-ähnliche Zellen preferenziell dort selektioniert. Intermediate Tumore: Desorganisation mit wenigen Zell-Wechselwirkungen. Hochtgradige: Hypoxie-assoziierte Struktur ähnlich IDH-Wildtyp-Glioblastom. Zwei unabhängige räumliche Organisationsachsen.</w:t>
      </w:r>
    </w:p>
    <w:p>
      <w:r>
        <w:rPr>
          <w:b/>
          <w:sz w:val="19"/>
        </w:rPr>
        <w:t xml:space="preserve">Übertragbarkeit: </w:t>
      </w:r>
      <w:r>
        <w:rPr>
          <w:sz w:val="19"/>
        </w:rPr>
        <w:t>Europäisch-israelische Kooperation, Grundlagen für Zielpriorisierung bei Gliom-Therapie.</w:t>
      </w:r>
    </w:p>
    <w:p>
      <w:r>
        <w:rPr>
          <w:color w:val="5A7D3A"/>
          <w:sz w:val="18"/>
        </w:rPr>
        <w:t>https://pubmed.ncbi.nlm.nih.gov/42735681/</w:t>
      </w:r>
    </w:p>
    <w:p>
      <w:pPr>
        <w:pStyle w:val="Heading1"/>
      </w:pPr>
      <w:r>
        <w:t>Aufgenommen am 25.09.2026</w:t>
      </w:r>
    </w:p>
    <w:p>
      <w:pPr>
        <w:pStyle w:val="Heading2"/>
      </w:pPr>
      <w:r>
        <w:t>Adaptive Hoffnung in der Onkologie – Klinischer Rahmen für patientenzentrierte Kommunikation</w:t>
      </w:r>
    </w:p>
    <w:p>
      <w:r>
        <w:rPr>
          <w:i/>
          <w:color w:val="666666"/>
          <w:sz w:val="18"/>
        </w:rPr>
        <w:t>Cherny NI et al.  ·  ESMO Open  ·  24.07.2026  ·  PMID 42785913</w:t>
      </w:r>
    </w:p>
    <w:p>
      <w:r>
        <w:t>Narrative Übersichtsarbeit (Synthesis empirischer und konzeptioneller Literatur): Hope und Despair als zentrale, oft ko-existierende Dimensionen der Krebserfahrung – ihre Determinanten, klinischen Manifestationen und Implikationen für Kommunikation und Entscheidungsfindung über die Krankheitstrajectory.</w:t>
      </w:r>
    </w:p>
    <w:p>
      <w:r>
        <w:rPr>
          <w:b/>
        </w:rPr>
        <w:t xml:space="preserve">Ergebnis: </w:t>
      </w:r>
      <w:r>
        <w:t>Hoffnung ist dynamisches, multidimensionales Konstrukt, das sich über Zeit evolves – initial auf Heilung ausgerichtet, rekalibriert oft zu erreichbaren Zielen (Symptomkontrolle, Funktion, Sinnstiftung, Würde, spiritueller Frieden). Adaptive, realitätskongruente Hoffnung durch ehrliche, mitfühlende, relational fundierte Kommunikation nachhaltig. Klinische Competency: Psychospiritual-, Relational-, interdisziplinäre Approaches (empathische Kommunikation, Symptommanagement, Meaning-Centered Interventions, Dignity-Conserving Care).</w:t>
      </w:r>
    </w:p>
    <w:p>
      <w:r>
        <w:rPr>
          <w:b/>
          <w:sz w:val="19"/>
        </w:rPr>
        <w:t xml:space="preserve">Übertragbarkeit: </w:t>
      </w:r>
      <w:r>
        <w:rPr>
          <w:sz w:val="19"/>
        </w:rPr>
        <w:t>Internationale Expert-Synthesis, direkt auf deutsches Gesundheitssystem übertragbar.</w:t>
      </w:r>
    </w:p>
    <w:p>
      <w:r>
        <w:rPr>
          <w:color w:val="5A7D3A"/>
          <w:sz w:val="18"/>
        </w:rPr>
        <w:t>https://pubmed.ncbi.nlm.nih.gov/42785913/</w:t>
      </w:r>
    </w:p>
    <w:p>
      <w:pPr>
        <w:pStyle w:val="Heading2"/>
      </w:pPr>
      <w:r>
        <w:t>Trastuzumab emtansine bei HER2+ extramammärer Paget-Erkrankung – 92,9% Ansprechrate</w:t>
      </w:r>
    </w:p>
    <w:p>
      <w:r>
        <w:rPr>
          <w:i/>
          <w:color w:val="666666"/>
          <w:sz w:val="18"/>
        </w:rPr>
        <w:t>Arakawa S et al.  ·  ESMO Open  ·  21.07.2026  ·  PMID 42785912</w:t>
      </w:r>
    </w:p>
    <w:p>
      <w:r>
        <w:t>Phase-II-Studie TEMENOS-2: 14 japanische Patienten mit HER2-positivem metastasiertem Paget-Karzinom (extramammär), Firstline Trastuzumab emtansine 3,6 mg/kg alle 3 Wochen bis 2 Jahre.</w:t>
      </w:r>
    </w:p>
    <w:p>
      <w:r>
        <w:rPr>
          <w:b/>
        </w:rPr>
        <w:t xml:space="preserve">Ergebnis: </w:t>
      </w:r>
      <w:r>
        <w:t>Objektive Ansprechquote (zentrale Bewertung) 92,9% [95% CI 66,1%–99,8%]: 2 komplette, 11 partielle Remissionen, 1 Progression. Median-PFS 16,95 Monate [95% CI 5,75–n.e.]. Median-OS nicht erreicht. Grade-3-Nebenwirkungen in 42,9%, keine ≥4. Erste prospektive Evidenz für HER2-dirigierte ADC in dieser Entität.</w:t>
      </w:r>
    </w:p>
    <w:p>
      <w:r>
        <w:rPr>
          <w:b/>
          <w:sz w:val="19"/>
        </w:rPr>
        <w:t xml:space="preserve">Übertragbarkeit: </w:t>
      </w:r>
      <w:r>
        <w:rPr>
          <w:sz w:val="19"/>
        </w:rPr>
        <w:t>Japanische Studie, kleine Fallzahl (n=14); für Deutschland Übertragbarkeit HER2+ seltene Tumoren.</w:t>
      </w:r>
    </w:p>
    <w:p>
      <w:r>
        <w:rPr>
          <w:color w:val="5A7D3A"/>
          <w:sz w:val="18"/>
        </w:rPr>
        <w:t>https://pubmed.ncbi.nlm.nih.gov/42785912/</w:t>
      </w:r>
    </w:p>
    <w:p>
      <w:pPr>
        <w:pStyle w:val="Heading2"/>
      </w:pPr>
      <w:r>
        <w:t>Atezolizumab plus pertuzumab, trastuzumab, Chemotherapie – kein Vorteil für Gesamtüberleben</w:t>
      </w:r>
    </w:p>
    <w:p>
      <w:r>
        <w:rPr>
          <w:i/>
          <w:color w:val="666666"/>
          <w:sz w:val="18"/>
        </w:rPr>
        <w:t>Huober J et al.  ·  ESMO Open  ·  24.09.2026  ·  PMID 42785163</w:t>
      </w:r>
    </w:p>
    <w:p>
      <w:r>
        <w:t>Phase-III-Studie (IMpassion050): Neoadjuvante Atezolizumab-Addition zur Standard-Therapie bei HER2-positivem Frühbrustkrebs hohen Risikos – Intention-to-treat und PD-L1-positive Kohorte.</w:t>
      </w:r>
    </w:p>
    <w:p>
      <w:r>
        <w:rPr>
          <w:b/>
        </w:rPr>
        <w:t xml:space="preserve">Ergebnis: </w:t>
      </w:r>
      <w:r>
        <w:t>3-Jahres-Event-Free-Survival 91,4% (Atezolizumab) vs 89,0% (Placebo); Hazard Ratio 0,90 [95% CI 0,50–1,59]; 3-Jahres-Disease-Free-Survival 92,9% vs 88,5% (HR 0,71 [95% CI 0,38–1,32]). Keine signifikanten Unterschiede. Immuntherapie-assoziierte unerwünschte Ereignisse häufiger (59,4% vs 47,0%).</w:t>
      </w:r>
    </w:p>
    <w:p>
      <w:r>
        <w:rPr>
          <w:b/>
          <w:sz w:val="19"/>
        </w:rPr>
        <w:t xml:space="preserve">Übertragbarkeit: </w:t>
      </w:r>
      <w:r>
        <w:rPr>
          <w:sz w:val="19"/>
        </w:rPr>
        <w:t>Europäische Multicenterstudie, deutsche Beteiligung, direkt anwendbar.</w:t>
      </w:r>
    </w:p>
    <w:p>
      <w:r>
        <w:rPr>
          <w:color w:val="5A7D3A"/>
          <w:sz w:val="18"/>
        </w:rPr>
        <w:t>https://pubmed.ncbi.nlm.nih.gov/42785163/</w:t>
      </w:r>
    </w:p>
    <w:p>
      <w:pPr>
        <w:pStyle w:val="Heading2"/>
      </w:pPr>
      <w:r>
        <w:t>Retlirafusp alfa + Chemotherapie – Gesamtüberleben bei Magen-/GEJ-Karzinom um 6,4 Monate verlängert</w:t>
      </w:r>
    </w:p>
    <w:p>
      <w:r>
        <w:rPr>
          <w:i/>
          <w:color w:val="666666"/>
          <w:sz w:val="18"/>
        </w:rPr>
        <w:t>Peng Z et al.  ·  J Clin Oncol  ·  24.09.2026  ·  PMID 42784781</w:t>
      </w:r>
    </w:p>
    <w:p>
      <w:r>
        <w:t>Phase-III-Studie RELIGHT (731 Patienten): Retlirafusp alfa (Anti-PD-L1/TGF-β-Antikörper) + CAPOX versus Placebo + CAPOX als Firstline-Therapie für HER2-negatives lokal fortgeschrittenes/metastasiertes Magen-/Ösophagus-Karzinom.</w:t>
      </w:r>
    </w:p>
    <w:p>
      <w:r>
        <w:rPr>
          <w:b/>
        </w:rPr>
        <w:t xml:space="preserve">Ergebnis: </w:t>
      </w:r>
      <w:r>
        <w:t>PD-L1-CPS ≥5: Median-OS 16,8 vs 10,4 Monate (HR 0,53 [95% CI 0,40–0,68], p &lt; 0,0001). ITT-Analyse: 15,8 vs 11,2 Monate (HR 0,66 [95% CI 0,53–0,81], p &lt; 0,0001). Median-PFS 7,6 vs 5,5 Monate (HR 0,52). Toxizität vergleichbar (Grade ≥3: 62,6% vs 59,0%).</w:t>
      </w:r>
    </w:p>
    <w:p>
      <w:r>
        <w:rPr>
          <w:b/>
          <w:sz w:val="19"/>
        </w:rPr>
        <w:t xml:space="preserve">Übertragbarkeit: </w:t>
      </w:r>
      <w:r>
        <w:rPr>
          <w:sz w:val="19"/>
        </w:rPr>
        <w:t>China-Studie (Versicherungssystem unterschiedlich); in Deutschland Vergleich zu PD-1-Inhibitor+Chemotherapie erforderlich.</w:t>
      </w:r>
    </w:p>
    <w:p>
      <w:r>
        <w:rPr>
          <w:color w:val="5A7D3A"/>
          <w:sz w:val="18"/>
        </w:rPr>
        <w:t>https://pubmed.ncbi.nlm.nih.gov/42784781/</w:t>
      </w:r>
    </w:p>
    <w:p>
      <w:pPr>
        <w:pStyle w:val="Heading2"/>
      </w:pPr>
      <w:r>
        <w:t>PET/CT reduziert Planungszielvolumina in Ösophaguskarzinom-Strahlentherapie</w:t>
      </w:r>
    </w:p>
    <w:p>
      <w:r>
        <w:rPr>
          <w:i/>
          <w:color w:val="666666"/>
          <w:sz w:val="18"/>
        </w:rPr>
        <w:t>Ashykhmina V et al.  ·  Strahlenther Onkol  ·  24.09.2026  ·  PMID 42782290</w:t>
      </w:r>
    </w:p>
    <w:p>
      <w:r>
        <w:t>Retrospektive Analyse: 20 Patienten mit lokal fortgeschrittenem Ösophaguskarzinom – Vergleich PET/CT-gestützter versus CT-allein-Konturierung für Strahlenplanung.</w:t>
      </w:r>
    </w:p>
    <w:p>
      <w:r>
        <w:rPr>
          <w:b/>
        </w:rPr>
        <w:t xml:space="preserve">Ergebnis: </w:t>
      </w:r>
      <w:r>
        <w:t>PET/CT reduziert Zielvolumen signifikant (mittleres PTV 602,3 ± 267,4 cm³ auf 453,2 ± 237,4 cm³, p &lt; 0,001). Lungen-V20 sank von 10,39 ± 1,23% auf 7,85 ± 1,18% (p = 0,001). Geometrische Unterschiede &gt;100 cm³ in 20% der Fälle. Interobserver-Variabilität beim PET/CT-Targeting niedriger.</w:t>
      </w:r>
    </w:p>
    <w:p>
      <w:r>
        <w:rPr>
          <w:b/>
          <w:sz w:val="19"/>
        </w:rPr>
        <w:t xml:space="preserve">Übertragbarkeit: </w:t>
      </w:r>
      <w:r>
        <w:rPr>
          <w:sz w:val="19"/>
        </w:rPr>
        <w:t>Deutsche Klinik (Magdeburg), prospektive Validierung erforderlich.</w:t>
      </w:r>
    </w:p>
    <w:p>
      <w:r>
        <w:rPr>
          <w:color w:val="5A7D3A"/>
          <w:sz w:val="18"/>
        </w:rPr>
        <w:t>https://pubmed.ncbi.nlm.nih.gov/42782290/</w:t>
      </w:r>
    </w:p>
    <w:p>
      <w:pPr>
        <w:pStyle w:val="Heading2"/>
      </w:pPr>
      <w:r>
        <w:t>Re-Bestrahlung zentraler Lungenkarzinom-Rezidive – 1-Jahres-Überleben 61%</w:t>
      </w:r>
    </w:p>
    <w:p>
      <w:r>
        <w:rPr>
          <w:i/>
          <w:color w:val="666666"/>
          <w:sz w:val="18"/>
        </w:rPr>
        <w:t>Farnik F et al.  ·  Strahlenther Onkol  ·  24.09.2026  ·  PMID 42782288</w:t>
      </w:r>
    </w:p>
    <w:p>
      <w:r>
        <w:t>Monozentrische Analyse: 30 Patienten mit zentral gelegenem Lungenkarzinom-Rezidiv 2014–2024, Typ-2-Re-Bestrahlung mit individualisierter Dosierung.</w:t>
      </w:r>
    </w:p>
    <w:p>
      <w:r>
        <w:rPr>
          <w:b/>
        </w:rPr>
        <w:t xml:space="preserve">Ergebnis: </w:t>
      </w:r>
      <w:r>
        <w:t>1-Jahres-Gesamtüberleben 61%, 1-Jahres-Progression-Free-Survival 19,3%, 1-Jahres-Lokalkontrolle 80,1%. Mediane EQD2 49,5 Gy. Nur ein Fall Grade-3-Spätkomplikation (Ösophagusstenose), gute Verträglichkeit. Alter &gt;65 Jahre einziger unabhängiger Prognosefaktor für besseres PFS.</w:t>
      </w:r>
    </w:p>
    <w:p>
      <w:r>
        <w:rPr>
          <w:b/>
          <w:sz w:val="19"/>
        </w:rPr>
        <w:t xml:space="preserve">Übertragbarkeit: </w:t>
      </w:r>
      <w:r>
        <w:rPr>
          <w:sz w:val="19"/>
        </w:rPr>
        <w:t>Deutsche Monocenterstudie (Erlangen), begrenzte Fallzahl.</w:t>
      </w:r>
    </w:p>
    <w:p>
      <w:r>
        <w:rPr>
          <w:color w:val="5A7D3A"/>
          <w:sz w:val="18"/>
        </w:rPr>
        <w:t>https://pubmed.ncbi.nlm.nih.gov/42782288/</w:t>
      </w:r>
    </w:p>
    <w:p>
      <w:pPr>
        <w:pStyle w:val="Heading1"/>
      </w:pPr>
      <w:r>
        <w:t>Aufgenommen am 24.09.2026</w:t>
      </w:r>
    </w:p>
    <w:p>
      <w:pPr>
        <w:pStyle w:val="Heading2"/>
      </w:pPr>
      <w:r>
        <w:t>BCG plus Immune Checkpoint Inhibitor erhöht systemische Toxizität bei Blasenkrebs deutlich</w:t>
      </w:r>
    </w:p>
    <w:p>
      <w:r>
        <w:rPr>
          <w:i/>
          <w:color w:val="666666"/>
          <w:sz w:val="18"/>
        </w:rPr>
        <w:t>Ciccarese C et al.  ·  ESMO Open  ·  23.09.2026  ·  PMID 42777327</w:t>
      </w:r>
    </w:p>
    <w:p>
      <w:r>
        <w:t>Metaanalyse von drei Phase-III-Studien (1.895 Patienten) zur Sicherheit intravesikaler BCG-Immunchemotherapie gegenüber BCG allein bei nicht-muskelinvasivem Harnblasenkarzinom.</w:t>
      </w:r>
    </w:p>
    <w:p>
      <w:r>
        <w:rPr>
          <w:b/>
        </w:rPr>
        <w:t xml:space="preserve">Ergebnis: </w:t>
      </w:r>
      <w:r>
        <w:t>BCG plus Immune Checkpoint Inhibitor verdoppelte schwere Nebenwirkungen (Grad ≥3: RR 4,02; p&lt;0,00001) und erhöhte therapiebedingte schwere Ereignisse 4,5-fach (RR 4,54; p=0,0001), hauptsächlich durch systemische immunvermittelte Ereignisse (RR 15,18; p&lt;0,0001). Lokale Blasensymptome ähnlich zwischen Gruppen.</w:t>
      </w:r>
    </w:p>
    <w:p>
      <w:r>
        <w:rPr>
          <w:b/>
          <w:sz w:val="19"/>
        </w:rPr>
        <w:t xml:space="preserve">Übertragbarkeit: </w:t>
      </w:r>
      <w:r>
        <w:rPr>
          <w:sz w:val="19"/>
        </w:rPr>
        <w:t>Europa-Studie mit deutschen und österreichischen Zentren, direkt anwendbar</w:t>
      </w:r>
    </w:p>
    <w:p>
      <w:r>
        <w:rPr>
          <w:color w:val="5A7D3A"/>
          <w:sz w:val="18"/>
        </w:rPr>
        <w:t>https://pubmed.ncbi.nlm.nih.gov/42777327/</w:t>
      </w:r>
    </w:p>
    <w:p>
      <w:pPr>
        <w:pStyle w:val="Heading2"/>
      </w:pPr>
      <w:r>
        <w:t>FLOT plus Nivolumab bei Magenkrebse: Monocyten-Lymphozyten-Ratio identifiziert Profiteure</w:t>
      </w:r>
    </w:p>
    <w:p>
      <w:r>
        <w:rPr>
          <w:i/>
          <w:color w:val="666666"/>
          <w:sz w:val="18"/>
        </w:rPr>
        <w:t>Masetti M et al.  ·  Eur J Cancer  ·  10.09.2026  ·  PMID 42777290</w:t>
      </w:r>
    </w:p>
    <w:p>
      <w:r>
        <w:t>Extended Follow-up einer deutschen Multizenterstudie (Arm C: 52 Patienten mit mCRPC) zu FLOT-Chemotherapie plus Nivolumab mit Biomarker-Stratifizierung für Magenkarzinom.</w:t>
      </w:r>
    </w:p>
    <w:p>
      <w:r>
        <w:rPr>
          <w:b/>
        </w:rPr>
        <w:t xml:space="preserve">Ergebnis: </w:t>
      </w:r>
      <w:r>
        <w:t>Mediane OS 14,6 Monate; bei CPS≥1 plus niedriger MLR (Monocyten-Lymphozyten-Ratio) OS 32,3 vs. 7,4 Monate (p=0,044). NLR und MLR korrelierten mit Überleben; Schmerz verbesserte sich, Müdigkeit und körperliche Funktionsfähigkeit verschlechterten sich.</w:t>
      </w:r>
    </w:p>
    <w:p>
      <w:r>
        <w:rPr>
          <w:b/>
          <w:sz w:val="19"/>
        </w:rPr>
        <w:t xml:space="preserve">Übertragbarkeit: </w:t>
      </w:r>
      <w:r>
        <w:rPr>
          <w:sz w:val="19"/>
        </w:rPr>
        <w:t>Deutsche Klinikdaten aus 19 Zentren, vollständig übertragbar</w:t>
      </w:r>
    </w:p>
    <w:p>
      <w:r>
        <w:rPr>
          <w:color w:val="5A7D3A"/>
          <w:sz w:val="18"/>
        </w:rPr>
        <w:t>https://pubmed.ncbi.nlm.nih.gov/42777290/</w:t>
      </w:r>
    </w:p>
    <w:p>
      <w:pPr>
        <w:pStyle w:val="Heading2"/>
      </w:pPr>
      <w:r>
        <w:t>ODM-209 zeigt Aktivität bei kastrationsresistentem Prostatakarzinom mit AR-LBD-Mutationen</w:t>
      </w:r>
    </w:p>
    <w:p>
      <w:r>
        <w:rPr>
          <w:i/>
          <w:color w:val="666666"/>
          <w:sz w:val="18"/>
        </w:rPr>
        <w:t>Bernard-Tessier A et al.  ·  Eur J Cancer  ·  12.09.2026  ·  PMID 42777289</w:t>
      </w:r>
    </w:p>
    <w:p>
      <w:r>
        <w:t>Phase-I-Studie (STESIDES, 38 Patienten) zu ODM-209, einem CYP11A1-Inhibitor, der alle Steroidhormon-Synthese blockiert, bei metastasiertem kastrationsresistentem Prostatakarzinom und fortgeschrittenem Brustkrebs.</w:t>
      </w:r>
    </w:p>
    <w:p>
      <w:r>
        <w:rPr>
          <w:b/>
        </w:rPr>
        <w:t xml:space="preserve">Ergebnis: </w:t>
      </w:r>
      <w:r>
        <w:t>PSA-Abfall ≥50 % bei 29 % der mCRPC-Patienten (10/34); bei AR-LBD-Mutationen 47 % (9/19). Partielle klinische Remission bei 19 % (3/16). Häufigste Nebenwirkungen: Müdigkeit (53 %), periphere Ödeme (34 %); 8 % erlebten schwere Nebenwirkungen, 3 Fälle ernsthafte Nebenniereninsuffizienz (eine davon DLT).</w:t>
      </w:r>
    </w:p>
    <w:p>
      <w:r>
        <w:rPr>
          <w:b/>
          <w:sz w:val="19"/>
        </w:rPr>
        <w:t xml:space="preserve">Übertragbarkeit: </w:t>
      </w:r>
      <w:r>
        <w:rPr>
          <w:sz w:val="19"/>
        </w:rPr>
        <w:t>Europäisch-finländische Studie, toxikologisches Profil übertragbar auf Deutschland</w:t>
      </w:r>
    </w:p>
    <w:p>
      <w:r>
        <w:rPr>
          <w:color w:val="5A7D3A"/>
          <w:sz w:val="18"/>
        </w:rPr>
        <w:t>https://pubmed.ncbi.nlm.nih.gov/42777289/</w:t>
      </w:r>
    </w:p>
    <w:p>
      <w:pPr>
        <w:pStyle w:val="Heading2"/>
      </w:pPr>
      <w:r>
        <w:t>Anito-cel CAR-T-Therapie erreicht 100 % Ansprechrate bei therapierefraktärem Myelom</w:t>
      </w:r>
    </w:p>
    <w:p>
      <w:r>
        <w:rPr>
          <w:i/>
          <w:color w:val="666666"/>
          <w:sz w:val="18"/>
        </w:rPr>
        <w:t>Frigault MJ et al.  ·  N Engl J Med  ·  24.09.2026  ·  PMID 42777241</w:t>
      </w:r>
    </w:p>
    <w:p>
      <w:r>
        <w:t>Phase-1-Studie (40 Patienten, 38 erhielten Anito-cel) zu autologer CAR-T-Zelltherapie mit d-Domain-BCMA-Binder bei therapierefraktärem oder rezidiviertem multiplem Myelom nach ≥3 Therapielinien.</w:t>
      </w:r>
    </w:p>
    <w:p>
      <w:r>
        <w:rPr>
          <w:b/>
        </w:rPr>
        <w:t xml:space="preserve">Ergebnis: </w:t>
      </w:r>
      <w:r>
        <w:t>Objektives Ansprechrate 100 % (38/38), komplette Remission 79 % (30/38); mediane PFS 30,2 Monate (24-Monats-PFS 57 %), 36-Monats-OS 65 %. CRS Grad 1–2 bei 94 % (beim empfohlenen Dosis-Level), kein Grad-≥3-CRS. ICANS Grad 1–2 bei 16 %, Grad 3 bei 3 % (1 Patient). Keine Neurotoxizität oder Off-Target-Effekte.</w:t>
      </w:r>
    </w:p>
    <w:p>
      <w:r>
        <w:rPr>
          <w:b/>
          <w:sz w:val="19"/>
        </w:rPr>
        <w:t xml:space="preserve">Übertragbarkeit: </w:t>
      </w:r>
      <w:r>
        <w:rPr>
          <w:sz w:val="19"/>
        </w:rPr>
        <w:t>US-Zulassungsstudie, internationale Relevanz, Verfügbarkeit in Deutschland fraglich</w:t>
      </w:r>
    </w:p>
    <w:p>
      <w:r>
        <w:rPr>
          <w:color w:val="5A7D3A"/>
          <w:sz w:val="18"/>
        </w:rPr>
        <w:t>https://pubmed.ncbi.nlm.nih.gov/42777241/</w:t>
      </w:r>
    </w:p>
    <w:p>
      <w:pPr>
        <w:pStyle w:val="Heading2"/>
      </w:pPr>
      <w:r>
        <w:t>Adjuvantes S-1 verbessert 5-Jahres-Überleben nach Gallenwegskarzinom-Resektion auf 64 %</w:t>
      </w:r>
    </w:p>
    <w:p>
      <w:r>
        <w:rPr>
          <w:i/>
          <w:color w:val="666666"/>
          <w:sz w:val="18"/>
        </w:rPr>
        <w:t>Ikeda M et al.  ·  J Clin Oncol  ·  23.09.2026  ·  PMID 42777180</w:t>
      </w:r>
    </w:p>
    <w:p>
      <w:r>
        <w:t>Japanische Phase-III-Studie (ASCOT, 440 Patienten) zu adjuvantem S-1 nach Resektion von Gallenwegskarzinom mit 5-Jahres-Follow-up (mediane Nachbeobachtung 61,5 Monate).</w:t>
      </w:r>
    </w:p>
    <w:p>
      <w:r>
        <w:rPr>
          <w:b/>
        </w:rPr>
        <w:t xml:space="preserve">Ergebnis: </w:t>
      </w:r>
      <w:r>
        <w:t>5-Jahres-OS 64 % mit S-1 versus 52 % unter Beobachtung (HR 0,72; 95%-KI 0,55–0,95; p=0,01). Mediane OS 8,2 versus 5,9 Jahre. Mediane RFS 3,5 (S-1) versus 6,1 Jahre (Beobachtung). Behandlungseffekt über Subgruppen konsistent.</w:t>
      </w:r>
    </w:p>
    <w:p>
      <w:r>
        <w:rPr>
          <w:b/>
          <w:sz w:val="19"/>
        </w:rPr>
        <w:t xml:space="preserve">Übertragbarkeit: </w:t>
      </w:r>
      <w:r>
        <w:rPr>
          <w:sz w:val="19"/>
        </w:rPr>
        <w:t>Japanisches Gesundheitssystem, internationales Standard-Chemotherapieschema, AMNOG-Nutzen möglich</w:t>
      </w:r>
    </w:p>
    <w:p>
      <w:r>
        <w:rPr>
          <w:color w:val="5A7D3A"/>
          <w:sz w:val="18"/>
        </w:rPr>
        <w:t>https://pubmed.ncbi.nlm.nih.gov/42777180/</w:t>
      </w:r>
    </w:p>
    <w:p>
      <w:pPr>
        <w:pStyle w:val="Heading2"/>
      </w:pPr>
      <w:r>
        <w:t>GeNeo-Studie: Umfassendes Genomic Profiling verdoppelt Therapieempfehlungen</w:t>
      </w:r>
    </w:p>
    <w:p>
      <w:r>
        <w:rPr>
          <w:i/>
          <w:color w:val="666666"/>
          <w:sz w:val="18"/>
        </w:rPr>
        <w:t>Toungouz GR et al.  ·  Eur J Cancer  ·  03.06.2026  ·  PMID 42773586</w:t>
      </w:r>
    </w:p>
    <w:p>
      <w:r>
        <w:t>Belgische Studie an 1.000 metastasierten oder lokal fortgeschrittenen Krebspatienten, Vergleich umfassendes Genomic Profiling (CGP) versus beschränkte lokale NGS-Panels im Rahmen der belgischen Präzisionsmedizin-Initiative.</w:t>
      </w:r>
    </w:p>
    <w:p>
      <w:r>
        <w:rPr>
          <w:b/>
        </w:rPr>
        <w:t xml:space="preserve">Ergebnis: </w:t>
      </w:r>
      <w:r>
        <w:t>CGP erfolgreich bei 93 % der Patienten; 48 % erhielten mindestens eine zusätzliche Therapieempfehlung durch nationales Molekular-Tumorboard basierend auf CGP. 61 % aller Patienten erhielten CGP-basierte Empfehlungen; 23 % davon erhalten die empfohlene Therapie (Blockage: Nichtverfügbarkeit 25 %, klinische Verschlechterung 24 %, Patientenwahl 17 %).</w:t>
      </w:r>
    </w:p>
    <w:p>
      <w:r>
        <w:rPr>
          <w:b/>
          <w:sz w:val="19"/>
        </w:rPr>
        <w:t xml:space="preserve">Übertragbarkeit: </w:t>
      </w:r>
      <w:r>
        <w:rPr>
          <w:sz w:val="19"/>
        </w:rPr>
        <w:t>Belgisches Sozialversicherungssystem, ähnlich deutschem Struktur und Zulassungswegen</w:t>
      </w:r>
    </w:p>
    <w:p>
      <w:r>
        <w:rPr>
          <w:color w:val="5A7D3A"/>
          <w:sz w:val="18"/>
        </w:rPr>
        <w:t>https://pubmed.ncbi.nlm.nih.gov/42773586/</w:t>
      </w:r>
    </w:p>
    <w:p>
      <w:pPr>
        <w:pStyle w:val="Heading1"/>
      </w:pPr>
      <w:r>
        <w:t>Aufgenommen am 23.09.2026</w:t>
      </w:r>
    </w:p>
    <w:p>
      <w:pPr>
        <w:pStyle w:val="Heading2"/>
      </w:pPr>
      <w:r>
        <w:t>Chemotherapie und höheres Alter verschlechtern funktionelle Erholung bei älteren Brustkrebsüberlebenden</w:t>
      </w:r>
    </w:p>
    <w:p>
      <w:r>
        <w:rPr>
          <w:i/>
          <w:color w:val="666666"/>
          <w:sz w:val="18"/>
        </w:rPr>
        <w:t>Cespedes Feliciano EM et al.  ·  J Natl Cancer Inst  ·  23.09.2026  ·  PMID 42772761</w:t>
      </w:r>
    </w:p>
    <w:p>
      <w:r>
        <w:t>Vergleich wiederholter SF-36-Funktionswerte (Lebensqualität) von 6462 Patientinnen mit lokalisiertem und 1872 mit regionalem Brustkrebs vs. 37 196 krebsfreie altersgerechte Kontrollen über 15 Jahre aus der Women's Health Initiative.</w:t>
      </w:r>
    </w:p>
    <w:p>
      <w:r>
        <w:rPr>
          <w:b/>
        </w:rPr>
        <w:t xml:space="preserve">Ergebnis: </w:t>
      </w:r>
      <w:r>
        <w:t>Überlebende zeigten anhaltende funktionelle Defizite: Nach regionalem Krebs −6,8 Punkte (Jahr 1), −5,3 (Jahr 10) gegenüber Kontrollen. Chemotherapie verschärfte frühe Rückgänge (−7,1 Jahr 1). Frauen unter 70 Jahren zeigten bessere Erholung. Bessere Prediagnose-Lebensstiländerungen korrelierten mit größerer funktioneller Reserve und Erholungsfähigkeit.</w:t>
      </w:r>
    </w:p>
    <w:p>
      <w:r>
        <w:rPr>
          <w:b/>
          <w:sz w:val="19"/>
        </w:rPr>
        <w:t xml:space="preserve">Übertragbarkeit: </w:t>
      </w:r>
      <w:r>
        <w:rPr>
          <w:sz w:val="19"/>
        </w:rPr>
        <w:t>US-Daten mit großem Stichprobenumfang; Prinzipien der Unterstützung bei funktioneller Rehabilitation übertragbar.</w:t>
      </w:r>
    </w:p>
    <w:p>
      <w:r>
        <w:rPr>
          <w:color w:val="5A7D3A"/>
          <w:sz w:val="18"/>
        </w:rPr>
        <w:t>https://pubmed.ncbi.nlm.nih.gov/42772761/</w:t>
      </w:r>
    </w:p>
    <w:p>
      <w:pPr>
        <w:pStyle w:val="Heading2"/>
      </w:pPr>
      <w:r>
        <w:t>Molekulare Profiling-Lücke bei Medicaid-Patientinnen mit HR+/HER2−-Brustkrebs – weniger als 40 % erhalten Test</w:t>
      </w:r>
    </w:p>
    <w:p>
      <w:r>
        <w:rPr>
          <w:i/>
          <w:color w:val="666666"/>
          <w:sz w:val="18"/>
        </w:rPr>
        <w:t>Lal T et al.  ·  JCO Oncol Pract  ·  22.09.2026  ·  PMID 42771843</w:t>
      </w:r>
    </w:p>
    <w:p>
      <w:r>
        <w:t>Retrospektive Kohortenstudie mit verlinkten Krebs- und Medicaid-Claims-Daten aus Ohio: 1988 Patientinnen im Alter von 18–65 Jahren mit lokal fortgeschrittenem oder regionalem ER+/HER2−-Brustkrebs 2016–2020; Primärbefund: Erhalt von Oncotype DX oder MammaPrint innerhalb von 6 Monaten.</w:t>
      </w:r>
    </w:p>
    <w:p>
      <w:r>
        <w:rPr>
          <w:b/>
        </w:rPr>
        <w:t xml:space="preserve">Ergebnis: </w:t>
      </w:r>
      <w:r>
        <w:t>37,8 % (752 von 1988 Patientinnen) erhielten molekulares Profiling. Geringere Chancen bei regionalem gegenüber lokalisiertem Stadium (aOR 0,35, p&lt;0,001), Schwarze Frauen vs. Weiße (aOR 0,72), Einkommen über Armutsgrenze (aOR 0,73) und Medicaid-Langzeitpflege-Einschreiber (aOR 0,47). Verheiratet mit höherem Profiling (aOR 1,30).</w:t>
      </w:r>
    </w:p>
    <w:p>
      <w:r>
        <w:rPr>
          <w:b/>
          <w:sz w:val="19"/>
        </w:rPr>
        <w:t xml:space="preserve">Übertragbarkeit: </w:t>
      </w:r>
      <w:r>
        <w:rPr>
          <w:sz w:val="19"/>
        </w:rPr>
        <w:t>USA-Medicaid-Daten; Versorgungsungleichheiten ähnlich auch in Deutschland bei gesetzlicher Versicherung – Implementierungslücke bei Risikogruppen.</w:t>
      </w:r>
    </w:p>
    <w:p>
      <w:r>
        <w:rPr>
          <w:color w:val="5A7D3A"/>
          <w:sz w:val="18"/>
        </w:rPr>
        <w:t>https://pubmed.ncbi.nlm.nih.gov/42771843/</w:t>
      </w:r>
    </w:p>
    <w:p>
      <w:pPr>
        <w:pStyle w:val="Heading2"/>
      </w:pPr>
      <w:r>
        <w:t>Enfortumab Vedotin + Pembrolizumab beim Urothelkarzinom – praktisches Toxizitäts-Attributionsrahmenwerk zwischen ADC und Checkpoint-Inhibitor</w:t>
      </w:r>
    </w:p>
    <w:p>
      <w:r>
        <w:rPr>
          <w:i/>
          <w:color w:val="666666"/>
          <w:sz w:val="18"/>
        </w:rPr>
        <w:t>Zarka J et al.  ·  Oncologist  ·  21.09.2026  ·  PMID 42768457</w:t>
      </w:r>
    </w:p>
    <w:p>
      <w:r>
        <w:t>Mechanismus-informierte systematische Übersicht über Toxizitätsmuster bei Enfortumab Vedotin (EV), Pembrolizumab (P) und EV/P in fortgeschrittenem Urothelkarzinom anhand von Zulassungsstudien, Langzeitdaten und Real-World-Kohorten.</w:t>
      </w:r>
    </w:p>
    <w:p>
      <w:r>
        <w:rPr>
          <w:b/>
        </w:rPr>
        <w:t xml:space="preserve">Ergebnis: </w:t>
      </w:r>
      <w:r>
        <w:t>EV-Monotherapie: kutane Toxizität, periphere Neuropathie, Hyperglykämie, Dysgeuzie, okulare Ereignisse (frühe metabolische Events, kumulative Neuropathie). Pembrolizumab: niedrigere Hochgrad-Toxizität, aber Immune-Checkpoint-induzierte Endokrinopathien, Pneumonitis, Hepatitis, Kolitis, Nephritis. Kombination EV/P: vorhersehbare Überlappung dieser Toxizitätsdomänen; praktisches Attributionsrahmenwerk (EV-dominant, Immune-dominant, Überlappung, hohes Risiko mit Therapieunterbrechung).</w:t>
      </w:r>
    </w:p>
    <w:p>
      <w:r>
        <w:rPr>
          <w:b/>
          <w:sz w:val="19"/>
        </w:rPr>
        <w:t xml:space="preserve">Übertragbarkeit: </w:t>
      </w:r>
      <w:r>
        <w:rPr>
          <w:sz w:val="19"/>
        </w:rPr>
        <w:t>Mayo-Klinik-Kohorte; Toxizitäts-Management-Schemata und Attributionsrahmen für europäische/deutsche Urothelkarzinom-Praxen anwendbar.</w:t>
      </w:r>
    </w:p>
    <w:p>
      <w:r>
        <w:rPr>
          <w:color w:val="5A7D3A"/>
          <w:sz w:val="18"/>
        </w:rPr>
        <w:t>https://pubmed.ncbi.nlm.nih.gov/42768457/</w:t>
      </w:r>
    </w:p>
    <w:p>
      <w:pPr>
        <w:pStyle w:val="Heading2"/>
      </w:pPr>
      <w:r>
        <w:t>γδ-T-Zellen fördern Anti-Tumor-Immunität beim kleinzelligen Lungenkrebs – klinische Basis für BiTE-Therapie</w:t>
      </w:r>
    </w:p>
    <w:p>
      <w:r>
        <w:rPr>
          <w:i/>
          <w:color w:val="666666"/>
          <w:sz w:val="18"/>
        </w:rPr>
        <w:t>Ng J et al.  ·  Cancer Cell  ·  18.09.2026  ·  PMID 42759517</w:t>
      </w:r>
    </w:p>
    <w:p>
      <w:r>
        <w:t>Single-Cell-Transkriptomik in SCLC-Biopsien, kombiniert mit Analyse von zwei praxisverändernden klinischen Studien und Vormodellen, zur Rolle von γδ-T-Zellen bei Anti-PD-L1-Ansprechen und BiTE-Umleitung (Tarlatamab).</w:t>
      </w:r>
    </w:p>
    <w:p>
      <w:r>
        <w:rPr>
          <w:b/>
        </w:rPr>
        <w:t xml:space="preserve">Ergebnis: </w:t>
      </w:r>
      <w:r>
        <w:t>γδ-T-Zell-Infiltration in SCLC-Biospecimens nachgewiesen. Trotz PD-1-Expression behielten γδ-T-Zellen zytotoxisches Transkriptionsprofil. Hohe γδ-T-Zell-Infiltration sagte verbessertes Ansprechen auf Anti-PD-L1 in zwei Studien voraus. Vormodelle zeigten γδ-T-Zellen wirksam bei Tarlatamab-umgeleiteter SCLC-Abtötung; Zoledronsäure sensibilisierte SCLC-Zellen für γδ-T-Zell-vermittelte Tötung.</w:t>
      </w:r>
    </w:p>
    <w:p>
      <w:r>
        <w:rPr>
          <w:b/>
          <w:sz w:val="19"/>
        </w:rPr>
        <w:t xml:space="preserve">Übertragbarkeit: </w:t>
      </w:r>
      <w:r>
        <w:rPr>
          <w:sz w:val="19"/>
        </w:rPr>
        <w:t>Australisch-deutsche Kohorte; Grundlagenbefund mit erkennbarem Weg zu klinischen BiTE- und Kombinationsansätzen.</w:t>
      </w:r>
    </w:p>
    <w:p>
      <w:r>
        <w:rPr>
          <w:color w:val="5A7D3A"/>
          <w:sz w:val="18"/>
        </w:rPr>
        <w:t>https://pubmed.ncbi.nlm.nih.gov/42759517/</w:t>
      </w:r>
    </w:p>
    <w:p>
      <w:pPr>
        <w:pStyle w:val="Heading2"/>
      </w:pPr>
      <w:r>
        <w:t>Adjuvante Therapie der HR+/HER2−-Brustkrebse bei prämenopausalen Frauen: Klinischer Rahmen zu Endokrinologie, CDK4/6-Inhibitoren und Ovarialsuppression</w:t>
      </w:r>
    </w:p>
    <w:p>
      <w:r>
        <w:rPr>
          <w:i/>
          <w:color w:val="666666"/>
          <w:sz w:val="18"/>
        </w:rPr>
        <w:t>Licata L et al.  ·  Ann Oncol  ·  17.09.2026  ·  PMID 42754095</w:t>
      </w:r>
    </w:p>
    <w:p>
      <w:r>
        <w:t>Systematische Zusammenfassung und klinischer Orientierungsrahmen zu Unsicherheiten in der adjuvanten Therapie von prämenopausalen Frauen mit hormonrezeptorpositivem, HER2-negativem frühem Brustkrebs über Endokrinotherapie, CDK4/6-Inhibitoren, Ovarialsuppression und Toxizitätsmanagement.</w:t>
      </w:r>
    </w:p>
    <w:p>
      <w:r>
        <w:rPr>
          <w:b/>
        </w:rPr>
        <w:t xml:space="preserve">Ergebnis: </w:t>
      </w:r>
      <w:r>
        <w:t>Endokrinie mit CDK4/6-Inhibitoren in ausgewählten höheren Risiken bleibt Grundpfeiler. Offene Fragen: optimale Ovarialsuppression, Interpretation genomischer Assays für Chemotherapieentscheidungen, Auswahl für verlängerte Endokrinotherapie, Adhärenz und Schwangerschaftsprobleme. Der Rahmen soll individualisierte Strategien für diese Population unterstützen.</w:t>
      </w:r>
    </w:p>
    <w:p>
      <w:r>
        <w:rPr>
          <w:b/>
          <w:sz w:val="19"/>
        </w:rPr>
        <w:t xml:space="preserve">Übertragbarkeit: </w:t>
      </w:r>
      <w:r>
        <w:rPr>
          <w:sz w:val="19"/>
        </w:rPr>
        <w:t>Italienische und internationale Expertise; Strukturen übertragbar auf deutsches Zentrenmanagement.</w:t>
      </w:r>
    </w:p>
    <w:p>
      <w:r>
        <w:rPr>
          <w:color w:val="5A7D3A"/>
          <w:sz w:val="18"/>
        </w:rPr>
        <w:t>https://pubmed.ncbi.nlm.nih.gov/42754095/</w:t>
      </w:r>
    </w:p>
    <w:p>
      <w:pPr>
        <w:pStyle w:val="Heading2"/>
      </w:pPr>
      <w:r>
        <w:t>Arzneimittelinteraktionen beim Prostatakarzinom – digitale Tools häufig genutzt, Pharmakolog-Zugang unterentwickelt</w:t>
      </w:r>
    </w:p>
    <w:p>
      <w:r>
        <w:rPr>
          <w:i/>
          <w:color w:val="666666"/>
          <w:sz w:val="18"/>
        </w:rPr>
        <w:t>Valsecchi AA et al.  ·  Oncologist  ·  09.09.2026  ·  PMID 42747311</w:t>
      </w:r>
    </w:p>
    <w:p>
      <w:r>
        <w:t>Internationale Online-Umfrage bei 69 italienischen und 1064 weltweiten Gesundheitsberuflern zu Praktiken beim Management von Arzneimittelwechselwirkungen (DDI) beim Prostatakarzinom.</w:t>
      </w:r>
    </w:p>
    <w:p>
      <w:r>
        <w:rPr>
          <w:b/>
        </w:rPr>
        <w:t xml:space="preserve">Ergebnis: </w:t>
      </w:r>
      <w:r>
        <w:t>DDI wurden als klinisch relevant anerkannt. Digitale Werkzeuge (Online-Datenbanken, Apps) am häufigsten; KI-Tools selten. Italienische Onkologen berichteten begrenzte Vor-Ort-Pharmacolog-Unterstützung (29 %), weltweit 76 %. Hauptbarrieren: Zeitdruck, unsichere Quellenzuverlässigkeit, Mangel an Schulung. Italienische Ärzte forderten mehr Pharmacolog-Zugang; globale Kohorten: institutionelle Schulung.</w:t>
      </w:r>
    </w:p>
    <w:p>
      <w:r>
        <w:rPr>
          <w:b/>
          <w:sz w:val="19"/>
        </w:rPr>
        <w:t xml:space="preserve">Übertragbarkeit: </w:t>
      </w:r>
      <w:r>
        <w:rPr>
          <w:sz w:val="19"/>
        </w:rPr>
        <w:t>Deutsche Universitätskliniken haben oft Pharmakolog-Support; zentrale Erkenntnisse zur DDI-Managementlücke und Schulungsbedarf übertragbar.</w:t>
      </w:r>
    </w:p>
    <w:p>
      <w:r>
        <w:rPr>
          <w:color w:val="5A7D3A"/>
          <w:sz w:val="18"/>
        </w:rPr>
        <w:t>https://pubmed.ncbi.nlm.nih.gov/42747311/</w:t>
      </w:r>
    </w:p>
    <w:p>
      <w:pPr>
        <w:pStyle w:val="Heading2"/>
      </w:pPr>
      <w:r>
        <w:t>Nilotinib wirksam bei GIST-Patienten mit schwerer Imatinib-Toxizität – Therapiealternative ohne Kreuzreaktionen</w:t>
      </w:r>
    </w:p>
    <w:p>
      <w:r>
        <w:rPr>
          <w:i/>
          <w:color w:val="666666"/>
          <w:sz w:val="18"/>
        </w:rPr>
        <w:t>Falkenhorst J et al.  ·  Oncologist  ·  09.09.2026  ·  PMID 42691224</w:t>
      </w:r>
    </w:p>
    <w:p>
      <w:r>
        <w:t>Retrospektive Analyse von 20 GIST-Patienten mit schwerer Imatinib-Toxizität, die auf Nilotinib umgestellt wurden, inkl. In-vitro-Testung an Zelllinien mit KIT-Mutationen.</w:t>
      </w:r>
    </w:p>
    <w:p>
      <w:r>
        <w:rPr>
          <w:b/>
        </w:rPr>
        <w:t xml:space="preserve">Ergebnis: </w:t>
      </w:r>
      <w:r>
        <w:t>7,3 % der 1263 GIST-Patienten beendeten Imatinib wegen Toxizität. In 20 Patienten mit Nilotinib-Therapie zeigten sich keine Kreuzreaktivitäten mit Imatinib: Bei KIT-Exon-11-Mutationen wirksam, bei Exon-9- oder imatinib-resistenten Mutationen nicht. Nilotinib ist damit eine wichtige Alternative für imatinib-sensitive GIST.</w:t>
      </w:r>
    </w:p>
    <w:p>
      <w:r>
        <w:rPr>
          <w:b/>
          <w:sz w:val="19"/>
        </w:rPr>
        <w:t xml:space="preserve">Übertragbarkeit: </w:t>
      </w:r>
      <w:r>
        <w:rPr>
          <w:sz w:val="19"/>
        </w:rPr>
        <w:t>Deutsche GIST-Zentren können diese Therapieoption bei Imatinib-Unverträglichkeit einsetzen.</w:t>
      </w:r>
    </w:p>
    <w:p>
      <w:r>
        <w:rPr>
          <w:color w:val="5A7D3A"/>
          <w:sz w:val="18"/>
        </w:rPr>
        <w:t>https://pubmed.ncbi.nlm.nih.gov/42691224/</w:t>
      </w:r>
    </w:p>
    <w:p>
      <w:pPr>
        <w:pStyle w:val="Heading1"/>
      </w:pPr>
      <w:r>
        <w:t>Aufgenommen am 22.09.2026</w:t>
      </w:r>
    </w:p>
    <w:p>
      <w:pPr>
        <w:pStyle w:val="Heading2"/>
      </w:pPr>
      <w:r>
        <w:t>Symptom-Belastung während Behandlung: Starkes Prognosesignal für Überleben</w:t>
      </w:r>
    </w:p>
    <w:p>
      <w:r>
        <w:rPr>
          <w:i/>
          <w:color w:val="666666"/>
          <w:sz w:val="18"/>
        </w:rPr>
        <w:t>Hofsø K et al.  ·  ESMO Open  ·  21.09.2026  ·  PMID 42767083</w:t>
      </w:r>
    </w:p>
    <w:p>
      <w:r>
        <w:t>534 Patienten während Krebsbehandlung wurden nach Symptomen klassifiziert; die Assoziation zwischen Symptombelastung und langfristigem Überleben wurde 12–15 Jahre später gemessen.</w:t>
      </w:r>
    </w:p>
    <w:p>
      <w:r>
        <w:rPr>
          <w:b/>
        </w:rPr>
        <w:t xml:space="preserve">Ergebnis: </w:t>
      </w:r>
      <w:r>
        <w:t>Patienten mit durchgehend hoher Symptombelastung zeigten eine höhere Mortalität (HR 1,48; 95% KI 1,14–1,94) als andere Symptomgruppen. Symptomklassen könnten zur Risikoschichtung herangezogen werden.</w:t>
      </w:r>
    </w:p>
    <w:p>
      <w:r>
        <w:rPr>
          <w:b/>
          <w:sz w:val="19"/>
        </w:rPr>
        <w:t xml:space="preserve">Übertragbarkeit: </w:t>
      </w:r>
      <w:r>
        <w:rPr>
          <w:sz w:val="19"/>
        </w:rPr>
        <w:t>Norwegen, Versicherungssystem und Onkologieversorgung vergleichbar mit Deutschland.</w:t>
      </w:r>
    </w:p>
    <w:p>
      <w:r>
        <w:rPr>
          <w:color w:val="5A7D3A"/>
          <w:sz w:val="18"/>
        </w:rPr>
        <w:t>https://pubmed.ncbi.nlm.nih.gov/42767083/</w:t>
      </w:r>
    </w:p>
    <w:p>
      <w:pPr>
        <w:pStyle w:val="Heading2"/>
      </w:pPr>
      <w:r>
        <w:t>Dosisreduktion bei Ewing-Sarkom: Verzicht auf Therapie verschärft Prognose nicht</w:t>
      </w:r>
    </w:p>
    <w:p>
      <w:r>
        <w:rPr>
          <w:i/>
          <w:color w:val="666666"/>
          <w:sz w:val="18"/>
        </w:rPr>
        <w:t>Liu Y et al.  ·  Eur J Cancer  ·  16.09.2026  ·  PMID 42766959</w:t>
      </w:r>
    </w:p>
    <w:p>
      <w:r>
        <w:t>Euro Ewing 2012-Daten von 534 Patienten wurden analysiert, um die Auswirkung von Chemotherapie-Dosisanpassungen auf ereignisfreies Überleben zu quantifizieren.</w:t>
      </w:r>
    </w:p>
    <w:p>
      <w:r>
        <w:rPr>
          <w:b/>
        </w:rPr>
        <w:t xml:space="preserve">Ergebnis: </w:t>
      </w:r>
      <w:r>
        <w:t>Dosisreduktion war protektiv (HR 0,69; KI 0,39–1,24), Therapieverzögerung neutral (HR 1,02; KI 0,90–1,15); beide nicht signifikant. Toxizitätsmanagement durch Dosisanpassung beeinträchtigt Prognose nicht wesentlich.</w:t>
      </w:r>
    </w:p>
    <w:p>
      <w:r>
        <w:rPr>
          <w:b/>
          <w:sz w:val="19"/>
        </w:rPr>
        <w:t xml:space="preserve">Übertragbarkeit: </w:t>
      </w:r>
      <w:r>
        <w:rPr>
          <w:sz w:val="19"/>
        </w:rPr>
        <w:t>Europäische Studie, multinationale Kohorte, Ergebnisse übertragbar auf deutsches Versorgungssystem.</w:t>
      </w:r>
    </w:p>
    <w:p>
      <w:r>
        <w:rPr>
          <w:color w:val="5A7D3A"/>
          <w:sz w:val="18"/>
        </w:rPr>
        <w:t>https://pubmed.ncbi.nlm.nih.gov/42766959/</w:t>
      </w:r>
    </w:p>
    <w:p>
      <w:pPr>
        <w:pStyle w:val="Heading2"/>
      </w:pPr>
      <w:r>
        <w:t>Operationsrand bei Brustkrebs in situ: Unter 2 mm nicht automatisch ungünstiger</w:t>
      </w:r>
    </w:p>
    <w:p>
      <w:r>
        <w:rPr>
          <w:i/>
          <w:color w:val="666666"/>
          <w:sz w:val="18"/>
        </w:rPr>
        <w:t>Nash AL et al.  ·  J Clin Oncol  ·  21.09.2026  ·  PMID 42766806</w:t>
      </w:r>
    </w:p>
    <w:p>
      <w:r>
        <w:t>11.156 Frauen mit DCIS wurden nach Operationsrandbreite klassifiziert und lokales Rezidivrisiko gemessen; multivariables Cox-Modell nach klinischen Faktoren adjustiert.</w:t>
      </w:r>
    </w:p>
    <w:p>
      <w:r>
        <w:rPr>
          <w:b/>
        </w:rPr>
        <w:t xml:space="preserve">Ergebnis: </w:t>
      </w:r>
      <w:r>
        <w:t>Bei negativem Rand zeigt sich kein signifikanter Unterschied zwischen &lt;2 mm und ≥2 mm Randbreite in Rezidivrate. Nur in der Subgruppe &lt;50 Jahre war schmaler Rand ungünstiger. ORR Brusterhalt, Strahlentherapie, Alter, Hormonrezeptor und Tumor-Grade berücksichtigt.</w:t>
      </w:r>
    </w:p>
    <w:p>
      <w:r>
        <w:rPr>
          <w:b/>
          <w:sz w:val="19"/>
        </w:rPr>
        <w:t xml:space="preserve">Übertragbarkeit: </w:t>
      </w:r>
      <w:r>
        <w:rPr>
          <w:sz w:val="19"/>
        </w:rPr>
        <w:t>USA, Nationale Krebsdatenbank, vergleichbare Dokumentationsstandards zu deutschem Krebsregister.</w:t>
      </w:r>
    </w:p>
    <w:p>
      <w:r>
        <w:rPr>
          <w:color w:val="5A7D3A"/>
          <w:sz w:val="18"/>
        </w:rPr>
        <w:t>https://pubmed.ncbi.nlm.nih.gov/42766806/</w:t>
      </w:r>
    </w:p>
    <w:p>
      <w:pPr>
        <w:pStyle w:val="Heading2"/>
      </w:pPr>
      <w:r>
        <w:t>Krebsimpfstoffe: Überblick über Wirkmechanismen und klinische Erfolge</w:t>
      </w:r>
    </w:p>
    <w:p>
      <w:r>
        <w:rPr>
          <w:i/>
          <w:color w:val="666666"/>
          <w:sz w:val="18"/>
        </w:rPr>
        <w:t>Disis ML et al.  ·  JAMA  ·  21.09.2026  ·  PMID 42766303</w:t>
      </w:r>
    </w:p>
    <w:p>
      <w:r>
        <w:t>Systematische Übersicht der Translational-Science-Literatur zu Krebsvakzinen, deren Komponenten, Wirkungsweisen und bisherigen Zulassungserfolgen.</w:t>
      </w:r>
    </w:p>
    <w:p>
      <w:r>
        <w:rPr>
          <w:b/>
        </w:rPr>
        <w:t xml:space="preserve">Ergebnis: </w:t>
      </w:r>
      <w:r>
        <w:t>Sipuleucel-T reduzierte Mortalität um 22% vs. Placebo (HR 0,78; p=0,03). Talimogene laherparepvec erhöhte 6-Monats-Remissionsrate auf 16,3% vs. 2,1% (p&lt;0,001). mRNA-4157+Pembrolizumab verbesserte rezidivfreies Überleben bei Melanom (76,6% vs. 60%; HR 0,56; p=0,05). Nebenwirkungen überwiegend mild.</w:t>
      </w:r>
    </w:p>
    <w:p>
      <w:r>
        <w:rPr>
          <w:b/>
          <w:sz w:val="19"/>
        </w:rPr>
        <w:t xml:space="preserve">Übertragbarkeit: </w:t>
      </w:r>
      <w:r>
        <w:rPr>
          <w:sz w:val="19"/>
        </w:rPr>
        <w:t>USA-Literaturübersicht, Mechanismen und Sicherheitsprofil universell, Verfügbarkeit in Deutschland an Zulassung/Nutzenbewertung gekoppelt.</w:t>
      </w:r>
    </w:p>
    <w:p>
      <w:r>
        <w:rPr>
          <w:color w:val="5A7D3A"/>
          <w:sz w:val="18"/>
        </w:rPr>
        <w:t>https://pubmed.ncbi.nlm.nih.gov/42766303/</w:t>
      </w:r>
    </w:p>
    <w:p>
      <w:pPr>
        <w:pStyle w:val="Heading2"/>
      </w:pPr>
      <w:r>
        <w:t>Ceralasertib plus Olaparib bei HER2-negativem Triple-negativem Brustkrebs: ORR-Gewinn ohne PFS-Vorteil</w:t>
      </w:r>
    </w:p>
    <w:p>
      <w:r>
        <w:rPr>
          <w:i/>
          <w:color w:val="666666"/>
          <w:sz w:val="18"/>
        </w:rPr>
        <w:t>Tutt A et al.  ·  Clin Cancer Res  ·  21.09.2026  ·  PMID 42765908</w:t>
      </w:r>
    </w:p>
    <w:p>
      <w:r>
        <w:t>273 Patientinnen mit PARP-inhibitor-naiven, vorbehandelten triple-negativen Mammakarzinomen wurden in drei molekulare Schichten randomisiert: Olaparib allein gegen Kombinationen mit ATR- oder WEE1-Inhibitor.</w:t>
      </w:r>
    </w:p>
    <w:p>
      <w:r>
        <w:rPr>
          <w:b/>
        </w:rPr>
        <w:t xml:space="preserve">Ergebnis: </w:t>
      </w:r>
      <w:r>
        <w:t>Bei nicht-HRR-mutierten Tumoren: Ceralasertib+Olaparib erhöhte ORR auf 15,4% vs. 3,9% (p=0,0425); PFS-Mediane aber 3,6 vs. 3,6 Monate (nicht signifikant). Adavosertib+Olaparib wurde wegen Toxizität abgebrochen.</w:t>
      </w:r>
    </w:p>
    <w:p>
      <w:r>
        <w:rPr>
          <w:b/>
          <w:sz w:val="19"/>
        </w:rPr>
        <w:t xml:space="preserve">Übertragbarkeit: </w:t>
      </w:r>
      <w:r>
        <w:rPr>
          <w:sz w:val="19"/>
        </w:rPr>
        <w:t>Internationale Studie, einschl. Deutschland/Belgien, vergleichbare onkologische Versorgung, Ergebnis beschränkt: ORR-Gewinn ohne Überleben-Nutzen fraglich.</w:t>
      </w:r>
    </w:p>
    <w:p>
      <w:r>
        <w:rPr>
          <w:color w:val="5A7D3A"/>
          <w:sz w:val="18"/>
        </w:rPr>
        <w:t>https://pubmed.ncbi.nlm.nih.gov/42765908/</w:t>
      </w:r>
    </w:p>
    <w:p>
      <w:pPr>
        <w:pStyle w:val="Heading2"/>
      </w:pPr>
      <w:r>
        <w:t>Wirbelkörperfrakturen und Myelom-Risiko: Prospektive Kohortenstudie mit Incidental-Befunden</w:t>
      </w:r>
    </w:p>
    <w:p>
      <w:r>
        <w:rPr>
          <w:i/>
          <w:color w:val="666666"/>
          <w:sz w:val="18"/>
        </w:rPr>
        <w:t>Rønnemoes R et al.  ·  Leukemia  ·  18.09.2026  ·  PMID 42760387</w:t>
      </w:r>
    </w:p>
    <w:p>
      <w:r>
        <w:t>9.059 Personen aus bevölkerungsrepräsentativer dänischer Stichprobe erhielten CT-Scans; zufällig entdeckte Wirbelkörperfrakturen wurden als Myelom-Risikofaktor untersucht.</w:t>
      </w:r>
    </w:p>
    <w:p>
      <w:r>
        <w:rPr>
          <w:b/>
        </w:rPr>
        <w:t xml:space="preserve">Ergebnis: </w:t>
      </w:r>
      <w:r>
        <w:t>Inzidentelle Wirbelkörperfrakturen zeigten Assoziation mit erhöhtem Myelom-Risiko; Ergebnisse liegen noch in Publikation vor, konkrete Hazard-Ratio nicht im vorliegenden Abstract genannt.</w:t>
      </w:r>
    </w:p>
    <w:p>
      <w:r>
        <w:rPr>
          <w:b/>
          <w:sz w:val="19"/>
        </w:rPr>
        <w:t xml:space="preserve">Übertragbarkeit: </w:t>
      </w:r>
      <w:r>
        <w:rPr>
          <w:sz w:val="19"/>
        </w:rPr>
        <w:t>Dänemark, nationale Bevölkerungsstudie, Diagnostik durch Standardbildgebung deutschem Standard entsprechend.</w:t>
      </w:r>
    </w:p>
    <w:p>
      <w:r>
        <w:rPr>
          <w:color w:val="5A7D3A"/>
          <w:sz w:val="18"/>
        </w:rPr>
        <w:t>https://pubmed.ncbi.nlm.nih.gov/42760387/</w:t>
      </w:r>
    </w:p>
    <w:p>
      <w:pPr>
        <w:pStyle w:val="Heading1"/>
      </w:pPr>
      <w:r>
        <w:t>Aufgenommen am 21.09.2026</w:t>
      </w:r>
    </w:p>
    <w:p>
      <w:pPr>
        <w:pStyle w:val="Heading2"/>
      </w:pPr>
      <w:r>
        <w:t>SABR bei oligometastatischem Brustkrebs: Lokale Kontrolle 92,5% in 1 Jahr</w:t>
      </w:r>
    </w:p>
    <w:p>
      <w:r>
        <w:rPr>
          <w:i/>
          <w:color w:val="666666"/>
          <w:sz w:val="18"/>
        </w:rPr>
        <w:t>Viani GA et al.  ·  Radiother Oncol  ·  20.09.2026  ·  PMID 42764105</w:t>
      </w:r>
    </w:p>
    <w:p>
      <w:r>
        <w:t>Metaanalyse von 25 Studien (1.577 Patienten) zu stereotaktischer ablativer Radiotherapie bei oligometastatischem Brustkrebs.</w:t>
      </w:r>
    </w:p>
    <w:p>
      <w:r>
        <w:rPr>
          <w:b/>
        </w:rPr>
        <w:t xml:space="preserve">Ergebnis: </w:t>
      </w:r>
      <w:r>
        <w:t>Lokale Kontrolle nach 1 Jahr: 92,5 % (95% KI 90,4–94,2), nach 2 Jahren 84,6 % (81,1–87,6). De-novo-Oligometastasen zeigten bessere Ergebnisse als Oligoprogression (OS nach 2 Jahren 91,0 vs. 65,8 %; p=0,002). Grad ≥3-Nebenwirkungen in nur 1,5 % der Patienten.</w:t>
      </w:r>
    </w:p>
    <w:p>
      <w:r>
        <w:rPr>
          <w:b/>
          <w:sz w:val="19"/>
        </w:rPr>
        <w:t xml:space="preserve">Übertragbarkeit: </w:t>
      </w:r>
      <w:r>
        <w:rPr>
          <w:sz w:val="19"/>
        </w:rPr>
        <w:t>Europäische und internationale Studien, vergleichbare Versorgungsstandards</w:t>
      </w:r>
    </w:p>
    <w:p>
      <w:r>
        <w:rPr>
          <w:color w:val="5A7D3A"/>
          <w:sz w:val="18"/>
        </w:rPr>
        <w:t>https://pubmed.ncbi.nlm.nih.gov/42764105/</w:t>
      </w:r>
    </w:p>
    <w:p>
      <w:pPr>
        <w:pStyle w:val="Heading2"/>
      </w:pPr>
      <w:r>
        <w:t>Screening für Schmerz und Depression verbessert sich, aber nicht die Symptomlinderung</w:t>
      </w:r>
    </w:p>
    <w:p>
      <w:r>
        <w:rPr>
          <w:i/>
          <w:color w:val="666666"/>
          <w:sz w:val="18"/>
        </w:rPr>
        <w:t>Huang TQ et al.  ·  JCO Oncol Pract  ·  17.09.2026  ·  PMID 42753214</w:t>
      </w:r>
    </w:p>
    <w:p>
      <w:r>
        <w:t>Analyse von Patienten-Erfahrungsdaten aus dem Oncology Care Model (USA) 2017–2022: Trend von praxis-dokumentierten Screening-Raten vs. Patient-reported Outcomes.</w:t>
      </w:r>
    </w:p>
    <w:p>
      <w:r>
        <w:rPr>
          <w:b/>
        </w:rPr>
        <w:t xml:space="preserve">Ergebnis: </w:t>
      </w:r>
      <w:r>
        <w:t>Praxis-berichtete Schmerz-Screening/-Management-Raten stiegen von 76,5 % auf 92,6 % (2017–2022); Depression von 56,6 % auf 81,7 %. Aber patient-berichtete Schmerzen nahmen leicht ab (–0,2 Prozentpunkte/Quartal; p=0,002), Hilfe bei Symptomen stieg nicht (p&gt;0,20).</w:t>
      </w:r>
    </w:p>
    <w:p>
      <w:r>
        <w:rPr>
          <w:b/>
          <w:sz w:val="19"/>
        </w:rPr>
        <w:t xml:space="preserve">Übertragbarkeit: </w:t>
      </w:r>
      <w:r>
        <w:rPr>
          <w:sz w:val="19"/>
        </w:rPr>
        <w:t>USA, Qualitätsmessung im Versicherungssystem unterscheidet sich von Deutschland</w:t>
      </w:r>
    </w:p>
    <w:p>
      <w:r>
        <w:rPr>
          <w:color w:val="5A7D3A"/>
          <w:sz w:val="18"/>
        </w:rPr>
        <w:t>https://pubmed.ncbi.nlm.nih.gov/42753214/</w:t>
      </w:r>
    </w:p>
    <w:p>
      <w:pPr>
        <w:pStyle w:val="Heading2"/>
      </w:pPr>
      <w:r>
        <w:t>MET-Biomarker-Schwellenwerte bei Osimertinib-resistentem EGFR-mutiertem Lungenkarzinom</w:t>
      </w:r>
    </w:p>
    <w:p>
      <w:r>
        <w:rPr>
          <w:i/>
          <w:color w:val="666666"/>
          <w:sz w:val="18"/>
        </w:rPr>
        <w:t>Ahn MJ et al.  ·  Clin Cancer Res  ·  17.09.2026  ·  PMID 42752799</w:t>
      </w:r>
    </w:p>
    <w:p>
      <w:r>
        <w:t>Retrospektive Analyse aus Phase-II-SAVANNAH-Studie: Bestimmung optimaler MET-Cutoffs (IHC/FISH) für Savolitinib plus Osimertinib bei vorbehandeltem NSCLC.</w:t>
      </w:r>
    </w:p>
    <w:p>
      <w:r>
        <w:rPr>
          <w:b/>
        </w:rPr>
        <w:t xml:space="preserve">Ergebnis: </w:t>
      </w:r>
      <w:r>
        <w:t>ORR 49 % (MET IHC 3+/≥90 % und/oder FISH 10+) vs. 9 % (MET-negativ); 32 % (MET IHC 3+/≥50 % oder FISH 5+). Prävalenz MET 3+/≥90 % oder FISH 10+ betrug 34 %. Optimale Cutoffs identifiziert für Phase-III-SAFFRON-Studie.</w:t>
      </w:r>
    </w:p>
    <w:p>
      <w:r>
        <w:rPr>
          <w:b/>
          <w:sz w:val="19"/>
        </w:rPr>
        <w:t xml:space="preserve">Übertragbarkeit: </w:t>
      </w:r>
      <w:r>
        <w:rPr>
          <w:sz w:val="19"/>
        </w:rPr>
        <w:t>Internationale Studie, Biomarker-Definition für Zulassungspfade weltweit</w:t>
      </w:r>
    </w:p>
    <w:p>
      <w:r>
        <w:rPr>
          <w:color w:val="5A7D3A"/>
          <w:sz w:val="18"/>
        </w:rPr>
        <w:t>https://pubmed.ncbi.nlm.nih.gov/42752799/</w:t>
      </w:r>
    </w:p>
    <w:p>
      <w:pPr>
        <w:pStyle w:val="Heading2"/>
      </w:pPr>
      <w:r>
        <w:t>Immun-Checkpoint-Inhibitoren bei Kopf-Hals-Tumoren mit niedriger PD-L1: verschlechterte Überlebensergebnisse</w:t>
      </w:r>
    </w:p>
    <w:p>
      <w:r>
        <w:rPr>
          <w:i/>
          <w:color w:val="666666"/>
          <w:sz w:val="18"/>
        </w:rPr>
        <w:t>Jin M et al.  ·  JAMA Oncol  ·  17.09.2026  ·  PMID 42752536</w:t>
      </w:r>
    </w:p>
    <w:p>
      <w:r>
        <w:t>Bayessche Metaanalyse von 7 randomisierten Studien (630 Patienten mit PD-L1 CPS &lt;1) zum Overall Survival unter ICI-Therapie vs. Standard-Chemotherapie bei Kopf-Hals-Karzinomen.</w:t>
      </w:r>
    </w:p>
    <w:p>
      <w:r>
        <w:rPr>
          <w:b/>
        </w:rPr>
        <w:t xml:space="preserve">Ergebnis: </w:t>
      </w:r>
      <w:r>
        <w:t>Posterior-Wahrscheinlichkeit für schlechteres OS unter ICI: 95,6 %. Bayesscher HR 1,42 (95% KI 0,93–2,06); frequentistischer HR 1,46 (95% KI 1,17–1,83; p&lt;0,001). Empfehlung: Vorsicht bei ICI in dieser PD-L1-negativen Subgruppe.</w:t>
      </w:r>
    </w:p>
    <w:p>
      <w:r>
        <w:rPr>
          <w:b/>
          <w:sz w:val="19"/>
        </w:rPr>
        <w:t xml:space="preserve">Übertragbarkeit: </w:t>
      </w:r>
      <w:r>
        <w:rPr>
          <w:sz w:val="19"/>
        </w:rPr>
        <w:t>USA und internationale Studien, Befund ist allgemein anwendbar</w:t>
      </w:r>
    </w:p>
    <w:p>
      <w:r>
        <w:rPr>
          <w:color w:val="5A7D3A"/>
          <w:sz w:val="18"/>
        </w:rPr>
        <w:t>https://pubmed.ncbi.nlm.nih.gov/42752536/</w:t>
      </w:r>
    </w:p>
    <w:p>
      <w:pPr>
        <w:pStyle w:val="Heading2"/>
      </w:pPr>
      <w:r>
        <w:t>Tumorreaktion γδ T-Zell-Rezeptoren aus Myelom: Machine-Learning-Identifikation und universelle Therapie</w:t>
      </w:r>
    </w:p>
    <w:p>
      <w:r>
        <w:rPr>
          <w:i/>
          <w:color w:val="666666"/>
          <w:sz w:val="18"/>
        </w:rPr>
        <w:t>St Paul M et al.  ·  Nature  ·  16.09.2026  ·  PMID 42749802</w:t>
      </w:r>
    </w:p>
    <w:p>
      <w:r>
        <w:t>Grundlagenarbeit: PreGame-Algorithmus zur Identifikation tumorreaktiver γδ TCRs aus Single-Cell-Daten. Validierung in Patienten mit Multiplem Myelom; Expansion tumorreaktiver γδ T-Zellen als früher Biomarker für Therapieansprechen.</w:t>
      </w:r>
    </w:p>
    <w:p>
      <w:r>
        <w:rPr>
          <w:b/>
        </w:rPr>
        <w:t xml:space="preserve">Ergebnis: </w:t>
      </w:r>
      <w:r>
        <w:t>PreGame identifiziert tumorreaktion γδ T-Zellen zuverlässig. Expansion während Belantamab-Mafodotin-Therapie korrelierte mit Ansprechen. γδ TCR-Epitop in HLA-C gefunden; Potenzial für universelle γδ-TCR-Therapeutika.</w:t>
      </w:r>
    </w:p>
    <w:p>
      <w:r>
        <w:rPr>
          <w:b/>
          <w:sz w:val="19"/>
        </w:rPr>
        <w:t xml:space="preserve">Übertragbarkeit: </w:t>
      </w:r>
      <w:r>
        <w:rPr>
          <w:sz w:val="19"/>
        </w:rPr>
        <w:t>Kanada und international, Grundlagenergebnis mit Therapie-Translationspfad</w:t>
      </w:r>
    </w:p>
    <w:p>
      <w:r>
        <w:rPr>
          <w:color w:val="5A7D3A"/>
          <w:sz w:val="18"/>
        </w:rPr>
        <w:t>https://pubmed.ncbi.nlm.nih.gov/42749802/</w:t>
      </w:r>
    </w:p>
    <w:p>
      <w:pPr>
        <w:pStyle w:val="Heading2"/>
      </w:pPr>
      <w:r>
        <w:t>Sozioökonomische Disparitäten bei Sarkomdiagnose und Zentrumsanbindung</w:t>
      </w:r>
    </w:p>
    <w:p>
      <w:r>
        <w:rPr>
          <w:i/>
          <w:color w:val="666666"/>
          <w:sz w:val="18"/>
        </w:rPr>
        <w:t>Mascaró-Baselga P et al.  ·  Oncologist  ·  09.09.2026  ·  PMID 42704687</w:t>
      </w:r>
    </w:p>
    <w:p>
      <w:r>
        <w:t>Querschnittsstudie an 415 Sarkom-Patienten (365 Spanien, 50 Portugal) zu Einflussfaktoren auf Diagnostik, Überweisung und Patientengruppen-Awareness.</w:t>
      </w:r>
    </w:p>
    <w:p>
      <w:r>
        <w:rPr>
          <w:b/>
        </w:rPr>
        <w:t xml:space="preserve">Ergebnis: </w:t>
      </w:r>
      <w:r>
        <w:t>Niedrigeres Einkommen (OR 2,38) war mit längeren Diagnostik-Verzögerungen assoziiert; ländliches Wohnen (OR 3,48) mit weniger Überweisungen zu Spezialistzentren. Sarkoma-Spezifische Advocacy-Group-Awareness lag bei 20 % und war höher mit Universitätsabschluss (OR 4,27). Auch in universellen Gesundheitssystemen bestehen Ungleichheiten beim Zugang.</w:t>
      </w:r>
    </w:p>
    <w:p>
      <w:r>
        <w:rPr>
          <w:b/>
          <w:sz w:val="19"/>
        </w:rPr>
        <w:t xml:space="preserve">Übertragbarkeit: </w:t>
      </w:r>
      <w:r>
        <w:rPr>
          <w:sz w:val="19"/>
        </w:rPr>
        <w:t>Spanien und Portugal, europäische Versicherungssysteme, universale Gesundheitsversorgung</w:t>
      </w:r>
    </w:p>
    <w:p>
      <w:r>
        <w:rPr>
          <w:color w:val="5A7D3A"/>
          <w:sz w:val="18"/>
        </w:rPr>
        <w:t>https://pubmed.ncbi.nlm.nih.gov/42704687/</w:t>
      </w:r>
    </w:p>
    <w:p>
      <w:pPr>
        <w:pStyle w:val="Heading1"/>
      </w:pPr>
      <w:r>
        <w:t>Aufgenommen am 20.09.2026</w:t>
      </w:r>
    </w:p>
    <w:p>
      <w:pPr>
        <w:pStyle w:val="Heading2"/>
      </w:pPr>
      <w:r>
        <w:t>Omit-CTV in begrenzt-stadialem Kleinzellkarzinom: Gleiche Wirkung, weniger Toxizität</w:t>
      </w:r>
    </w:p>
    <w:p>
      <w:r>
        <w:rPr>
          <w:i/>
          <w:color w:val="666666"/>
          <w:sz w:val="18"/>
        </w:rPr>
        <w:t>Wang X et al.  ·  Radiother Oncol  ·  19.09.2026  ·  PMID 42763051</w:t>
      </w:r>
    </w:p>
    <w:p>
      <w:r>
        <w:t>Retrospektive Real-World-Studie an 946 Patienten mit begrenzt-stadialem Kleinzellkarzinom der Lunge zum Vergleich von Bestrahlungstechnik mit und ohne klinisches Zielvolumen.</w:t>
      </w:r>
    </w:p>
    <w:p>
      <w:r>
        <w:rPr>
          <w:b/>
        </w:rPr>
        <w:t xml:space="preserve">Ergebnis: </w:t>
      </w:r>
      <w:r>
        <w:t>Mediales PFS 11,8 vs. 11,6 Monate (HR 0,93; p=0,500), mediales OS 35,8 vs. 30,7 Monate (HR 0,85; p=0,220). Omit-CTV zeigte niedrigere Pneumonitis-Raten (Grad ≥3: 3,4 % vs. 8,3 %) und Ösophagitis (Grad ≥3: 5,7 % vs. 9,1 %). Bei Immuntherapie-Patienten: nicht erreichte PFS vs. 15,2 Monate (HR 0,48; p=0,033), nicht erreichte OS vs. 26,9 Monate (HR 0,31; p=0,018).</w:t>
      </w:r>
    </w:p>
    <w:p>
      <w:r>
        <w:rPr>
          <w:b/>
          <w:sz w:val="19"/>
        </w:rPr>
        <w:t xml:space="preserve">Übertragbarkeit: </w:t>
      </w:r>
      <w:r>
        <w:rPr>
          <w:sz w:val="19"/>
        </w:rPr>
        <w:t>China, nationale Klinikdaten; technische Replizierbarkeit international, aber Validierung erforderlich</w:t>
      </w:r>
    </w:p>
    <w:p>
      <w:r>
        <w:rPr>
          <w:color w:val="5A7D3A"/>
          <w:sz w:val="18"/>
        </w:rPr>
        <w:t>https://pubmed.ncbi.nlm.nih.gov/42763051/</w:t>
      </w:r>
    </w:p>
    <w:p>
      <w:pPr>
        <w:pStyle w:val="Heading2"/>
      </w:pPr>
      <w:r>
        <w:t>Dosisunterversorgung bei Protonentherapie: Kein Einfluss auf Ansprechen bei Ösophaguskarzinom</w:t>
      </w:r>
    </w:p>
    <w:p>
      <w:r>
        <w:rPr>
          <w:i/>
          <w:color w:val="666666"/>
          <w:sz w:val="18"/>
        </w:rPr>
        <w:t>van Keeken K et al.  ·  Radiother Oncol  ·  19.09.2026  ·  PMID 42763050</w:t>
      </w:r>
    </w:p>
    <w:p>
      <w:r>
        <w:t>Retrospektive niederländische Analyse von 135 Patienten mit distalem Ösophaguskarzinom unter neoadjuvanter Chemoradiotherapie und intensitätsmodulierter Protonentherapie zur Beziehung zwischen akkumulierter Targetdosis und Tumor-Response.</w:t>
      </w:r>
    </w:p>
    <w:p>
      <w:r>
        <w:rPr>
          <w:b/>
        </w:rPr>
        <w:t xml:space="preserve">Ergebnis: </w:t>
      </w:r>
      <w:r>
        <w:t>Dosisunterversorgung des Internal-Target-Volume (ITV D98 % &lt;94 %) trat bei 21 % auf, Gross-Tumor-Volume-Unterversorgung in 0 %. Persistierende klinische komplette Remission/pathologische komplette Remission: 30 % mit vs. 28 % ohne ITV-Unterversorgung (p=0,90). 2-Jahres-OS identisch (64 %). Zwerchfellbewegung &gt;2 cm war nicht mit Unterversorgung assoziiert.</w:t>
      </w:r>
    </w:p>
    <w:p>
      <w:r>
        <w:rPr>
          <w:b/>
          <w:sz w:val="19"/>
        </w:rPr>
        <w:t xml:space="preserve">Übertragbarkeit: </w:t>
      </w:r>
      <w:r>
        <w:rPr>
          <w:sz w:val="19"/>
        </w:rPr>
        <w:t>Niederländische Klinik, vergleichbares Versicherungssystem; Technische Parameter übertragbar</w:t>
      </w:r>
    </w:p>
    <w:p>
      <w:r>
        <w:rPr>
          <w:color w:val="5A7D3A"/>
          <w:sz w:val="18"/>
        </w:rPr>
        <w:t>https://pubmed.ncbi.nlm.nih.gov/42763050/</w:t>
      </w:r>
    </w:p>
    <w:p>
      <w:pPr>
        <w:pStyle w:val="Heading2"/>
      </w:pPr>
      <w:r>
        <w:t>MammaPrint im MINDACT: 70-Gen-Signatur bestätigt Prognosekraft bei hochrisiko-Brustkrebspatientinnen</w:t>
      </w:r>
    </w:p>
    <w:p>
      <w:r>
        <w:rPr>
          <w:i/>
          <w:color w:val="666666"/>
          <w:sz w:val="18"/>
        </w:rPr>
        <w:t>Gielen RCAM et al.  ·  Eur J Cancer  ·  11.09.2026  ·  PMID 42762561</w:t>
      </w:r>
    </w:p>
    <w:p>
      <w:r>
        <w:t>Exploratorische Subgruppen-Analyse des MINDACT-Trials zu prognostischer Performance des 70-Gen-Signatures in Patientinnen über 50 Jahren mit HR+/HER2- Brustkrebs und klinisch hohem, genomisch niedrigem Risiko, die auf Chemotherapie verzichteten.</w:t>
      </w:r>
    </w:p>
    <w:p>
      <w:r>
        <w:rPr>
          <w:b/>
        </w:rPr>
        <w:t xml:space="preserve">Ergebnis: </w:t>
      </w:r>
      <w:r>
        <w:t>Bei 490 Patientinnen mit Tumoren &gt;2 cm: 8-Jahres-DMFS 87,9 % ohne Chemotherapie (95%-KI 82,9–91,6 %), absoluter Benefit durch Chemotherapie 1,2 %. Bei Grad-3-Tumoren (n=232): DMFS 91,3 % ohne Chemotherapie, Benefit -2,2 %. Bei Lymphknoten-Befall (n=406): DMFS 89,6 %, Benefit 0,7 %. Der Signatur behält prognostische Validität in diesen Hochrisiko-Subgruppen.</w:t>
      </w:r>
    </w:p>
    <w:p>
      <w:r>
        <w:rPr>
          <w:b/>
          <w:sz w:val="19"/>
        </w:rPr>
        <w:t xml:space="preserve">Übertragbarkeit: </w:t>
      </w:r>
      <w:r>
        <w:rPr>
          <w:sz w:val="19"/>
        </w:rPr>
        <w:t>Europäischer Multizenterstudie (EORTC); GnP-Assessment, Leitlinien-relevant</w:t>
      </w:r>
    </w:p>
    <w:p>
      <w:r>
        <w:rPr>
          <w:color w:val="5A7D3A"/>
          <w:sz w:val="18"/>
        </w:rPr>
        <w:t>https://pubmed.ncbi.nlm.nih.gov/42762561/</w:t>
      </w:r>
    </w:p>
    <w:p>
      <w:pPr>
        <w:pStyle w:val="Heading2"/>
      </w:pPr>
      <w:r>
        <w:t>Zugang zu Phase-I-Studien: Barrieren und Chancen bei 26.000 Patienten</w:t>
      </w:r>
    </w:p>
    <w:p>
      <w:r>
        <w:rPr>
          <w:i/>
          <w:color w:val="666666"/>
          <w:sz w:val="18"/>
        </w:rPr>
        <w:t>Roulleaux Dugage M et al.  ·  Eur J Cancer  ·  17.09.2026  ·  PMID 42762559</w:t>
      </w:r>
    </w:p>
    <w:p>
      <w:r>
        <w:t>Französisches Einzelzentrum-Register (Gustave Roussy 2007–2023) zur Untersuchung von Überweisungs- und Einschluss-Mustern in Early-Phase-Trials sowie Dauer bis Therapie-Beginn und Behandlungs-Dauer.</w:t>
      </w:r>
    </w:p>
    <w:p>
      <w:r>
        <w:rPr>
          <w:b/>
        </w:rPr>
        <w:t xml:space="preserve">Ergebnis: </w:t>
      </w:r>
      <w:r>
        <w:t>Von 26.394 überweisenen Patienten wurden 13.713 (52 %) evaluiert, 5.847 (22 %) gaben Einwilligung ab, 4.769 (18 %) erhielten mindestens eine Dosis. Mediane Zeit von Uberweisung zu Trial-Inkl: variabel nach Tumortyp. Zugangsdisparitäten: Nicht-kleinzelliges Lungenkarzinom war häufigste Überweisung (n=5.025, 19 %), aber Brust-, Kolorektal- und Pankreaskarzinom hatten niedrige Behandlungsquoten trotz hoher Überweisungen. Therapeutische Landschaft: Anstieg von Antikörper-Wirkstoff-Konjugaten und T-Zell-Engagern, Rückgang konventioneller monoklonaler Antikörper.</w:t>
      </w:r>
    </w:p>
    <w:p>
      <w:r>
        <w:rPr>
          <w:b/>
          <w:sz w:val="19"/>
        </w:rPr>
        <w:t xml:space="preserve">Übertragbarkeit: </w:t>
      </w:r>
      <w:r>
        <w:rPr>
          <w:sz w:val="19"/>
        </w:rPr>
        <w:t>Frankreich, spezialisiertes Zentrum; begrenzte Übertragbarkeit auf Flächenversorgung, methodisch hochwertig</w:t>
      </w:r>
    </w:p>
    <w:p>
      <w:r>
        <w:rPr>
          <w:color w:val="5A7D3A"/>
          <w:sz w:val="18"/>
        </w:rPr>
        <w:t>https://pubmed.ncbi.nlm.nih.gov/42762559/</w:t>
      </w:r>
    </w:p>
    <w:p>
      <w:pPr>
        <w:pStyle w:val="Heading2"/>
      </w:pPr>
      <w:r>
        <w:t>Europäisches Netzwerk für Krebsversorgung bei Jugendlichen und jungen Erwachsenen</w:t>
      </w:r>
    </w:p>
    <w:p>
      <w:r>
        <w:rPr>
          <w:i/>
          <w:color w:val="666666"/>
          <w:sz w:val="18"/>
        </w:rPr>
        <w:t>Ferrari A et al.  ·  ESMO Open  ·  18.09.2026  ·  PMID 42759381</w:t>
      </w:r>
    </w:p>
    <w:p>
      <w:r>
        <w:t>Policy-Paper eines europäischen Expertise-Netzwerks zu Versorgung von Adoleszenten und jungen Erwachsenen (Alter 15–39 Jahre) mit Krebserkrankungen mit Fokus auf nationale Kooperation und strukturelle Maßnahmen.</w:t>
      </w:r>
    </w:p>
    <w:p>
      <w:r>
        <w:rPr>
          <w:b/>
        </w:rPr>
        <w:t xml:space="preserve">Ergebnis: </w:t>
      </w:r>
      <w:r>
        <w:t>Netzwerk empfiehlt: (1) Etablierung länderspezifischer AYA-Zentren, (2) Kooperation zwischen pädiatrischen und Erwachsenen-Onkologie-Diensten, (3) strukturierte Psychosozial-Unterstützung, (4) harmonisierte Datenerfassung für vergleichende Analyse. Hauptmerkmale: Unterschiedliche nationale Zugangsbarrieren und Versorgungsstrukturen in Europas Ländern erfordern lokale Anpassung bei gemeinsamen Standards.</w:t>
      </w:r>
    </w:p>
    <w:p>
      <w:r>
        <w:rPr>
          <w:b/>
          <w:sz w:val="19"/>
        </w:rPr>
        <w:t xml:space="preserve">Übertragbarkeit: </w:t>
      </w:r>
      <w:r>
        <w:rPr>
          <w:sz w:val="19"/>
        </w:rPr>
        <w:t>Europäischer Kontext, 14 Länder; Übertragbar auf deutsches System mit entsprechender Anpassung</w:t>
      </w:r>
    </w:p>
    <w:p>
      <w:r>
        <w:rPr>
          <w:color w:val="5A7D3A"/>
          <w:sz w:val="18"/>
        </w:rPr>
        <w:t>https://pubmed.ncbi.nlm.nih.gov/42759381/</w:t>
      </w:r>
    </w:p>
    <w:p>
      <w:pPr>
        <w:pStyle w:val="Heading2"/>
      </w:pPr>
      <w:r>
        <w:t>Internationale Konsens-Kriterien für T-Zell-Großgranulär-Lymphom-Diagnose und Therapie</w:t>
      </w:r>
    </w:p>
    <w:p>
      <w:r>
        <w:rPr>
          <w:i/>
          <w:color w:val="666666"/>
          <w:sz w:val="18"/>
        </w:rPr>
        <w:t>Brammer JE et al.  ·  Blood  ·  21.08.2026  ·  PMID 42640859</w:t>
      </w:r>
    </w:p>
    <w:p>
      <w:r>
        <w:t>Internationale Konsensus-Arbeit (LGLL Consortium) zur Etablierung einheitlicher Diagnose-, Behandlungs- und Response-Kriterien für die seltene T-Zell-Großgranulär-Leukämie zur Standardisierung klinischer und Forschungspraxis.</w:t>
      </w:r>
    </w:p>
    <w:p>
      <w:r>
        <w:rPr>
          <w:b/>
        </w:rPr>
        <w:t xml:space="preserve">Ergebnis: </w:t>
      </w:r>
      <w:r>
        <w:t>Konsens auf folgende Punkte: (1) Harmonisierte diagnostische Laborkriterien (Flow-Cytometrie, TCR-Molekularanalyse), (2) standardisierte Behandlungsinitiat-Indikatoren (Symptomatik, Organfunktion), (3) einheitliche Response-Assessment-Parameter (Hämatologie, funktionelle Marker). Empfehlungen zur Differenzialdiagnose autoimmunärer Phänomene. Kriterien adressieren zentrale Heterogenität bisheriger Studien, um zukünftige Trials und Klinik zu vereinheitlichen.</w:t>
      </w:r>
    </w:p>
    <w:p>
      <w:r>
        <w:rPr>
          <w:b/>
          <w:sz w:val="19"/>
        </w:rPr>
        <w:t xml:space="preserve">Übertragbarkeit: </w:t>
      </w:r>
      <w:r>
        <w:rPr>
          <w:sz w:val="19"/>
        </w:rPr>
        <w:t>International mit europäischen Zentren; Standards sind system-unabhängig, direkt übertragbar</w:t>
      </w:r>
    </w:p>
    <w:p>
      <w:r>
        <w:rPr>
          <w:color w:val="5A7D3A"/>
          <w:sz w:val="18"/>
        </w:rPr>
        <w:t>https://pubmed.ncbi.nlm.nih.gov/42640859/</w:t>
      </w:r>
    </w:p>
    <w:p>
      <w:pPr>
        <w:pStyle w:val="Heading1"/>
      </w:pPr>
      <w:r>
        <w:t>Aufgenommen am 19.09.2026</w:t>
      </w:r>
    </w:p>
    <w:p>
      <w:pPr>
        <w:pStyle w:val="Heading2"/>
      </w:pPr>
      <w:r>
        <w:t>Präzisions-Prävention und Früherkennung: Framework für neue Krebskontroll-Pfade</w:t>
      </w:r>
    </w:p>
    <w:p>
      <w:r>
        <w:rPr>
          <w:i/>
          <w:color w:val="666666"/>
          <w:sz w:val="18"/>
        </w:rPr>
        <w:t>Rebbeck TR  ·  Lancet  ·  18.09.2026  ·  PMID 42759527</w:t>
      </w:r>
    </w:p>
    <w:p>
      <w:r>
        <w:t>Editoriales Essay zu Precision Prevention and Early Detection (PPED) – ein Rahmenwerk, das fragt: Wer hat erhöhtes Krebsrisiko, welche Intervention wann, wie de-eskalieren in Niedrig-Risiko-Gruppen?</w:t>
      </w:r>
    </w:p>
    <w:p>
      <w:r>
        <w:rPr>
          <w:b/>
        </w:rPr>
        <w:t xml:space="preserve">Ergebnis: </w:t>
      </w:r>
      <w:r>
        <w:t>Nur 13% der Krebsfälle werden durch Screening entdeckt; 20–50% präsentieren sich notfallmäßig. PPED-Logik funktioniert bei erblichen Syndromen mit ausreichend angereichertem Risiko. Schlüssel: Gesundheitssystem-Infrastruktur und Arbeitskräfte für longitudinales Präventions-Planning; de-Eskalation in Niedrig-Risiko-Personen genauso wichtig wie Intensivierung in Hoch-Risiko. Größte Herausforderung der nächsten Dekade.</w:t>
      </w:r>
    </w:p>
    <w:p>
      <w:r>
        <w:rPr>
          <w:b/>
          <w:sz w:val="19"/>
        </w:rPr>
        <w:t xml:space="preserve">Übertragbarkeit: </w:t>
      </w:r>
      <w:r>
        <w:rPr>
          <w:sz w:val="19"/>
        </w:rPr>
        <w:t>Weltweit anwendbare Prinzipien; deutsche Früherkennung und Zentrenstruktur ermöglichen Umsetzung.</w:t>
      </w:r>
    </w:p>
    <w:p>
      <w:r>
        <w:rPr>
          <w:color w:val="5A7D3A"/>
          <w:sz w:val="18"/>
        </w:rPr>
        <w:t>https://pubmed.ncbi.nlm.nih.gov/42759527/</w:t>
      </w:r>
    </w:p>
    <w:p>
      <w:pPr>
        <w:pStyle w:val="Heading2"/>
      </w:pPr>
      <w:r>
        <w:t>Symptom-Belastung in Krebspatienten korreliert mit geringerer Therapie- und höherer Supportiv-Kostennutzung</w:t>
      </w:r>
    </w:p>
    <w:p>
      <w:r>
        <w:rPr>
          <w:i/>
          <w:color w:val="666666"/>
          <w:sz w:val="18"/>
        </w:rPr>
        <w:t>Hirpara DH et al.  ·  J Clin Oncol  ·  18.09.2026  ·  PMID 42758960</w:t>
      </w:r>
    </w:p>
    <w:p>
      <w:r>
        <w:t>Populationsbasierte Kohortenstudie aus Ontario, Kanada: 285.924 Krebspatienten mit 1.728.025 ESAS-Assessments (Edmonton Symptom Assessment) zur Assoziation zwischen Patient-Reported Outcomes und Gesundheitskosten.</w:t>
      </w:r>
    </w:p>
    <w:p>
      <w:r>
        <w:rPr>
          <w:b/>
        </w:rPr>
        <w:t xml:space="preserve">Ergebnis: </w:t>
      </w:r>
      <w:r>
        <w:t>Höchste Symptom-Belastung (Müdigkeit, Depression, Wohlbefinden) bei Atem-, HNO-Tumoren. Jede 10-Punkte-Zunahme ESAS-Score: 9,4% weniger Krebs-Therapiekosten (sinkende Therapie-Nutzung), aber 18% mehr Supportiv-Care-Kosten (mehr ED-Besuche, Hauscare). GI/Mamma/ZNS teuerste Entitäten (85–78k CAD/30 Tage). Aktives Symptom-Management könnte Krebs-Therapien fördern und unnötige Supportiv-Kosten senken.</w:t>
      </w:r>
    </w:p>
    <w:p>
      <w:r>
        <w:rPr>
          <w:b/>
          <w:sz w:val="19"/>
        </w:rPr>
        <w:t xml:space="preserve">Übertragbarkeit: </w:t>
      </w:r>
      <w:r>
        <w:rPr>
          <w:sz w:val="19"/>
        </w:rPr>
        <w:t>Kanada, ähnliches Versicherungssystem wie Deutschland; Symptom-Management-Evidenz direkt relevant.</w:t>
      </w:r>
    </w:p>
    <w:p>
      <w:r>
        <w:rPr>
          <w:color w:val="5A7D3A"/>
          <w:sz w:val="18"/>
        </w:rPr>
        <w:t>https://pubmed.ncbi.nlm.nih.gov/42758960/</w:t>
      </w:r>
    </w:p>
    <w:p>
      <w:pPr>
        <w:pStyle w:val="Heading2"/>
      </w:pPr>
      <w:r>
        <w:t>Tyrosinkinasehemmer verbessert Gesamtüberleben bei BCR::ABL1+ AML deutlich</w:t>
      </w:r>
    </w:p>
    <w:p>
      <w:r>
        <w:rPr>
          <w:i/>
          <w:color w:val="666666"/>
          <w:sz w:val="18"/>
        </w:rPr>
        <w:t>Bertoli S et al.  ·  Blood  ·  18.09.2026  ·  PMID 42758645</w:t>
      </w:r>
    </w:p>
    <w:p>
      <w:r>
        <w:t>Multizentrische europäische Studie: 212 Patienten mit de novo BCR::ABL1+ AML wurden retrospektiv analysiert – intensiveChemotherapie (IC) allein oder kombiniert mit Tyrosinkinasehemmer (TKI).</w:t>
      </w:r>
    </w:p>
    <w:p>
      <w:r>
        <w:rPr>
          <w:b/>
        </w:rPr>
        <w:t xml:space="preserve">Ergebnis: </w:t>
      </w:r>
      <w:r>
        <w:t>Mit IC+TKI erreichten 110/123 Patienten (89%) komplette Remission/CRi vs. 52/77 (68%) mit IC allein (p&lt;0,0001). 5-Jahres-Gesamtüberleben: 62,9% (IC+TKI) vs. 38,5% (IC; p&lt;0,0001). Im multivariaten Modell: Odds Ratio für CR/CRi 4,74 (95%-KI 2,17–10,35), Hazard Ratio für Überleben 0,40 (0,27–0,62; p&lt;0,001). TKI-Zusatz ist unabhängiger prognostischer Faktor.</w:t>
      </w:r>
    </w:p>
    <w:p>
      <w:r>
        <w:rPr>
          <w:b/>
          <w:sz w:val="19"/>
        </w:rPr>
        <w:t xml:space="preserve">Übertragbarkeit: </w:t>
      </w:r>
      <w:r>
        <w:rPr>
          <w:sz w:val="19"/>
        </w:rPr>
        <w:t>Französisch-deutsches Konsortium, europäische Versicherungssysteme, direkt übertragbar auf deutsche Kliniken.</w:t>
      </w:r>
    </w:p>
    <w:p>
      <w:r>
        <w:rPr>
          <w:color w:val="5A7D3A"/>
          <w:sz w:val="18"/>
        </w:rPr>
        <w:t>https://pubmed.ncbi.nlm.nih.gov/42758645/</w:t>
      </w:r>
    </w:p>
    <w:p>
      <w:pPr>
        <w:pStyle w:val="Heading2"/>
      </w:pPr>
      <w:r>
        <w:t>Intraoperative Radiotherapie zeigt Lokalrezidiv-Raten vergleichbar mit postoperativen Boost</w:t>
      </w:r>
    </w:p>
    <w:p>
      <w:r>
        <w:rPr>
          <w:i/>
          <w:color w:val="666666"/>
          <w:sz w:val="18"/>
        </w:rPr>
        <w:t>Sarria GR et al.  ·  Strahlenther Onkol  ·  17.09.2026  ·  PMID 42754764</w:t>
      </w:r>
    </w:p>
    <w:p>
      <w:r>
        <w:t>Matched-Pair-Analyse von 400 Brustkrebs-Patientinnen (je 200 mit intraoperativer oder postoperativer EBRT-Boost) mit frühen Hochrisikotumoreneach Brustkrebserhaltender Chirurgie.</w:t>
      </w:r>
    </w:p>
    <w:p>
      <w:r>
        <w:rPr>
          <w:b/>
        </w:rPr>
        <w:t xml:space="preserve">Ergebnis: </w:t>
      </w:r>
      <w:r>
        <w:t>Nach medianer 58-Monate-Nachsorge: Kumulative lokale Rezidiv-Inzidenz 3,5% (IORT) vs. 2,0% (EBRT); HR 1,80 (95%-KI 0,58–5,58; p=0,312, nicht signifikant). Keine Unterschiede bei Lymphknoten-, Fernmetastasen-freiem Überleben oder Gesamtüberleben (alle p&gt;0,6). IORT ist wirksame, gut verträgliche Alternative ohne Kompromisse im Langzeit-Onkologie.</w:t>
      </w:r>
    </w:p>
    <w:p>
      <w:r>
        <w:rPr>
          <w:b/>
          <w:sz w:val="19"/>
        </w:rPr>
        <w:t xml:space="preserve">Übertragbarkeit: </w:t>
      </w:r>
      <w:r>
        <w:rPr>
          <w:sz w:val="19"/>
        </w:rPr>
        <w:t>Deutsche und europäische Zentren, Versicherungssystem unabhängig, direkt übertragbar.</w:t>
      </w:r>
    </w:p>
    <w:p>
      <w:r>
        <w:rPr>
          <w:color w:val="5A7D3A"/>
          <w:sz w:val="18"/>
        </w:rPr>
        <w:t>https://pubmed.ncbi.nlm.nih.gov/42754764/</w:t>
      </w:r>
    </w:p>
    <w:p>
      <w:pPr>
        <w:pStyle w:val="Heading2"/>
      </w:pPr>
      <w:r>
        <w:t>Seltene EGFR-T790M-Keimbahn-Mutation mit Lungenkrebsrisiko in Southern Appalachia identifiziert</w:t>
      </w:r>
    </w:p>
    <w:p>
      <w:r>
        <w:rPr>
          <w:i/>
          <w:color w:val="666666"/>
          <w:sz w:val="18"/>
        </w:rPr>
        <w:t>LoPiccolo J et al.  ·  Science  ·  17.09.2026  ·  PMID 42752144</w:t>
      </w:r>
    </w:p>
    <w:p>
      <w:r>
        <w:t>Große bevölkerungsgenetische Studie (&gt;3,3 Mio. Personen) zur Assoziation der EGFR-T790M-Variante mit Lungenkrebsrisiko.</w:t>
      </w:r>
    </w:p>
    <w:p>
      <w:r>
        <w:rPr>
          <w:b/>
        </w:rPr>
        <w:t xml:space="preserve">Ergebnis: </w:t>
      </w:r>
      <w:r>
        <w:t>EGFR-T790M signifikant mit Lungenkrebsrisiko assoziiert, aber nicht mit 17 anderen Tumoren; Risiko übersteigt Raucher-Risiko, mehrfach höher in Never-Smokern. Geografisch/ancestral: höhere Prävalenz in USA (Southern-Appalachian-Founder-Event 200–225 Jahre ago, Herkunft britisch/irisch). Prävalenz regional deutlich erhöht, betrifft britische, irische und afrikanische Abstammung. Erkannte Hochrisiko-Träger ermöglichen gezielte genetische Tests und Screening-Strategien.</w:t>
      </w:r>
    </w:p>
    <w:p>
      <w:r>
        <w:rPr>
          <w:b/>
          <w:sz w:val="19"/>
        </w:rPr>
        <w:t xml:space="preserve">Übertragbarkeit: </w:t>
      </w:r>
      <w:r>
        <w:rPr>
          <w:sz w:val="19"/>
        </w:rPr>
        <w:t>Transatlantische Studie, Angloamerika-Fokus; für Deutschland gering: regionale Appalachian-Founder-Effekt USA-spezifisch.</w:t>
      </w:r>
    </w:p>
    <w:p>
      <w:r>
        <w:rPr>
          <w:color w:val="5A7D3A"/>
          <w:sz w:val="18"/>
        </w:rPr>
        <w:t>https://pubmed.ncbi.nlm.nih.gov/42752144/</w:t>
      </w:r>
    </w:p>
    <w:p>
      <w:pPr>
        <w:pStyle w:val="Heading2"/>
      </w:pPr>
      <w:r>
        <w:t>Elacestrant zeigt anhaltende Vorteile bei ESR1-mutiertem HR+/HER2– mBC</w:t>
      </w:r>
    </w:p>
    <w:p>
      <w:r>
        <w:rPr>
          <w:i/>
          <w:color w:val="666666"/>
          <w:sz w:val="18"/>
        </w:rPr>
        <w:t>Curigliano G et al.  ·  ESMO Open  ·  14.09.2026  ·  PMID 42735454</w:t>
      </w:r>
    </w:p>
    <w:p>
      <w:r>
        <w:t>Real-World-Analyse von 281 Patientinnen mit HR+/HER2-negativ ESR1-mutiertem metastasiertem Brustkrebs nach ≥1 Linie endokriner Therapie plus CDK4/6-Hemmer.</w:t>
      </w:r>
    </w:p>
    <w:p>
      <w:r>
        <w:rPr>
          <w:b/>
        </w:rPr>
        <w:t xml:space="preserve">Ergebnis: </w:t>
      </w:r>
      <w:r>
        <w:t>Medianer Zeitpunkt bis nächste Therapie: 8,2 Monate (95%-KI 6,0–12,2) in Gruppe mit 1–2 Linien ET+CDK4/6i (n=108); 9,0 Monate bei ≥12-monatiger Vortherapie (n=85; 95%-KI 7,7–13,7). Mit nur 1 Vorlinientherapie: 12,2 Monate (95%-KI 9,0-nicht erreicht; n=31). Leber-/Lungenmets: 6,9 Monate; Gehirnmets: 7,4 Monate. Koexistente ESR1+PI3K-Mutation: 6,1 Monate. Durable Vorteile unterstützen Elacestrant als Erst-Option für endokrin-sensitive HR+ ESR1-mutierte Tumoren.</w:t>
      </w:r>
    </w:p>
    <w:p>
      <w:r>
        <w:rPr>
          <w:b/>
          <w:sz w:val="19"/>
        </w:rPr>
        <w:t xml:space="preserve">Übertragbarkeit: </w:t>
      </w:r>
      <w:r>
        <w:rPr>
          <w:sz w:val="19"/>
        </w:rPr>
        <w:t>Europäische und kanadische Zentren, vergleichbares Versicherungssystem, breiter anwendbar.</w:t>
      </w:r>
    </w:p>
    <w:p>
      <w:r>
        <w:rPr>
          <w:color w:val="5A7D3A"/>
          <w:sz w:val="18"/>
        </w:rPr>
        <w:t>https://pubmed.ncbi.nlm.nih.gov/42735454/</w:t>
      </w:r>
    </w:p>
    <w:p>
      <w:pPr>
        <w:pStyle w:val="Heading2"/>
      </w:pPr>
      <w:r>
        <w:t>Thymusbestrahlung bei NSCLC mit höherem Metastasen- und Todesrisiko assoziiert</w:t>
      </w:r>
    </w:p>
    <w:p>
      <w:r>
        <w:rPr>
          <w:i/>
          <w:color w:val="666666"/>
          <w:sz w:val="18"/>
        </w:rPr>
        <w:t>Prudente V et al.  ·  Ann Oncol  ·  25.08.2026  ·  PMID 42641684</w:t>
      </w:r>
    </w:p>
    <w:p>
      <w:r>
        <w:t>Multikohorten-Analyse von 1.107 NSCLC-Patienten (RTOG-0617 und zwei Real-World-Kohorten) zur Auswirkung akzidenteller Thymusbestrahlung auf Outcome.</w:t>
      </w:r>
    </w:p>
    <w:p>
      <w:r>
        <w:rPr>
          <w:b/>
        </w:rPr>
        <w:t xml:space="preserve">Ergebnis: </w:t>
      </w:r>
      <w:r>
        <w:t>Mittlere Thymusdosis (MTD) von 1 Gy assoziiert mit 1,57–4,21% erhöhtem Distanzmetastasen-Risiko (RTOG: aHR 1,29, p=0,0028; Harvard-CRT: aHR 1,33, p=0,011; Harvard-Durva: aHR 1,95, p=0,007). Patienten mit erhaltenem Thymus vorher besonders gefährdet. Nach 1 Jahr: Dosis-abhängiger Thymusfunktions-Verlust und niedrigere Lymphozytenzahlen. Neuplanuung-Machbarkeitsstudie zeigte thymussparing möglich ohne Tumorüberdeckungs-Verlust.</w:t>
      </w:r>
    </w:p>
    <w:p>
      <w:r>
        <w:rPr>
          <w:b/>
          <w:sz w:val="19"/>
        </w:rPr>
        <w:t xml:space="preserve">Übertragbarkeit: </w:t>
      </w:r>
      <w:r>
        <w:rPr>
          <w:sz w:val="19"/>
        </w:rPr>
        <w:t>USA-Daten, aber biologischer Mechanismus universal; deutsche Zentren können Planung adaptieren.</w:t>
      </w:r>
    </w:p>
    <w:p>
      <w:r>
        <w:rPr>
          <w:color w:val="5A7D3A"/>
          <w:sz w:val="18"/>
        </w:rPr>
        <w:t>https://pubmed.ncbi.nlm.nih.gov/42641684/</w:t>
      </w:r>
    </w:p>
    <w:p>
      <w:pPr>
        <w:pStyle w:val="Heading1"/>
      </w:pPr>
      <w:r>
        <w:t>Aufgenommen am 18.09.2026</w:t>
      </w:r>
    </w:p>
    <w:p>
      <w:pPr>
        <w:pStyle w:val="Heading2"/>
      </w:pPr>
      <w:r>
        <w:t>Perfluorheptansäure (PFHpA) erhöht Leberkrebsrisiko: Fallkontrollstudie</w:t>
      </w:r>
    </w:p>
    <w:p>
      <w:r>
        <w:rPr>
          <w:i/>
          <w:color w:val="666666"/>
          <w:sz w:val="18"/>
        </w:rPr>
        <w:t>Watling CZ et al.  ·  J Natl Cancer Inst  ·  17.09.2026  ·  PMID 42752878</w:t>
      </w:r>
    </w:p>
    <w:p>
      <w:r>
        <w:t>Verschachtelte Fall-Kontroll-Studie in 12 prospektiven US-Kohorten (853 Fälle, 853 Kontrollen) zur Assoziation von Per- und Polyfluoralkylverbindungen (PFAS) ausser PFOS, PFOA, PFHxS mit Leberkrebs (Prävention).</w:t>
      </w:r>
    </w:p>
    <w:p>
      <w:r>
        <w:rPr>
          <w:b/>
        </w:rPr>
        <w:t xml:space="preserve">Ergebnis: </w:t>
      </w:r>
      <w:r>
        <w:t>Perfluorheptansäure (PFHpA) positiv mit Leberkrebsrisiko assoziiert: Odds Ratio 1,78 (95%-KI 1,26-2,52). Stärkere Assoziation bei Männern (OR 3,72), HCC (4,53), ≤10 Jahre nach Blutentnahme (3,17). Andere PFAS ohne Assoziation.</w:t>
      </w:r>
    </w:p>
    <w:p>
      <w:r>
        <w:rPr>
          <w:b/>
          <w:sz w:val="19"/>
        </w:rPr>
        <w:t xml:space="preserve">Übertragbarkeit: </w:t>
      </w:r>
      <w:r>
        <w:rPr>
          <w:sz w:val="19"/>
        </w:rPr>
        <w:t>USA-Bevölkerungsdaten; Kurzkettige-PFAS persistieren auch in Europrodukten.</w:t>
      </w:r>
    </w:p>
    <w:p>
      <w:r>
        <w:rPr>
          <w:color w:val="5A7D3A"/>
          <w:sz w:val="18"/>
        </w:rPr>
        <w:t>https://pubmed.ncbi.nlm.nih.gov/42752878/</w:t>
      </w:r>
    </w:p>
    <w:p>
      <w:pPr>
        <w:pStyle w:val="Heading2"/>
      </w:pPr>
      <w:r>
        <w:t>Zolbetuximab versus Immune Checkpoint Inhibitoren bei claudin-18.2-positivem Magenkrebs</w:t>
      </w:r>
    </w:p>
    <w:p>
      <w:r>
        <w:rPr>
          <w:i/>
          <w:color w:val="666666"/>
          <w:sz w:val="18"/>
        </w:rPr>
        <w:t>Shitara K et al.  ·  ESMO Open  ·  16.09.2026  ·  PMID 42748508</w:t>
      </w:r>
    </w:p>
    <w:p>
      <w:r>
        <w:t>Netzwerk-Metaanalyse vergleicht Zolbetuximab plus Chemotherapie mit ICI-basierter Therapie nach PD-L1-CPS-Subgruppen bei fortgeschrittenem Magen-/gastro-ösophagealem Adenokarzinom in ersten Therapielinie.</w:t>
      </w:r>
    </w:p>
    <w:p>
      <w:r>
        <w:rPr>
          <w:b/>
        </w:rPr>
        <w:t xml:space="preserve">Ergebnis: </w:t>
      </w:r>
      <w:r>
        <w:t>Bei PD-L1 CPS ≥1 bis &lt;10 ähnliche oder numerisch günstigere Effekte für Zolbetuximab auf Overall Survival und Progression-Free Survival versus ICIs. Bei CPS ≥10 numerisch vorteilhaft für ICIs, aber mit optimalisierter Zolbetuximab-Exposition vergleichbar.</w:t>
      </w:r>
    </w:p>
    <w:p>
      <w:r>
        <w:rPr>
          <w:b/>
          <w:sz w:val="19"/>
        </w:rPr>
        <w:t xml:space="preserve">Übertragbarkeit: </w:t>
      </w:r>
      <w:r>
        <w:rPr>
          <w:sz w:val="19"/>
        </w:rPr>
        <w:t>Indirekte Vergleiche; biomarker-informierter Ansatz unterstützt, Bestätigung durch prospektive Studien erforderlich.</w:t>
      </w:r>
    </w:p>
    <w:p>
      <w:r>
        <w:rPr>
          <w:color w:val="5A7D3A"/>
          <w:sz w:val="18"/>
        </w:rPr>
        <w:t>https://pubmed.ncbi.nlm.nih.gov/42748508/</w:t>
      </w:r>
    </w:p>
    <w:p>
      <w:pPr>
        <w:pStyle w:val="Heading2"/>
      </w:pPr>
      <w:r>
        <w:t>Achtsamkeit und Tai Chi verbessern Schlaf, Fatigue und Schmerz nach Krebsbehandlung</w:t>
      </w:r>
    </w:p>
    <w:p>
      <w:r>
        <w:rPr>
          <w:i/>
          <w:color w:val="666666"/>
          <w:sz w:val="18"/>
        </w:rPr>
        <w:t>Ma Y et al.  ·  J Clin Oncol  ·  16.09.2026  ·  PMID 42748380</w:t>
      </w:r>
    </w:p>
    <w:p>
      <w:r>
        <w:t>Teilweise randomisierte Patient-Choice-Studie (Mindfulness and Tai Chi for Cancer Health, MATCH) mit 587 Krebsüberlebenden (Durchschnittsalter 60,7 Jahre) zur Wirkung von Achtsamkeitsbasierter Krebsgenesungsgruppe (MBCR) oder Tai Chi/Qigong (TCQ) versus Warteliste auf Schlaf, Fatigue und Schmerz.</w:t>
      </w:r>
    </w:p>
    <w:p>
      <w:r>
        <w:rPr>
          <w:b/>
        </w:rPr>
        <w:t xml:space="preserve">Ergebnis: </w:t>
      </w:r>
      <w:r>
        <w:t>TCQ vs Warteliste: Schlafqualität 1,9 Punkte Verbesserung (p=0,004). MBCR und TCQ vs Warteliste: Fatigue jeweils 3,66 und 3,42 Punkte besser (MBCR p=0,036, TCQ p=0,043). Schmerzbeeinträchtigung &gt;1 Punkt Verbesserung (MBCR p=0,029, TCQ p=0,002). MBCR und TCQ unterschieden sich nicht.</w:t>
      </w:r>
    </w:p>
    <w:p>
      <w:r>
        <w:rPr>
          <w:b/>
          <w:sz w:val="19"/>
        </w:rPr>
        <w:t xml:space="preserve">Übertragbarkeit: </w:t>
      </w:r>
      <w:r>
        <w:rPr>
          <w:sz w:val="19"/>
        </w:rPr>
        <w:t>Kanadisch-amerikanische Studie; psychosoziale Nachsorge übertragbar auf deutsche Zentren.</w:t>
      </w:r>
    </w:p>
    <w:p>
      <w:r>
        <w:rPr>
          <w:color w:val="5A7D3A"/>
          <w:sz w:val="18"/>
        </w:rPr>
        <w:t>https://pubmed.ncbi.nlm.nih.gov/42748380/</w:t>
      </w:r>
    </w:p>
    <w:p>
      <w:pPr>
        <w:pStyle w:val="Heading2"/>
      </w:pPr>
      <w:r>
        <w:t>Wachsendes Krebsaufkommen in Afrika 2023: Kinder, Jugendliche, junge Erwachsene stark betroffen</w:t>
      </w:r>
    </w:p>
    <w:p>
      <w:r>
        <w:rPr>
          <w:i/>
          <w:color w:val="666666"/>
          <w:sz w:val="18"/>
        </w:rPr>
        <w:t>GBD 2023 Africa Cancer Risk Factors Collaborators  ·  Lancet Oncol  ·  15.09.2026  ·  PMID 42743938</w:t>
      </w:r>
    </w:p>
    <w:p>
      <w:r>
        <w:t>Global Burden of Disease Study 2023 zu Krebsinzidenz, -mortalität und Behinderungsbereinigten Lebensjahren (DALYs) in 54 afrikanischen Ländern, 1990-2023; Analyse von 48 Krebsentitäten und 88 Risikofaktoren.</w:t>
      </w:r>
    </w:p>
    <w:p>
      <w:r>
        <w:rPr>
          <w:b/>
        </w:rPr>
        <w:t xml:space="preserve">Ergebnis: </w:t>
      </w:r>
      <w:r>
        <w:t>2023: 1,54 Mio. neue Fälle (95%-UI 1,37-1,75), 923 000 Todesfälle (824 000-1 020 000), 33,9 Mio. DALYs in Afrika. Kinder 0-19 Jahre: 104 000 Fälle (27,7% global), 38,0% globaler Todesfälle. 31,6% DALYs attributiv modifiable Risikofaktoren.</w:t>
      </w:r>
    </w:p>
    <w:p>
      <w:r>
        <w:rPr>
          <w:b/>
          <w:sz w:val="19"/>
        </w:rPr>
        <w:t xml:space="preserve">Übertragbarkeit: </w:t>
      </w:r>
      <w:r>
        <w:rPr>
          <w:sz w:val="19"/>
        </w:rPr>
        <w:t>Bevölkerungsdaten aus 54 Ländern, primär für Gesundheitspolitik und Ressourcenplanung in Afrika relevant.</w:t>
      </w:r>
    </w:p>
    <w:p>
      <w:r>
        <w:rPr>
          <w:color w:val="5A7D3A"/>
          <w:sz w:val="18"/>
        </w:rPr>
        <w:t>https://pubmed.ncbi.nlm.nih.gov/42743938/</w:t>
      </w:r>
    </w:p>
    <w:p>
      <w:pPr>
        <w:pStyle w:val="Heading2"/>
      </w:pPr>
      <w:r>
        <w:t>Perioperatives Durvalumab plus FLOT verlängert Gesamtüberleben bei resektablem Magenkrebs</w:t>
      </w:r>
    </w:p>
    <w:p>
      <w:r>
        <w:rPr>
          <w:i/>
          <w:color w:val="666666"/>
          <w:sz w:val="18"/>
        </w:rPr>
        <w:t>Janjigian YY et al.  ·  Lancet  ·  19.09.2026  ·  PMID 42716074</w:t>
      </w:r>
    </w:p>
    <w:p>
      <w:r>
        <w:t>Randomisierte Phase-3-Studie zur Wirkung von Durvalumab (Immune Checkpoint Inhibitor) plus perioperativer Chemotherapie (FLOT) versus Placebo plus FLOT bei 948 Patienten mit resektablem Magenkarzinom (Stadium II-IVa).</w:t>
      </w:r>
    </w:p>
    <w:p>
      <w:r>
        <w:rPr>
          <w:b/>
        </w:rPr>
        <w:t xml:space="preserve">Ergebnis: </w:t>
      </w:r>
      <w:r>
        <w:t>Gesamtüberleben (Overall Survival) signifikant verbessert mit Durvalumab: Hazard Ratio 0,78 (95%-KI 0,63-0,96; p=0,021). Die Therapie ist neue Standardoption für resektables Magen- und gastro-ösophageales Adenokarzinom.</w:t>
      </w:r>
    </w:p>
    <w:p>
      <w:r>
        <w:rPr>
          <w:b/>
          <w:sz w:val="19"/>
        </w:rPr>
        <w:t xml:space="preserve">Übertragbarkeit: </w:t>
      </w:r>
      <w:r>
        <w:rPr>
          <w:sz w:val="19"/>
        </w:rPr>
        <w:t>Globale Studie in 147 Zentren, vergleichbare Studiendesign wie in deutschem System relevant.</w:t>
      </w:r>
    </w:p>
    <w:p>
      <w:r>
        <w:rPr>
          <w:color w:val="5A7D3A"/>
          <w:sz w:val="18"/>
        </w:rPr>
        <w:t>https://pubmed.ncbi.nlm.nih.gov/42716074/</w:t>
      </w:r>
    </w:p>
    <w:p>
      <w:pPr>
        <w:pStyle w:val="Heading2"/>
      </w:pPr>
      <w:r>
        <w:t>Zehnjahresüberleben nach Brustkrebs nach Stadium, molekularem Subtyp und Grad kombiniert</w:t>
      </w:r>
    </w:p>
    <w:p>
      <w:r>
        <w:rPr>
          <w:i/>
          <w:color w:val="666666"/>
          <w:sz w:val="18"/>
        </w:rPr>
        <w:t>Giudici F et al.  ·  Oncologist  ·  09.09.2026  ·  PMID 42640557</w:t>
      </w:r>
    </w:p>
    <w:p>
      <w:r>
        <w:t>Populationsbasierte Kohortenstudie aus der Friuli-Venezia-Giulia-Krebsregisters (Nordostitalien) mit 10 467 Frauen &lt;75 Jahre, diagnostiziert 2004-2014; Verfolgung bis 2023.</w:t>
      </w:r>
    </w:p>
    <w:p>
      <w:r>
        <w:rPr>
          <w:b/>
        </w:rPr>
        <w:t xml:space="preserve">Ergebnis: </w:t>
      </w:r>
      <w:r>
        <w:t>Höchstes Gesamtüberleben (10-Jahres-Nettoüberleben) bei Stadium I HR+/HER2-: 98,8%. Tiefste bei Stadium III Triple-Negativ: 35,1%. Stadium IV Triple-Negativ: 6,7% vs HR-/HER2+: 18,9%. Vergleich 2004-2009 vs 2010-2014: Verbesserung bei Stadium III HR-/HER2+ von 48,6% auf 87,9% (+39 Prozentpunkte), Stadium III Triple-Negativ 28,8% auf 42,3%.</w:t>
      </w:r>
    </w:p>
    <w:p>
      <w:r>
        <w:rPr>
          <w:b/>
          <w:sz w:val="19"/>
        </w:rPr>
        <w:t xml:space="preserve">Übertragbarkeit: </w:t>
      </w:r>
      <w:r>
        <w:rPr>
          <w:sz w:val="19"/>
        </w:rPr>
        <w:t>Italienisches (europäisches) Krebsregister, vergleichbar mit deutschem System und Dokumentation.</w:t>
      </w:r>
    </w:p>
    <w:p>
      <w:r>
        <w:rPr>
          <w:color w:val="5A7D3A"/>
          <w:sz w:val="18"/>
        </w:rPr>
        <w:t>https://pubmed.ncbi.nlm.nih.gov/42640557/</w:t>
      </w:r>
    </w:p>
    <w:p>
      <w:pPr>
        <w:pStyle w:val="Heading1"/>
      </w:pPr>
      <w:r>
        <w:t>Aufgenommen am 17.09.2026</w:t>
      </w:r>
    </w:p>
    <w:p>
      <w:pPr>
        <w:pStyle w:val="Heading2"/>
      </w:pPr>
      <w:r>
        <w:t>eHealth-Intervention (CUMACA-M) stabilisiert Lebensqualität von Brustkrebsüberlebenden über 9 Monate</w:t>
      </w:r>
    </w:p>
    <w:p>
      <w:r>
        <w:rPr>
          <w:i/>
          <w:color w:val="666666"/>
          <w:sz w:val="18"/>
        </w:rPr>
        <w:t>J Natl Cancer Inst  ·  2026  ·  PMID djag328</w:t>
      </w:r>
    </w:p>
    <w:p>
      <w:r>
        <w:t>Spanische randomisierte Kontrollstudie mit 201 krankheitsfreien Brustkrebsüberlebenden (≥5 Jahre nach Diagnose), 9-Monate-eHealth-Intervention vs. Standardcare.</w:t>
      </w:r>
    </w:p>
    <w:p>
      <w:r>
        <w:rPr>
          <w:b/>
        </w:rPr>
        <w:t xml:space="preserve">Ergebnis: </w:t>
      </w:r>
      <w:r>
        <w:t>Gesamtlebensqualität stabil in Interventionsgruppe (5,70→5,69), Rückgang in Kontrolle (5,83→5,57, Δ=-0,26), Differenz 0,24 Punkte (95% CI 0,03-0,44), p=0,024. Psychisches Wohlbefinden Cohen d=0,40, physisches d=0,28.</w:t>
      </w:r>
    </w:p>
    <w:p>
      <w:r>
        <w:rPr>
          <w:b/>
          <w:sz w:val="19"/>
        </w:rPr>
        <w:t xml:space="preserve">Übertragbarkeit: </w:t>
      </w:r>
      <w:r>
        <w:rPr>
          <w:sz w:val="19"/>
        </w:rPr>
        <w:t>Europäisches System (Spanien/öffentliche Versicherung), digitale Nachsorgeintervention für Flächeimplementierung geeignet.</w:t>
      </w:r>
    </w:p>
    <w:p>
      <w:r>
        <w:rPr>
          <w:color w:val="5A7D3A"/>
          <w:sz w:val="18"/>
        </w:rPr>
        <w:t>https://pubmed.ncbi.nlm.nih.gov/djag328/</w:t>
      </w:r>
    </w:p>
    <w:p>
      <w:pPr>
        <w:pStyle w:val="Heading2"/>
      </w:pPr>
      <w:r>
        <w:t>HRS-4642+Adebrelimab bei KRAS-G12D-Pankreas-Ca: 43% Ansprechrate ohne Chemotherapie</w:t>
      </w:r>
    </w:p>
    <w:p>
      <w:r>
        <w:rPr>
          <w:i/>
          <w:color w:val="666666"/>
          <w:sz w:val="18"/>
        </w:rPr>
        <w:t>Shi S et al.  ·  Cancer Cell  ·  16.09.2026  ·  PMID 42748921</w:t>
      </w:r>
    </w:p>
    <w:p>
      <w:r>
        <w:t>Phase-1/2-Studie mit 48 Patienten (davon 37 in der RP2D-Kohorte) mit metastasiertem KRAS-G12D-mutiertem Pankreaskarzinom, chemofrei mit KRAS-inhibitor+PD-L1-Blocker behandelt.</w:t>
      </w:r>
    </w:p>
    <w:p>
      <w:r>
        <w:rPr>
          <w:b/>
        </w:rPr>
        <w:t xml:space="preserve">Ergebnis: </w:t>
      </w:r>
      <w:r>
        <w:t>Bestätigte ORR 43,2% (95% CI 27,1-60,5), Krankheitskontrollrate 81,1%, mediane Progressionsfreihheit 5,7 Monate, medianes Gesamtüberleben 11,5 Monate. Häufigste Nebenwirkungen: Hypercholesterinämie und Anämie je 50%.</w:t>
      </w:r>
    </w:p>
    <w:p>
      <w:r>
        <w:rPr>
          <w:b/>
          <w:sz w:val="19"/>
        </w:rPr>
        <w:t xml:space="preserve">Übertragbarkeit: </w:t>
      </w:r>
      <w:r>
        <w:rPr>
          <w:sz w:val="19"/>
        </w:rPr>
        <w:t>China-Studie, KRAS-Inhibitor nicht europäisch zugelassen, Sicherheitsdaten übertragbar.</w:t>
      </w:r>
    </w:p>
    <w:p>
      <w:r>
        <w:rPr>
          <w:color w:val="5A7D3A"/>
          <w:sz w:val="18"/>
        </w:rPr>
        <w:t>https://pubmed.ncbi.nlm.nih.gov/42748921/</w:t>
      </w:r>
    </w:p>
    <w:p>
      <w:pPr>
        <w:pStyle w:val="Heading2"/>
      </w:pPr>
      <w:r>
        <w:t>Triplet-Chemotherapie bei fortgeschrittenem Pankreas-Ca: 63% Ansprechrate, 60% Konversion</w:t>
      </w:r>
    </w:p>
    <w:p>
      <w:r>
        <w:rPr>
          <w:i/>
          <w:color w:val="666666"/>
          <w:sz w:val="18"/>
        </w:rPr>
        <w:t>Nagatani Y et al.  ·  Eur J Cancer  ·  10.09.2026  ·  PMID 42748587</w:t>
      </w:r>
    </w:p>
    <w:p>
      <w:r>
        <w:t>Japanische Phase-II-Multicenterstudie mit 30 Patienten, gesamte Chemotherapie (Gemcitabin, nab-Paclitaxel) mit oralem S-1 kombiniert.</w:t>
      </w:r>
    </w:p>
    <w:p>
      <w:r>
        <w:rPr>
          <w:b/>
        </w:rPr>
        <w:t xml:space="preserve">Ergebnis: </w:t>
      </w:r>
      <w:r>
        <w:t>ORR 63,3% (primärer Endpunkt erreicht), Krankheitskontrollrate 86,7%, medianes progressionsfreies Überleben 9,0 Monate, medianes Gesamtüberleben 15,0 Monate. 60% der lokalfortgeschrittenen Patienten zur Resektabilität konvertiert.</w:t>
      </w:r>
    </w:p>
    <w:p>
      <w:r>
        <w:rPr>
          <w:b/>
          <w:sz w:val="19"/>
        </w:rPr>
        <w:t xml:space="preserve">Übertragbarkeit: </w:t>
      </w:r>
      <w:r>
        <w:rPr>
          <w:sz w:val="19"/>
        </w:rPr>
        <w:t>Japanische Daten, S-1 in Deutschland verfügbar, Triplet potenziell praxisrelevant.</w:t>
      </w:r>
    </w:p>
    <w:p>
      <w:r>
        <w:rPr>
          <w:color w:val="5A7D3A"/>
          <w:sz w:val="18"/>
        </w:rPr>
        <w:t>https://pubmed.ncbi.nlm.nih.gov/42748587/</w:t>
      </w:r>
    </w:p>
    <w:p>
      <w:pPr>
        <w:pStyle w:val="Heading2"/>
      </w:pPr>
      <w:r>
        <w:t>Pembrolizumab bei Magenkarzinom: Überlebensvorteil 12,9 vs. 11,5 Monate bestätigt</w:t>
      </w:r>
    </w:p>
    <w:p>
      <w:r>
        <w:rPr>
          <w:i/>
          <w:color w:val="666666"/>
          <w:sz w:val="18"/>
        </w:rPr>
        <w:t>Rha SY et al.  ·  ESMO Open  ·  16.09.2026  ·  PMID 42748509</w:t>
      </w:r>
    </w:p>
    <w:p>
      <w:r>
        <w:t>Randomisierte Phase-III-Studie (KEYNOTE-859) mit 1.579 Patienten mit HER2-negativem lokal fortgeschrittenem/metastasiertem Magen-GÖJ-Adenokarzinom; 4,5-Jahre-Follow-up.</w:t>
      </w:r>
    </w:p>
    <w:p>
      <w:r>
        <w:rPr>
          <w:b/>
        </w:rPr>
        <w:t xml:space="preserve">Ergebnis: </w:t>
      </w:r>
      <w:r>
        <w:t>Median Overall Survival 12,9 Monate (Pembrolizumab+Chemotherapie) vs. 11,5 Monate (Placebo+Chemotherapie), Hazard Ratio 0,78 (95% CI 0,70-0,86). Grade-3/4-Nebenwirkungen 58,3% vs. 49,3%.</w:t>
      </w:r>
    </w:p>
    <w:p>
      <w:r>
        <w:rPr>
          <w:b/>
          <w:sz w:val="19"/>
        </w:rPr>
        <w:t xml:space="preserve">Übertragbarkeit: </w:t>
      </w:r>
      <w:r>
        <w:rPr>
          <w:sz w:val="19"/>
        </w:rPr>
        <w:t>Globale Studie, europäische und asiatische Zentren, vergleichbare Versorgung.</w:t>
      </w:r>
    </w:p>
    <w:p>
      <w:r>
        <w:rPr>
          <w:color w:val="5A7D3A"/>
          <w:sz w:val="18"/>
        </w:rPr>
        <w:t>https://pubmed.ncbi.nlm.nih.gov/42748509/</w:t>
      </w:r>
    </w:p>
    <w:p>
      <w:pPr>
        <w:pStyle w:val="Heading2"/>
      </w:pPr>
      <w:r>
        <w:t>Blinatumomab ersetzt Chemotherapie in hochrisiko-ALL: 83% ereignisfreies Überleben</w:t>
      </w:r>
    </w:p>
    <w:p>
      <w:r>
        <w:rPr>
          <w:i/>
          <w:color w:val="666666"/>
          <w:sz w:val="18"/>
        </w:rPr>
        <w:t>Schrappe M et al.  ·  N Engl J Med  ·  17.09.2026  ·  PMID 42748428</w:t>
      </w:r>
    </w:p>
    <w:p>
      <w:r>
        <w:t>Randomisierte europäisch-internationale Studie bei 358 Kindern mit neu diagnostizierter B-ALL, die statt zwei Chemotherapie-Zyklen zwei Blinatumomab-Zyklen erhielten.</w:t>
      </w:r>
    </w:p>
    <w:p>
      <w:r>
        <w:rPr>
          <w:b/>
        </w:rPr>
        <w:t xml:space="preserve">Ergebnis: </w:t>
      </w:r>
      <w:r>
        <w:t>4-Jahres-Ereignisfreiheit 83,0% (Blinatumomab) vs. 70,3% (Kontrolle), Hazard Ratio 0,51, p=0,0002. Behandlungsbedingte Infektionen: 23,9% vs. 69,4%, lebensbedrohliche Ereignisse 0,5% vs. 4,7%.</w:t>
      </w:r>
    </w:p>
    <w:p>
      <w:r>
        <w:rPr>
          <w:b/>
          <w:sz w:val="19"/>
        </w:rPr>
        <w:t xml:space="preserve">Übertragbarkeit: </w:t>
      </w:r>
      <w:r>
        <w:rPr>
          <w:sz w:val="19"/>
        </w:rPr>
        <w:t>Deutsches/österreichisches Zentrumsprotokoll (BFM-ALL 2017), direkte Übertragung möglich.</w:t>
      </w:r>
    </w:p>
    <w:p>
      <w:r>
        <w:rPr>
          <w:color w:val="5A7D3A"/>
          <w:sz w:val="18"/>
        </w:rPr>
        <w:t>https://pubmed.ncbi.nlm.nih.gov/42748428/</w:t>
      </w:r>
    </w:p>
    <w:p>
      <w:pPr>
        <w:pStyle w:val="Heading2"/>
      </w:pPr>
      <w:r>
        <w:t>Fünfjährliche statt dreijährliche Koloskopie nach Adenomektomie: Nichtunterlegenheit bestätigt</w:t>
      </w:r>
    </w:p>
    <w:p>
      <w:r>
        <w:rPr>
          <w:i/>
          <w:color w:val="666666"/>
          <w:sz w:val="18"/>
        </w:rPr>
        <w:t>Jover R et al.  ·  N Engl J Med  ·  17.09.2026  ·  PMID 42748427</w:t>
      </w:r>
    </w:p>
    <w:p>
      <w:r>
        <w:t>Europäische Nichtunterlegenheitsstudie mit 10.799 Patienten nach Hochrisiko-Adenomektomie, randomisiert zu erste Surveillance nach 5 vs. 3 Jahren.</w:t>
      </w:r>
    </w:p>
    <w:p>
      <w:r>
        <w:rPr>
          <w:b/>
        </w:rPr>
        <w:t xml:space="preserve">Ergebnis: </w:t>
      </w:r>
      <w:r>
        <w:t>5-Jahres-Darmkrebsinzidenz 0,77% (5-jährig) vs. 0,82% (3-jährig), Nichtunterlegenheitsgrenze erreicht. Krebstodesfälle: 0,06% vs. 0,04%.</w:t>
      </w:r>
    </w:p>
    <w:p>
      <w:r>
        <w:rPr>
          <w:b/>
          <w:sz w:val="19"/>
        </w:rPr>
        <w:t xml:space="preserve">Übertragbarkeit: </w:t>
      </w:r>
      <w:r>
        <w:rPr>
          <w:sz w:val="19"/>
        </w:rPr>
        <w:t>Europäisches Studiendesign (Spanien, Norwegen, Polen, Dänemark), Nachsorgeleitlinien unmittelbar anwendbar.</w:t>
      </w:r>
    </w:p>
    <w:p>
      <w:r>
        <w:rPr>
          <w:color w:val="5A7D3A"/>
          <w:sz w:val="18"/>
        </w:rPr>
        <w:t>https://pubmed.ncbi.nlm.nih.gov/42748427/</w:t>
      </w:r>
    </w:p>
    <w:p>
      <w:pPr>
        <w:pStyle w:val="Heading1"/>
      </w:pPr>
      <w:r>
        <w:t>Aufgenommen am 16.09.2026</w:t>
      </w:r>
    </w:p>
    <w:p>
      <w:pPr>
        <w:pStyle w:val="Heading2"/>
      </w:pPr>
      <w:r>
        <w:t>Waldbrand-Feinstaub verstärkt Sterblichkeit von Lungenkrebspatienten um 78 % pro μg/m³</w:t>
      </w:r>
    </w:p>
    <w:p>
      <w:r>
        <w:rPr>
          <w:i/>
          <w:color w:val="666666"/>
          <w:sz w:val="18"/>
        </w:rPr>
        <w:t>Zhang M et al.  ·  Lancet Oncol  ·  15.09.2026  ·  PMID 42743939</w:t>
      </w:r>
    </w:p>
    <w:p>
      <w:r>
        <w:t>Retrospektive Kohortenstudie mit 414.016 älteren Lungenkrebspatienten aus SEER-Medicare (2006–2019) untersuchte die Auswirkung langfristiger Exposition gegenüber Waldbrand-assoziiertem PM2,5 vs. Nicht-Waldbrand-PM2,5 auf Overall Survival.</w:t>
      </w:r>
    </w:p>
    <w:p>
      <w:r>
        <w:rPr>
          <w:b/>
        </w:rPr>
        <w:t xml:space="preserve">Ergebnis: </w:t>
      </w:r>
      <w:r>
        <w:t>Jeder 1-μg/m³-Anstieg Waldbrand-PM2,5 war mit HR 1,0782 (95%-KI 1,0641–1,0924; p&lt;0,0001) für erhöhte Mortalität assoziiert, nicht-Waldbrand-PM2,5 mit HR 1,0171. Insgesamt 696 (95%-KI 576–814) durchschnittliche jährliche überschüssige Todesfälle waren der Waldbrand-Exposition zuzuordnen – pro Einheit toxischer als reguläre Luftverschmutzung.</w:t>
      </w:r>
    </w:p>
    <w:p>
      <w:r>
        <w:rPr>
          <w:b/>
          <w:sz w:val="19"/>
        </w:rPr>
        <w:t xml:space="preserve">Übertragbarkeit: </w:t>
      </w:r>
      <w:r>
        <w:rPr>
          <w:sz w:val="19"/>
        </w:rPr>
        <w:t>USA/SEER-Daten: Nur Sicherheitsbefund übertragbar, Feinstaub-Exposition in Deutschland gering</w:t>
      </w:r>
    </w:p>
    <w:p>
      <w:r>
        <w:rPr>
          <w:color w:val="5A7D3A"/>
          <w:sz w:val="18"/>
        </w:rPr>
        <w:t>https://pubmed.ncbi.nlm.nih.gov/42743939/</w:t>
      </w:r>
    </w:p>
    <w:p>
      <w:pPr>
        <w:pStyle w:val="Heading2"/>
      </w:pPr>
      <w:r>
        <w:t>Nach Neoadjuvant-Therapie mit Triplet: Adjuvante Chemotherapie hilft nur bei ypN+/CRT, nicht bei TNT</w:t>
      </w:r>
    </w:p>
    <w:p>
      <w:r>
        <w:rPr>
          <w:i/>
          <w:color w:val="666666"/>
          <w:sz w:val="18"/>
        </w:rPr>
        <w:t>Denost Q et al.  ·  Eur J Cancer  ·  11.09.2026  ·  PMID 42743888</w:t>
      </w:r>
    </w:p>
    <w:p>
      <w:r>
        <w:t>Post-hoc-Analyse von zwei französischen randomisierten Multizenterstudie (GRECCAR4, PRODIGE23) mit 489 Patienten mit lokal fortgeschrittenem Rektumkarzinom, die den Nutzen adjuvanter Chemotherapie (AC) nach TNT mit FOLFIRINOX vs. CRT bewertete.</w:t>
      </w:r>
    </w:p>
    <w:p>
      <w:r>
        <w:rPr>
          <w:b/>
        </w:rPr>
        <w:t xml:space="preserve">Ergebnis: </w:t>
      </w:r>
      <w:r>
        <w:t>Nach Neoadjuvant-TNT zeigte AC keinen Vorteil in 3-Jahre-DFS für ypN+ (TNT-Arm; p=0,33) oder ypN0/cN+ (p=0,45). Nach CRT profitierten nur ypN+-Patienten: 3-Jahre-DFS verbessert nach AC (TNT: keine; CRT: signifikant; p&lt;0,001), 3-Jahre-OS und -DMFS ebenfalls nur nach CRT signifikant. Diese Daten unterstützen Therapie-Deeskalation in der TNT-Ära.</w:t>
      </w:r>
    </w:p>
    <w:p>
      <w:r>
        <w:rPr>
          <w:b/>
          <w:sz w:val="19"/>
        </w:rPr>
        <w:t xml:space="preserve">Übertragbarkeit: </w:t>
      </w:r>
      <w:r>
        <w:rPr>
          <w:sz w:val="19"/>
        </w:rPr>
        <w:t>Deutschland/Frankreich: Europäische High-Volume-Zentren, deutsches Versicherungssystem vergleichbar</w:t>
      </w:r>
    </w:p>
    <w:p>
      <w:r>
        <w:rPr>
          <w:color w:val="5A7D3A"/>
          <w:sz w:val="18"/>
        </w:rPr>
        <w:t>https://pubmed.ncbi.nlm.nih.gov/42743888/</w:t>
      </w:r>
    </w:p>
    <w:p>
      <w:pPr>
        <w:pStyle w:val="Heading2"/>
      </w:pPr>
      <w:r>
        <w:t>Zirkufierende bakterielle DNA prognostiziert Therapieerfolg bei fortgeschrittenem Bauchspeicheldrüsenkrebs</w:t>
      </w:r>
    </w:p>
    <w:p>
      <w:r>
        <w:rPr>
          <w:i/>
          <w:color w:val="666666"/>
          <w:sz w:val="18"/>
        </w:rPr>
        <w:t>Surendran SA et al.  ·  Eur J Cancer  ·  10.09.2026  ·  PMID 42743886</w:t>
      </w:r>
    </w:p>
    <w:p>
      <w:r>
        <w:t>Studie von 13 + 47 Patienten mit fortgeschrittenem Pankreaskarzinom untersuchte, ob Veränderungen der zirkulierenden freien bakteriellen DNA (cfbDNA) im Serum unter Chemotherapie (FFX oder GnP) den Behandlungserfolg vorhersagen.</w:t>
      </w:r>
    </w:p>
    <w:p>
      <w:r>
        <w:rPr>
          <w:b/>
        </w:rPr>
        <w:t xml:space="preserve">Ergebnis: </w:t>
      </w:r>
      <w:r>
        <w:t>Patienten mit Abfall der cfbDNA unter FFX erreichten 14,3 vs. 2,9 Monate PFS (p&lt;0,001) und 23,2 vs. 8,4 Monate OS (p=0,006). Ein konstanter oder erhöhter cfbDNA-Wert war mit schlechterem OS assoziiert (HR 11,75; 95%-KI 1,87–73,85; p=0,009). Diese Marker-dynamik war aber regimen-abhängig: Bei GnP zeigte der cfbDNA-Rückgang gegenteilige Effekte.</w:t>
      </w:r>
    </w:p>
    <w:p>
      <w:r>
        <w:rPr>
          <w:b/>
          <w:sz w:val="19"/>
        </w:rPr>
        <w:t xml:space="preserve">Übertragbarkeit: </w:t>
      </w:r>
      <w:r>
        <w:rPr>
          <w:sz w:val="19"/>
        </w:rPr>
        <w:t>Deutschland/Österreich: Europäische Krankenhauskohorten mit vergleichbarer Dokumentation</w:t>
      </w:r>
    </w:p>
    <w:p>
      <w:r>
        <w:rPr>
          <w:color w:val="5A7D3A"/>
          <w:sz w:val="18"/>
        </w:rPr>
        <w:t>https://pubmed.ncbi.nlm.nih.gov/42743886/</w:t>
      </w:r>
    </w:p>
    <w:p>
      <w:pPr>
        <w:pStyle w:val="Heading2"/>
      </w:pPr>
      <w:r>
        <w:t>Triplet-Chemotherapie plus Panitumumab in RAS wild-typ mKRK erhält Lebensqualität</w:t>
      </w:r>
    </w:p>
    <w:p>
      <w:r>
        <w:rPr>
          <w:i/>
          <w:color w:val="666666"/>
          <w:sz w:val="18"/>
        </w:rPr>
        <w:t>Klingler TM et al.  ·  Eur J Cancer  ·  11.09.2026  ·  PMID 42743885</w:t>
      </w:r>
    </w:p>
    <w:p>
      <w:r>
        <w:t>Sekundäranalyse der deutschen Phase-II-Studie VOLFI (AIO-KRK 0109) mit 105 randomisierten Patienten, die den Effekt von mFOLFOXIRI + Panitumumab vs. FOLFOXIRI auf Lebensqualität (EORTC QLQ-C30) untersuchte.</w:t>
      </w:r>
    </w:p>
    <w:p>
      <w:r>
        <w:rPr>
          <w:b/>
        </w:rPr>
        <w:t xml:space="preserve">Ergebnis: </w:t>
      </w:r>
      <w:r>
        <w:t>77 Patienten (51 vs. 26) führten ≥1 Lebensqualitäts-Fragebogen aus. Nach 12 Wochen keine statistisch signifikanten Unterschiede in Gesamt-HRQoL oder spezifischen Dimensionen. Patienten mit mFOLFOXIRI + Panitumumab mit Hautotoxizität zeigten trotz Toxizität keine assoziierte Lebensqualitätsverschlechterung. mFOLFOXIRI + Panitumumab war nicht mit schlechterer HRQoL assoziiert.</w:t>
      </w:r>
    </w:p>
    <w:p>
      <w:r>
        <w:rPr>
          <w:b/>
          <w:sz w:val="19"/>
        </w:rPr>
        <w:t xml:space="preserve">Übertragbarkeit: </w:t>
      </w:r>
      <w:r>
        <w:rPr>
          <w:sz w:val="19"/>
        </w:rPr>
        <w:t>Deutschland: Alle Zentren Charité und LMU München – direkt übertragbar</w:t>
      </w:r>
    </w:p>
    <w:p>
      <w:r>
        <w:rPr>
          <w:color w:val="5A7D3A"/>
          <w:sz w:val="18"/>
        </w:rPr>
        <w:t>https://pubmed.ncbi.nlm.nih.gov/42743885/</w:t>
      </w:r>
    </w:p>
    <w:p>
      <w:pPr>
        <w:pStyle w:val="Heading2"/>
      </w:pPr>
      <w:r>
        <w:t>Ältere Brustkrebs-Patienten haben häufiger PIK3CA-Mutationen und höhere Tumorlast</w:t>
      </w:r>
    </w:p>
    <w:p>
      <w:r>
        <w:rPr>
          <w:i/>
          <w:color w:val="666666"/>
          <w:sz w:val="18"/>
        </w:rPr>
        <w:t>Gupta H et al.  ·  ESMO Open  ·  14.09.2026  ·  PMID 42735455</w:t>
      </w:r>
    </w:p>
    <w:p>
      <w:r>
        <w:t>Studie von 2.379 Patienten mit metastasiertem Brustkrebs (853 jung, 1.311 mittleres Alter, 215 älter ≥70 Jahre) verglich Tumor-Genomlandschaft mittels Zielsequenzierung (OncoPanel) nach Altersgruppe.</w:t>
      </w:r>
    </w:p>
    <w:p>
      <w:r>
        <w:rPr>
          <w:b/>
        </w:rPr>
        <w:t xml:space="preserve">Ergebnis: </w:t>
      </w:r>
      <w:r>
        <w:t>Ältere Patienten zeigten höhere Häufigkeit von SNVs in PIK3CA (44%), TP53 (33%), CDH1 (22%). Nach Adjustierung war hohes Alter assoziiert mit mehr PIK3CA-SNVs (OR 1,21; 95%-KI 1,11–1,31; q&lt;0,001), CDH1-SNVs (OR 1,43; 95%-KI 1,21–1,68) und 26% mit ≥10 Mutationen/Mb (vs. 17% bei Jüngsten). Diese Unterschiede waren unabhängig von Tumorsubtyp.</w:t>
      </w:r>
    </w:p>
    <w:p>
      <w:r>
        <w:rPr>
          <w:b/>
          <w:sz w:val="19"/>
        </w:rPr>
        <w:t xml:space="preserve">Übertragbarkeit: </w:t>
      </w:r>
      <w:r>
        <w:rPr>
          <w:sz w:val="19"/>
        </w:rPr>
        <w:t>USA-Klinik: Vergleichbare Versicherungssysteme bei Umsetzung, genomische Testung in Deutschland ebenfalls Standard</w:t>
      </w:r>
    </w:p>
    <w:p>
      <w:r>
        <w:rPr>
          <w:color w:val="5A7D3A"/>
          <w:sz w:val="18"/>
        </w:rPr>
        <w:t>https://pubmed.ncbi.nlm.nih.gov/42735455/</w:t>
      </w:r>
    </w:p>
    <w:p>
      <w:pPr>
        <w:pStyle w:val="Heading2"/>
      </w:pPr>
      <w:r>
        <w:t>Immuntyp-Transition vorhersagt Checkpoint-Inhibitor-Anspruch besser als Ausgangszustand</w:t>
      </w:r>
    </w:p>
    <w:p>
      <w:r>
        <w:rPr>
          <w:i/>
          <w:color w:val="666666"/>
          <w:sz w:val="18"/>
        </w:rPr>
        <w:t>Lin Z et al.  ·  Cancer Cell  ·  14.09.2026  ·  PMID 42679812</w:t>
      </w:r>
    </w:p>
    <w:p>
      <w:r>
        <w:t>Longitudinale Single-Cell-RNA-Sequenzierung von 441 Proben aus 241 Patienten mit zehn Krebsentitäten untersuchte die Umgestaltung der Tumor-Immunmikroumgebung (TIME) unter Checkpoint-Inhibitor-Therapie und entwickelte eine prädiktive Signatur.</w:t>
      </w:r>
    </w:p>
    <w:p>
      <w:r>
        <w:rPr>
          <w:b/>
        </w:rPr>
        <w:t xml:space="preserve">Ergebnis: </w:t>
      </w:r>
      <w:r>
        <w:t>~40% der Tumore wechselten während Therapie zwischen TIME-Subtypen. Der Übergang (nicht der Ausgangszustand) war prognostischer: Günstige Übergänge zu entzündetem oder B-Zell-angereichertem Subtyp korrelierten mit verbessertem Ansprechen und Überleben. Eine 59-Gen-Signatur sagte Ansprechen und Überleben in 1.383 Baseline-Tumoren über 19 unabhängige Kohorten vorher (HR 2,15; KI-range über Publikationen relevant).</w:t>
      </w:r>
    </w:p>
    <w:p>
      <w:r>
        <w:rPr>
          <w:b/>
          <w:sz w:val="19"/>
        </w:rPr>
        <w:t xml:space="preserve">Übertragbarkeit: </w:t>
      </w:r>
      <w:r>
        <w:rPr>
          <w:sz w:val="19"/>
        </w:rPr>
        <w:t>International/Multi-Entity: Prinzipien auf deutsche Zentren mit Liquid Biopsy/Tumorboard anwendbar</w:t>
      </w:r>
    </w:p>
    <w:p>
      <w:r>
        <w:rPr>
          <w:color w:val="5A7D3A"/>
          <w:sz w:val="18"/>
        </w:rPr>
        <w:t>https://pubmed.ncbi.nlm.nih.gov/42679812/</w:t>
      </w:r>
    </w:p>
    <w:p>
      <w:pPr>
        <w:pStyle w:val="Heading1"/>
      </w:pPr>
      <w:r>
        <w:t>Aufgenommen am 15.09.2026</w:t>
      </w:r>
    </w:p>
    <w:p>
      <w:pPr>
        <w:pStyle w:val="Heading2"/>
      </w:pPr>
      <w:r>
        <w:t>HDR-Brachytherapie nach Strahlentherapie bei älteren Rektumkarzinom-Patienten: lokale Kontrolle bei 80 %</w:t>
      </w:r>
    </w:p>
    <w:p>
      <w:r>
        <w:rPr>
          <w:i/>
          <w:color w:val="666666"/>
          <w:sz w:val="18"/>
        </w:rPr>
        <w:t>Kristen A et al.  ·  Strahlenther Onkol  ·  14.09.2026  ·  PMID 42734824</w:t>
      </w:r>
    </w:p>
    <w:p>
      <w:r>
        <w:t>15 ältere/infirme Patienten mit Rektumkarzinom erhielten kombiniert externe Strahlentherapie (30-39 Gy/10-13 Fraktionen) und endorektale Hochdosis-Brachytherapie (12-24 Gy/2-3 Fraktionen); eine organerhaltende Methode für Operationsunfähige.</w:t>
      </w:r>
    </w:p>
    <w:p>
      <w:r>
        <w:rPr>
          <w:b/>
        </w:rPr>
        <w:t xml:space="preserve">Ergebnis: </w:t>
      </w:r>
      <w:r>
        <w:t>Nach 21 Monaten Median-Follow-up erreichten 12 von 15 Patienten (80 %) klinische komplette (n=6) oder nahezu komplette Remission (n=6); 4 Patienten (33 %) entwickelten später lokales Rezidiv, 4 (27 %) Fernmetastasen. Grad-3-Toxizität: 67 % Proktitis, 20 % schwere Rektalblutung (3 Patienten). Sicherheits- und Dosisoptimierungsfragen bleiben, besonders bei Antikoagulation.</w:t>
      </w:r>
    </w:p>
    <w:p>
      <w:r>
        <w:rPr>
          <w:b/>
          <w:sz w:val="19"/>
        </w:rPr>
        <w:t xml:space="preserve">Übertragbarkeit: </w:t>
      </w:r>
      <w:r>
        <w:rPr>
          <w:sz w:val="19"/>
        </w:rPr>
        <w:t>Deutschland, einzelzentrisch; Ansatz für zertifizierte Zentren mit Brachytherapie-Expertise geeignet</w:t>
      </w:r>
    </w:p>
    <w:p>
      <w:r>
        <w:rPr>
          <w:color w:val="5A7D3A"/>
          <w:sz w:val="18"/>
        </w:rPr>
        <w:t>https://pubmed.ncbi.nlm.nih.gov/42734824/</w:t>
      </w:r>
    </w:p>
    <w:p>
      <w:pPr>
        <w:pStyle w:val="Heading2"/>
      </w:pPr>
      <w:r>
        <w:t>Tambotatug Pelitecan (B7-H3-ADC) bei kleinzelligem Lungenkarzinom nach Platin: OS-Vorteil gegenüber Topotekan</w:t>
      </w:r>
    </w:p>
    <w:p>
      <w:r>
        <w:rPr>
          <w:i/>
          <w:color w:val="666666"/>
          <w:sz w:val="18"/>
        </w:rPr>
        <w:t>Zhao Y et al.  ·  N Engl J Med  ·  12.09.2026  ·  PMID 42734213</w:t>
      </w:r>
    </w:p>
    <w:p>
      <w:r>
        <w:t>Phase-III-TAISHAN-302, China: 451 Patienten mit rezidivierendem SCLC nach Platin-basierter Erstlinien-Therapie, randomisiert 1:1 zu Tambotatug Pelitecan (neuer B7-H3-zielgerichteter Antikörper-Wirkstoff-Konjugat) versus Topotekan; Interim-Analyse.</w:t>
      </w:r>
    </w:p>
    <w:p>
      <w:r>
        <w:rPr>
          <w:b/>
        </w:rPr>
        <w:t xml:space="preserve">Ergebnis: </w:t>
      </w:r>
      <w:r>
        <w:t>Median-OS: 13,3 Monate (Tam-Peli) vs. 9,4 Monate (Topotekan), HR 0,46 (95% KI 0,35–0,62, p&lt;0,001). Median-PFS: 7,4 vs. 2,8 Monate, HR 0,29 (p&lt;0,001). ORR: 59,1% vs. 9,7% (p&lt;0,001). Grad-≥3-AE: 55,4% vs. 77,9% (Tam-Peli günstiger). Diese Ergebnisse könnten neuen Standard für rezidiviertes SCLC begründen.</w:t>
      </w:r>
    </w:p>
    <w:p>
      <w:r>
        <w:rPr>
          <w:b/>
          <w:sz w:val="19"/>
        </w:rPr>
        <w:t xml:space="preserve">Übertragbarkeit: </w:t>
      </w:r>
      <w:r>
        <w:rPr>
          <w:sz w:val="19"/>
        </w:rPr>
        <w:t>China-Studie, globales Design; Zulassungsantrag ausstehend, deutsche Verfügbarkeit unklar – USA nur mit Vorbehalt übertragbar</w:t>
      </w:r>
    </w:p>
    <w:p>
      <w:r>
        <w:rPr>
          <w:color w:val="5A7D3A"/>
          <w:sz w:val="18"/>
        </w:rPr>
        <w:t>https://pubmed.ncbi.nlm.nih.gov/42734213/</w:t>
      </w:r>
    </w:p>
    <w:p>
      <w:pPr>
        <w:pStyle w:val="Heading2"/>
      </w:pPr>
      <w:r>
        <w:t>Tumoren unterdrücken T-Zell-Immunität durch Antioxidanzien – PRDX1 als therapeutisches Target</w:t>
      </w:r>
    </w:p>
    <w:p>
      <w:r>
        <w:rPr>
          <w:i/>
          <w:color w:val="666666"/>
          <w:sz w:val="18"/>
        </w:rPr>
        <w:t>Wesolowski AJ et al.  ·  Science  ·  03.09.2026  ·  PMID 42691162</w:t>
      </w:r>
    </w:p>
    <w:p>
      <w:r>
        <w:t>Grundlagenwerk zur Immunsuppression durch tumorales Peroxiredoxin-1 (PRDX1): Forschung zeigt, dass Tumoren Antioxidanzien in ihre Umgebung freisetzen und T-Zellen damit ihrer reaktiven Sauerstoffspezies berauben, was deren Signalübertragung blockiert.</w:t>
      </w:r>
    </w:p>
    <w:p>
      <w:r>
        <w:rPr>
          <w:b/>
        </w:rPr>
        <w:t xml:space="preserve">Ergebnis: </w:t>
      </w:r>
      <w:r>
        <w:t>PRDX1-Mangel in Tumoren verstärkte Antitumor-Immunität und verbesserte Immuntherapie-Antworten in Mausmodellen; Liquid Biopsy könnte PRDX1-Spiegel messen. Der Befund eröffnet neuen therapeutischen Ansatz: PRDX1-Inhibition könnte Immuntherapie-Resistenz überwinden.</w:t>
      </w:r>
    </w:p>
    <w:p>
      <w:r>
        <w:rPr>
          <w:b/>
          <w:sz w:val="19"/>
        </w:rPr>
        <w:t xml:space="preserve">Übertragbarkeit: </w:t>
      </w:r>
      <w:r>
        <w:rPr>
          <w:sz w:val="19"/>
        </w:rPr>
        <w:t>Präklinisch; klinischer Weg unklar, aber identifiziertes Targetprotein (PRDX1) ist actionable für Therapeutika-Entwicklung</w:t>
      </w:r>
    </w:p>
    <w:p>
      <w:r>
        <w:rPr>
          <w:color w:val="5A7D3A"/>
          <w:sz w:val="18"/>
        </w:rPr>
        <w:t>https://pubmed.ncbi.nlm.nih.gov/42691162/</w:t>
      </w:r>
    </w:p>
    <w:p>
      <w:pPr>
        <w:pStyle w:val="Heading2"/>
      </w:pPr>
      <w:r>
        <w:t>Real-World-Evidence zur Zulassung von Krebsmedikamenten: 18 Anträge mit Single-Arm-Trials und RWE, 2022–2025</w:t>
      </w:r>
    </w:p>
    <w:p>
      <w:r>
        <w:rPr>
          <w:i/>
          <w:color w:val="666666"/>
          <w:sz w:val="18"/>
        </w:rPr>
        <w:t>Su L et al.  ·  Oncologist  ·  06.08.2026  ·  PMID 42664160</w:t>
      </w:r>
    </w:p>
    <w:p>
      <w:r>
        <w:t>Analyse von 200 Onkologie-Zulassungen (FDA 134, EMA 66) 2022–2025: 18 Anträge (7 FDA, 11 EMA) kombiniert Single-Arm-Trials mit Real-World-Evidence; meist für Hämatologika (53 %), Hälfte auf elektronischen Krankenhauspflichten basiert.</w:t>
      </w:r>
    </w:p>
    <w:p>
      <w:r>
        <w:rPr>
          <w:b/>
        </w:rPr>
        <w:t xml:space="preserve">Ergebnis: </w:t>
      </w:r>
      <w:r>
        <w:t>RWE diente in 2 Fällen als "substantive evidence", ansonsten als kontextuell/supportiv. Häufige Mängel: kleine Fallzahlen, Population-Heterogenität, fehlende Kovariaten, non-kontempore Vergleiche, Post-hoc-Design. Regulatoren bestätigen methodologische Grenzen; Harmonisierung regulatorischer Guidance ist notwendig.</w:t>
      </w:r>
    </w:p>
    <w:p>
      <w:r>
        <w:rPr>
          <w:b/>
          <w:sz w:val="19"/>
        </w:rPr>
        <w:t xml:space="preserve">Übertragbarkeit: </w:t>
      </w:r>
      <w:r>
        <w:rPr>
          <w:sz w:val="19"/>
        </w:rPr>
        <w:t>USA-Zulassungssystem und EMA; Übertrag auf deutsches AMNOG-Verfahren begrenzt – AMNOG verlangt höhere RCT-Standard</w:t>
      </w:r>
    </w:p>
    <w:p>
      <w:r>
        <w:rPr>
          <w:color w:val="5A7D3A"/>
          <w:sz w:val="18"/>
        </w:rPr>
        <w:t>https://pubmed.ncbi.nlm.nih.gov/42664160/</w:t>
      </w:r>
    </w:p>
    <w:p>
      <w:pPr>
        <w:pStyle w:val="Heading2"/>
      </w:pPr>
      <w:r>
        <w:t>Dosiseskalation (80 Gy) bei Hochrisiko-Prostatakarzinom erhöht 10-Jahres-PFS deutlich</w:t>
      </w:r>
    </w:p>
    <w:p>
      <w:r>
        <w:rPr>
          <w:i/>
          <w:color w:val="666666"/>
          <w:sz w:val="18"/>
        </w:rPr>
        <w:t>Hennequin C et al.  ·  Lancet Oncol  ·  Sept. 2026  ·  PMID 42636837</w:t>
      </w:r>
    </w:p>
    <w:p>
      <w:r>
        <w:t>Französische Phase-III-Studie (GETUG-AFU-18) mit 505 Patienten mit hochrisiko Prostatakarzinom: Vergleich externe Strahlentherapie 80 Gy versus 70 Gy, kombiniert mit Langzeit-Androgenentzug, über 9,5 Jahre Median-Follow-up.</w:t>
      </w:r>
    </w:p>
    <w:p>
      <w:r>
        <w:rPr>
          <w:b/>
        </w:rPr>
        <w:t xml:space="preserve">Ergebnis: </w:t>
      </w:r>
      <w:r>
        <w:t>10-Jahres-PFS: 83,6 % (80-Gy-Arm) vs. 72,2 % (70-Gy-Arm), Hazard Ratio 0,56 (95% KI 0,40–0,78, p&lt;0,0001). 5-Jahres-PFS: 91,4 % vs. 88,1 %. Grad-3-Toxizität akut 24–25 %, spät 7–8 % in beiden Gruppen. Sexuelle und urogenitale Nebenwirkungen waren frequent, aber nicht unterschiedlich.</w:t>
      </w:r>
    </w:p>
    <w:p>
      <w:r>
        <w:rPr>
          <w:b/>
          <w:sz w:val="19"/>
        </w:rPr>
        <w:t xml:space="preserve">Übertragbarkeit: </w:t>
      </w:r>
      <w:r>
        <w:rPr>
          <w:sz w:val="19"/>
        </w:rPr>
        <w:t>Frankreich, vergleichbare Versicherungsstruktur; deutsche S3-Leitlinien zu Hochrisiko-Prostata-Strahlentherapie sollten Dosiseskalation prüfen</w:t>
      </w:r>
    </w:p>
    <w:p>
      <w:r>
        <w:rPr>
          <w:color w:val="5A7D3A"/>
          <w:sz w:val="18"/>
        </w:rPr>
        <w:t>https://pubmed.ncbi.nlm.nih.gov/42636837/</w:t>
      </w:r>
    </w:p>
    <w:p>
      <w:pPr>
        <w:pStyle w:val="Heading2"/>
      </w:pPr>
      <w:r>
        <w:t>Adjuvant Alectinib (600 mg b.i.d. × 24 Monate) bei ALK-positivem NSCLC nach Resektion: verträglicher, Lebensqualität erhalten</w:t>
      </w:r>
    </w:p>
    <w:p>
      <w:r>
        <w:rPr>
          <w:i/>
          <w:color w:val="666666"/>
          <w:sz w:val="18"/>
        </w:rPr>
        <w:t>Dziadziuszko R et al.  ·  Lancet Oncol  ·  Sept. 2026  ·  PMID 42636834</w:t>
      </w:r>
    </w:p>
    <w:p>
      <w:r>
        <w:t>Phase-III-ALINA-Studie, 257 Patienten mit reseziertem ALK+NSCLC (Stadium IB–IIIA): Vergleich Adjuvant-Alectinib versus Platinum-basierte Chemotherapie; Nebenwirkungen und Lebensqualität (SF-36v2) werden berichtet; Disease-Free-Survival bereits publiziert.</w:t>
      </w:r>
    </w:p>
    <w:p>
      <w:r>
        <w:rPr>
          <w:b/>
        </w:rPr>
        <w:t xml:space="preserve">Ergebnis: </w:t>
      </w:r>
      <w:r>
        <w:t>Schwergrad 3–4-AE mit Alectinib: 6% (CPK-Anstieg), vs. Chemotherapie 10% (Neutropenie). Therapie-Abbrüche: 5% vs. 13% (signifikant weniger mit Alectinib). SF-36v2-Domänen (Körperschmerz, Rollenfunktion, psychische Gesundheit, soziale Funktion, Vitalität) zeigten klinisch bedeutsame Verbesserung ab Woche 12; Scores blieben über 2 Jahre stabil bei Populationsnorm (50).</w:t>
      </w:r>
    </w:p>
    <w:p>
      <w:r>
        <w:rPr>
          <w:b/>
          <w:sz w:val="19"/>
        </w:rPr>
        <w:t xml:space="preserve">Übertragbarkeit: </w:t>
      </w:r>
      <w:r>
        <w:rPr>
          <w:sz w:val="19"/>
        </w:rPr>
        <w:t>International; Alectinib bereits in Deutschland zugelassen, Verträglichkeitsdaten unterstützen adjuvante Standardisierung</w:t>
      </w:r>
    </w:p>
    <w:p>
      <w:r>
        <w:rPr>
          <w:color w:val="5A7D3A"/>
          <w:sz w:val="18"/>
        </w:rPr>
        <w:t>https://pubmed.ncbi.nlm.nih.gov/42636834/</w:t>
      </w:r>
    </w:p>
    <w:p>
      <w:pPr>
        <w:pStyle w:val="Heading2"/>
      </w:pPr>
      <w:r>
        <w:t>Durvalumab+Tremelimumab+Lenvatinib+TACE versus TACE allein bei Hepatozellulärem Karzinom: PFS-Vorteil</w:t>
      </w:r>
    </w:p>
    <w:p>
      <w:r>
        <w:rPr>
          <w:i/>
          <w:color w:val="666666"/>
          <w:sz w:val="18"/>
        </w:rPr>
        <w:t>Kudo M et al.  ·  Lancet Oncol  ·  Sept. 2026  ·  PMID 42636832</w:t>
      </w:r>
    </w:p>
    <w:p>
      <w:r>
        <w:t>Phase-III-Studie EMERALD-3 mit 760 Patienten (embolisierbar, Child-Pugh A): Vergleich STRIDE (Durvalumab+Tremelimumab) mit oder ohne Lenvatinib, kombiniert mit transarterieller Chemoembolisation (TACE), versus TACE allein.</w:t>
      </w:r>
    </w:p>
    <w:p>
      <w:r>
        <w:rPr>
          <w:b/>
        </w:rPr>
        <w:t xml:space="preserve">Ergebnis: </w:t>
      </w:r>
      <w:r>
        <w:t>Median-PFS (STRIDE+Lenvatinib vs. TACE): 13,0 vs. 9,8 Monate, HR 0,70 (95% KI 0,57–0,86, p=0,0007). Median-OS: 39,5 vs. 34,7 Monate, HR 0,84 (p=0,18, nicht signifikant). Grad-3/4-AE: Hypertonie 12% (STRIDE+Lenvatinib), post-embolization-Syndrom 6% (STRIDE+TACE). 7 Treatment-Related Deaths (2%). STRIDE-Regimen als neuer Standard empfohlen.</w:t>
      </w:r>
    </w:p>
    <w:p>
      <w:r>
        <w:rPr>
          <w:b/>
          <w:sz w:val="19"/>
        </w:rPr>
        <w:t xml:space="preserve">Übertragbarkeit: </w:t>
      </w:r>
      <w:r>
        <w:rPr>
          <w:sz w:val="19"/>
        </w:rPr>
        <w:t>Global, inklusive europäischer Zentren; Zulassung in Genehmigungsverfahren, AMNOG-Bewertung ausstehend</w:t>
      </w:r>
    </w:p>
    <w:p>
      <w:r>
        <w:rPr>
          <w:color w:val="5A7D3A"/>
          <w:sz w:val="18"/>
        </w:rPr>
        <w:t>https://pubmed.ncbi.nlm.nih.gov/42636832/</w:t>
      </w:r>
    </w:p>
    <w:p>
      <w:pPr>
        <w:pStyle w:val="Heading1"/>
      </w:pPr>
      <w:r>
        <w:t>Aufgenommen am 14.09.2026</w:t>
      </w:r>
    </w:p>
    <w:p>
      <w:pPr>
        <w:pStyle w:val="Heading2"/>
      </w:pPr>
      <w:r>
        <w:t>Teclistamab in smolderendem Myelom hocheffektiv: Phase-2-Trial</w:t>
      </w:r>
    </w:p>
    <w:p>
      <w:r>
        <w:rPr>
          <w:i/>
          <w:color w:val="666666"/>
          <w:sz w:val="18"/>
        </w:rPr>
        <w:t>Nadeem O et al.  ·  Nat Med  ·  11.09.2026  ·  PMID 42728379</w:t>
      </w:r>
    </w:p>
    <w:p>
      <w:r>
        <w:t>Randomisierte Phase-2-ImmunoPRISM-Studie verglich Teclistamab (BCMA-Bispecific Antibody, Fixdauer) mit Lenalidomid/Dexamethason bei 59 Patienten mit Hochrisiko-smolderendem multiplem Myelom.</w:t>
      </w:r>
    </w:p>
    <w:p>
      <w:r>
        <w:rPr>
          <w:b/>
        </w:rPr>
        <w:t xml:space="preserve">Ergebnis: </w:t>
      </w:r>
      <w:r>
        <w:t>Teclistamab: komplette Remission 77,8% vs. 0% (Rd); minimale Resterkrankung-Negativität (10-5) 82,2%; 2-Jahres-Progressionsfreies Überleben 92% vs. 49%; Grad 1–2 Zytokine-Freisetzung, kein Grade-3-Infektionsanstieg, keine Todesfälle.</w:t>
      </w:r>
    </w:p>
    <w:p>
      <w:r>
        <w:rPr>
          <w:b/>
          <w:sz w:val="19"/>
        </w:rPr>
        <w:t xml:space="preserve">Übertragbarkeit: </w:t>
      </w:r>
      <w:r>
        <w:rPr>
          <w:sz w:val="19"/>
        </w:rPr>
        <w:t>Phasen-2-Studie mit Potential für Frühintervention; internationale Prüfung, Übertragbarkeit begrenzt bis zur Phase-3-Validierung.</w:t>
      </w:r>
    </w:p>
    <w:p>
      <w:r>
        <w:rPr>
          <w:color w:val="5A7D3A"/>
          <w:sz w:val="18"/>
        </w:rPr>
        <w:t>https://pubmed.ncbi.nlm.nih.gov/42728379/</w:t>
      </w:r>
    </w:p>
    <w:p>
      <w:pPr>
        <w:pStyle w:val="Heading2"/>
      </w:pPr>
      <w:r>
        <w:t>HCC-Management in Asien nach europäischen Leitlinien adaptiert</w:t>
      </w:r>
    </w:p>
    <w:p>
      <w:r>
        <w:rPr>
          <w:i/>
          <w:color w:val="666666"/>
          <w:sz w:val="18"/>
        </w:rPr>
        <w:t>Tan CK et al.  ·  ESMO Open  ·  09.07.2026  ·  PMID 42660571</w:t>
      </w:r>
    </w:p>
    <w:p>
      <w:r>
        <w:t>Pan-asiatische Expertengruppe adaptierte ESMO-Leitlinien zu Diagnose, Therapie und Nachsorge des Hepatozellulären Karzinoms für zehn asiatische Länder.</w:t>
      </w:r>
    </w:p>
    <w:p>
      <w:r>
        <w:rPr>
          <w:b/>
        </w:rPr>
        <w:t xml:space="preserve">Ergebnis: </w:t>
      </w:r>
      <w:r>
        <w:t>Konsens-Richtlinie mit regionsspezifischen Empfehlungen verabschiedet; Fokus auf harmonisierte Behandlung und Zugang trotz regionaler Unterschiede in Arzneimittelzulassung und Erstattung.</w:t>
      </w:r>
    </w:p>
    <w:p>
      <w:r>
        <w:rPr>
          <w:b/>
          <w:sz w:val="19"/>
        </w:rPr>
        <w:t xml:space="preserve">Übertragbarkeit: </w:t>
      </w:r>
      <w:r>
        <w:rPr>
          <w:sz w:val="19"/>
        </w:rPr>
        <w:t>Internationale Leitlinie mit europäischen Standards, aber auch asiatischen Besonderheiten; teilweise auf deutsches System übertragbar.</w:t>
      </w:r>
    </w:p>
    <w:p>
      <w:r>
        <w:rPr>
          <w:color w:val="5A7D3A"/>
          <w:sz w:val="18"/>
        </w:rPr>
        <w:t>https://pubmed.ncbi.nlm.nih.gov/42660571/</w:t>
      </w:r>
    </w:p>
    <w:p>
      <w:pPr>
        <w:pStyle w:val="Heading2"/>
      </w:pPr>
      <w:r>
        <w:t>Epigenetisches Altern in Dickdarmgewebe zeigt Lebensstilfaktoren-Einfluss</w:t>
      </w:r>
    </w:p>
    <w:p>
      <w:r>
        <w:rPr>
          <w:i/>
          <w:color w:val="666666"/>
          <w:sz w:val="18"/>
        </w:rPr>
        <w:t>Hardikar S et al.  ·  J Natl Cancer Inst  ·  25.08.2026  ·  PMID 42640567</w:t>
      </w:r>
    </w:p>
    <w:p>
      <w:r>
        <w:t>Analyse von epigenetischen Alterungsmodellen (Horvath, Hannum, Zhang u.a.) in Kolonialgewebe von 554 Proben (96 normal, 245 angrenzend, 208 Tumore) zur Untersuchung von Zusammenhängen mit Lebensstilfaktoren und Krebsentwicklung.</w:t>
      </w:r>
    </w:p>
    <w:p>
      <w:r>
        <w:rPr>
          <w:b/>
        </w:rPr>
        <w:t xml:space="preserve">Ergebnis: </w:t>
      </w:r>
      <w:r>
        <w:t>Horvath-Modell zeigte beste Korrelation mit chronologischem Alter (r &gt;0,70) in normalem Gewebe; signifikante Alters-Beschleunigung in tumoren vs. normal/angrenzend bei allen Modellen; körperliche Aktivität (PhenoAge), Rauchen (GrimAge) und Alkoholkonsum (Horvath, Mitose-Uhren) assoziiert mit epigenetischem Altern in angrenzender Mukosa.</w:t>
      </w:r>
    </w:p>
    <w:p>
      <w:r>
        <w:rPr>
          <w:b/>
          <w:sz w:val="19"/>
        </w:rPr>
        <w:t xml:space="preserve">Übertragbarkeit: </w:t>
      </w:r>
      <w:r>
        <w:rPr>
          <w:sz w:val="19"/>
        </w:rPr>
        <w:t>USA/deutsche Zentren, diverse Populationen; Grundlagenforschung zu Risikostratifikation.</w:t>
      </w:r>
    </w:p>
    <w:p>
      <w:r>
        <w:rPr>
          <w:color w:val="5A7D3A"/>
          <w:sz w:val="18"/>
        </w:rPr>
        <w:t>https://pubmed.ncbi.nlm.nih.gov/42640567/</w:t>
      </w:r>
    </w:p>
    <w:p>
      <w:pPr>
        <w:pStyle w:val="Heading2"/>
      </w:pPr>
      <w:r>
        <w:t>Tebentafusp gegen Uveales Melanom im UK-Programm wirksam wie Phase-3-Daten</w:t>
      </w:r>
    </w:p>
    <w:p>
      <w:r>
        <w:rPr>
          <w:i/>
          <w:color w:val="666666"/>
          <w:sz w:val="18"/>
        </w:rPr>
        <w:t>Joseph M et al.  ·  Oncologist  ·  09.09.2026  ·  PMID 42640561</w:t>
      </w:r>
    </w:p>
    <w:p>
      <w:r>
        <w:t>Retrospektive Real-World-Effektivitäts- und Toxizitäts-Analyse der UK Expanded Access Programme (EAP) mit 88 Patienten mit metastasiertem uvealen Melanom, behandelt Juli 2021–Juni 2023.</w:t>
      </w:r>
    </w:p>
    <w:p>
      <w:r>
        <w:rPr>
          <w:b/>
        </w:rPr>
        <w:t xml:space="preserve">Ergebnis: </w:t>
      </w:r>
      <w:r>
        <w:t>Medianes Gesamtüberleben 21 Monate (95%-KI 17-NR); medianes progressionsfreies Überleben 2,76 Monate (95%-KI 2,53–3,22); 12-Monats-Überlebenrate 75% (95%-KI 66,1–85,6); niedrigere LDH und niedrigere Leberlastung tendierten zu besserem Überleben; LDH ≥2× obere Normgrenze zeigte sehr schlechte Prognose; keine Grade ≥3 Toxizität nach Dosis 5.</w:t>
      </w:r>
    </w:p>
    <w:p>
      <w:r>
        <w:rPr>
          <w:b/>
          <w:sz w:val="19"/>
        </w:rPr>
        <w:t xml:space="preserve">Übertragbarkeit: </w:t>
      </w:r>
      <w:r>
        <w:rPr>
          <w:sz w:val="19"/>
        </w:rPr>
        <w:t>Britisches NHS-System, vergleichbar mit deutschem, Real-World-Evidenz für Kostenträger relevant.</w:t>
      </w:r>
    </w:p>
    <w:p>
      <w:r>
        <w:rPr>
          <w:color w:val="5A7D3A"/>
          <w:sz w:val="18"/>
        </w:rPr>
        <w:t>https://pubmed.ncbi.nlm.nih.gov/42640561/</w:t>
      </w:r>
    </w:p>
    <w:p>
      <w:pPr>
        <w:pStyle w:val="Heading2"/>
      </w:pPr>
      <w:r>
        <w:t>Daratumumab+Lenalidomid verlängert Überleben im älteren Myelom dauerhaft</w:t>
      </w:r>
    </w:p>
    <w:p>
      <w:r>
        <w:rPr>
          <w:i/>
          <w:color w:val="666666"/>
          <w:sz w:val="18"/>
        </w:rPr>
        <w:t>Facon T et al.  ·  Leukemia  ·  24.08.2026  ·  PMID 42637879</w:t>
      </w:r>
    </w:p>
    <w:p>
      <w:r>
        <w:t>Finale Analyse der MAIA-Studie: Randomisierte Phase-III-Prüfung zu Daratumumab+Lenalidomid/Dexamethason (D-Rd) vs. Lenalidomid/Dexamethason (Rd) bei 737 nicht-transplant-fähigen Patienten mit neu diagnostiziertem multiplem Myelom.</w:t>
      </w:r>
    </w:p>
    <w:p>
      <w:r>
        <w:rPr>
          <w:b/>
        </w:rPr>
        <w:t xml:space="preserve">Ergebnis: </w:t>
      </w:r>
      <w:r>
        <w:t>Medianes Gesamtüberleben: 90,3 Monate (D-Rd) vs. 64,1 Monate (Rd), HR 0,67 (95%-KI 0,55–0,82); 7-Jahres-Überleben 53,1% vs. 39,3%; mediane Zeit bis Folgetherapie nicht erreicht vs. 42,4 Monate. Follow-up &gt;7 Jahre.</w:t>
      </w:r>
    </w:p>
    <w:p>
      <w:r>
        <w:rPr>
          <w:b/>
          <w:sz w:val="19"/>
        </w:rPr>
        <w:t xml:space="preserve">Übertragbarkeit: </w:t>
      </w:r>
      <w:r>
        <w:rPr>
          <w:sz w:val="19"/>
        </w:rPr>
        <w:t>Multinationale Studie; Basis für Leitlinienstandard bei älteren Patienten, in Deutschland anwendbar.</w:t>
      </w:r>
    </w:p>
    <w:p>
      <w:r>
        <w:rPr>
          <w:color w:val="5A7D3A"/>
          <w:sz w:val="18"/>
        </w:rPr>
        <w:t>https://pubmed.ncbi.nlm.nih.gov/42637879/</w:t>
      </w:r>
    </w:p>
    <w:p>
      <w:pPr>
        <w:pStyle w:val="Heading2"/>
      </w:pPr>
      <w:r>
        <w:t>Olaparib-Erhaltung bei BRCA-mutiertem Brustkrebs: 6-Jahres-Vorteile halten an</w:t>
      </w:r>
    </w:p>
    <w:p>
      <w:r>
        <w:rPr>
          <w:i/>
          <w:color w:val="666666"/>
          <w:sz w:val="18"/>
        </w:rPr>
        <w:t>Garber JE et al.  ·  Ann Oncol  ·  24.08.2026  ·  PMID 42636977</w:t>
      </w:r>
    </w:p>
    <w:p>
      <w:r>
        <w:t>Dritte geplante Zwischenanalyse der randomisierten Phase-III-OlympiA-Studie zu adjuvantem Olaparib (PARP-Inhibitor) versus Placebo nach Chemotherapie bei 1.836 Patientinnen mit Keimbahn-BRCA-Mutation und HER2-negativem Hochrisiko-Brustkrebs.</w:t>
      </w:r>
    </w:p>
    <w:p>
      <w:r>
        <w:rPr>
          <w:b/>
        </w:rPr>
        <w:t xml:space="preserve">Ergebnis: </w:t>
      </w:r>
      <w:r>
        <w:t>Bei 6,1 Jahren medianer Nachbeobachtung: Invasives rezidivfreies Überleben (HR 0,65; 95%-KI 0,53–0,78), Gesamtüberleben (HR 0,72; 95%-KI 0,56–0,93); 6-Jahres-Überleben 87,5% vs. 83,2%; keine neuen Sicherheitssignale, kein erhöhtes MDS/AML-Risiko (0,4% vs. 0,7%).</w:t>
      </w:r>
    </w:p>
    <w:p>
      <w:r>
        <w:rPr>
          <w:b/>
          <w:sz w:val="19"/>
        </w:rPr>
        <w:t xml:space="preserve">Übertragbarkeit: </w:t>
      </w:r>
      <w:r>
        <w:rPr>
          <w:sz w:val="19"/>
        </w:rPr>
        <w:t>Multinationale Studie mit europäischen und deutschen Zentren; Befund ändert Leitlinienempfehlungen.</w:t>
      </w:r>
    </w:p>
    <w:p>
      <w:r>
        <w:rPr>
          <w:color w:val="5A7D3A"/>
          <w:sz w:val="18"/>
        </w:rPr>
        <w:t>https://pubmed.ncbi.nlm.nih.gov/42636977/</w:t>
      </w:r>
    </w:p>
    <w:p>
      <w:pPr>
        <w:pStyle w:val="Heading1"/>
      </w:pPr>
      <w:r>
        <w:t>Aufgenommen am 13.09.2026</w:t>
      </w:r>
    </w:p>
    <w:p>
      <w:pPr>
        <w:pStyle w:val="Heading2"/>
      </w:pPr>
      <w:r>
        <w:t>Genomische Alterationen in Hirn-Metastasen von Brustkrebs: 76,8 % haben therapeutisch nutzbare Targets</w:t>
      </w:r>
    </w:p>
    <w:p>
      <w:r>
        <w:rPr>
          <w:i/>
          <w:color w:val="666666"/>
          <w:sz w:val="18"/>
        </w:rPr>
        <w:t>Griguolo G et al.  ·  ESMO Open  ·  11.09.2026  ·  PMID 42727421</w:t>
      </w:r>
    </w:p>
    <w:p>
      <w:r>
        <w:t>Whole-exome-Sequenzierung von 56 Hirn-Metastasen-Proben aus Brustkrebs-Patienten zur Identifikation klinisch umsetzbarer genomischer Alterationen nach ESCAT-Kriterien.</w:t>
      </w:r>
    </w:p>
    <w:p>
      <w:r>
        <w:rPr>
          <w:b/>
        </w:rPr>
        <w:t xml:space="preserve">Ergebnis: </w:t>
      </w:r>
      <w:r>
        <w:t>76,8 % zeigten ESCAT-I/II-Alterationen; häufigste waren DNA-Reparatur-Gene (BRCA1/2/PALB2: 53,6 %); biallele Inaktivierung bei 19,6 % (höher bei HER2-negativ: 26 % HR-neg/HER2-neg, 21 % HR-pos/HER2-neg); PIK3CA/AKT1/PTEN-Alterationen in 48,2 %; kein ESR1 in HR-positiven; hotspot PIK3CA bei HER2-positivem assoziiert mit schlechterer Prognose.</w:t>
      </w:r>
    </w:p>
    <w:p>
      <w:r>
        <w:rPr>
          <w:b/>
          <w:sz w:val="19"/>
        </w:rPr>
        <w:t xml:space="preserve">Übertragbarkeit: </w:t>
      </w:r>
      <w:r>
        <w:rPr>
          <w:sz w:val="19"/>
        </w:rPr>
        <w:t>Italienisch-französische Kooperation, ESCAT-Klassifikation europäisch – direkt auf deutsches Targeting-System übertragbar.</w:t>
      </w:r>
    </w:p>
    <w:p>
      <w:r>
        <w:rPr>
          <w:color w:val="5A7D3A"/>
          <w:sz w:val="18"/>
        </w:rPr>
        <w:t>https://pubmed.ncbi.nlm.nih.gov/42727421/</w:t>
      </w:r>
    </w:p>
    <w:p>
      <w:pPr>
        <w:pStyle w:val="Heading2"/>
      </w:pPr>
      <w:r>
        <w:t>Hautkrebs-Bestrahlungen um 79% gestiegen: Trends der Radioonkologie 2015–2022</w:t>
      </w:r>
    </w:p>
    <w:p>
      <w:r>
        <w:rPr>
          <w:i/>
          <w:color w:val="666666"/>
          <w:sz w:val="18"/>
        </w:rPr>
        <w:t>Diefenhardt M et al.  ·  Strahlenther Onkol  ·  11.09.2026  ·  PMID 42726226</w:t>
      </w:r>
    </w:p>
    <w:p>
      <w:r>
        <w:t>Retrospektive Analyse von 8.842 Patienten in einer deutschen Uniklinik-Radiotherapie zwischen 2015 und 2022 zu Trends in Tumorentitäten, Alter und Behandlungsabständen.</w:t>
      </w:r>
    </w:p>
    <w:p>
      <w:r>
        <w:rPr>
          <w:b/>
        </w:rPr>
        <w:t xml:space="preserve">Ergebnis: </w:t>
      </w:r>
      <w:r>
        <w:t>Hautkrebs-Bestrahlungen stiegen um 79 %, Prostata um 10 %, Medianalter von 62 auf 64 Jahre; 47 % der Patienten kamen aus 10-km-Radius; Pandemie 2020-2021 führte zu keinen signifikanten Veränderungen in Patientenzahlen oder Tumortyp-Verteilung.</w:t>
      </w:r>
    </w:p>
    <w:p>
      <w:r>
        <w:rPr>
          <w:b/>
          <w:sz w:val="19"/>
        </w:rPr>
        <w:t xml:space="preserve">Übertragbarkeit: </w:t>
      </w:r>
      <w:r>
        <w:rPr>
          <w:sz w:val="19"/>
        </w:rPr>
        <w:t>Deutsche Uniklinik-Daten, direkt auf deutsches Radiotherapie-Versorgungssystem übertragbar.</w:t>
      </w:r>
    </w:p>
    <w:p>
      <w:r>
        <w:rPr>
          <w:color w:val="5A7D3A"/>
          <w:sz w:val="18"/>
        </w:rPr>
        <w:t>https://pubmed.ncbi.nlm.nih.gov/42726226/</w:t>
      </w:r>
    </w:p>
    <w:p>
      <w:pPr>
        <w:pStyle w:val="Heading2"/>
      </w:pPr>
      <w:r>
        <w:t>Cell-free DNA in Großzelliger B-Zell-Lymphom: technische Anforderungen für Minimal-Residual-Disease-Monitoring</w:t>
      </w:r>
    </w:p>
    <w:p>
      <w:r>
        <w:rPr>
          <w:i/>
          <w:color w:val="666666"/>
          <w:sz w:val="18"/>
        </w:rPr>
        <w:t>Krupka JA et al.  ·  Blood  ·  03.09.2026  ·  PMID 42691013</w:t>
      </w:r>
    </w:p>
    <w:p>
      <w:r>
        <w:t>Narrative Übersichtsarbeit zu ctDNA-Einsatz im diffusen großzelligen B-Zell-Lymphom mit Fokus auf technische Herausforderungen, Assay-Design und klinische Implementierung.</w:t>
      </w:r>
    </w:p>
    <w:p>
      <w:r>
        <w:rPr>
          <w:b/>
        </w:rPr>
        <w:t xml:space="preserve">Ergebnis: </w:t>
      </w:r>
      <w:r>
        <w:t>Tumor-informierte Assays mit mehreren genetischen Markern verbessern Sensitivität des Monitoring substanziell; Standardisierung und prospektive Validierung sind notwendig für Routineimplementierung; niedrige ctDNA-Häufigkeit und Unterscheidung von niedrigen Allel-Fraktionen bleiben Hauptprobleme.</w:t>
      </w:r>
    </w:p>
    <w:p>
      <w:r>
        <w:rPr>
          <w:b/>
          <w:sz w:val="19"/>
        </w:rPr>
        <w:t xml:space="preserve">Übertragbarkeit: </w:t>
      </w:r>
      <w:r>
        <w:rPr>
          <w:sz w:val="19"/>
        </w:rPr>
        <w:t>Technisches Review ohne spezifische Zahlen, eher Empfehlungscharakter; europäische Kontributoren.</w:t>
      </w:r>
    </w:p>
    <w:p>
      <w:r>
        <w:rPr>
          <w:color w:val="5A7D3A"/>
          <w:sz w:val="18"/>
        </w:rPr>
        <w:t>https://pubmed.ncbi.nlm.nih.gov/42691013/</w:t>
      </w:r>
    </w:p>
    <w:p>
      <w:pPr>
        <w:pStyle w:val="Heading2"/>
      </w:pPr>
      <w:r>
        <w:t>Tumor-Protein ADAMTSL4 treibt Kachexie durch TGFβ-Aktivierung – therapeutisches Ziel identifiziert</w:t>
      </w:r>
    </w:p>
    <w:p>
      <w:r>
        <w:rPr>
          <w:i/>
          <w:color w:val="666666"/>
          <w:sz w:val="18"/>
        </w:rPr>
        <w:t>Machado J et al.  ·  Cancer Discov  ·  01.09.2026  ·  PMID 42678278</w:t>
      </w:r>
    </w:p>
    <w:p>
      <w:r>
        <w:t>Mechanistische Studie in Modellen und Patienten mit kolorektalem und Lungenkarzinom zur Rolle von Tumor-Sekretion von ADAMTSL4 in der Pathogenese von Krebs-Kachexie.</w:t>
      </w:r>
    </w:p>
    <w:p>
      <w:r>
        <w:rPr>
          <w:b/>
        </w:rPr>
        <w:t xml:space="preserve">Ergebnis: </w:t>
      </w:r>
      <w:r>
        <w:t>ADAMTSL4-Überexpression machte nicht-kachektische Tumoren zu kachektischen; ADAMTSL4-Knockout reduzierte Muskelatrophie-Signaturen und Kachexie-Schweregrad; erhöhte zirkulierende ADAMTSL4-Level waren mit TGFβ-getriebener Muskelatrophie in Kachexie-Patienten assoziiert; ADAMTSL4-Blockade könnte selektive Therapie ohne systemische TGFβ-Blockade ermöglichen.</w:t>
      </w:r>
    </w:p>
    <w:p>
      <w:r>
        <w:rPr>
          <w:b/>
          <w:sz w:val="19"/>
        </w:rPr>
        <w:t xml:space="preserve">Übertragbarkeit: </w:t>
      </w:r>
      <w:r>
        <w:rPr>
          <w:sz w:val="19"/>
        </w:rPr>
        <w:t>USA-Studie mit deutschen und internationalen Zentren; präklinisches Modell mit klinischer Validierung – Weg zur Therapeutik erkennbar.</w:t>
      </w:r>
    </w:p>
    <w:p>
      <w:r>
        <w:rPr>
          <w:color w:val="5A7D3A"/>
          <w:sz w:val="18"/>
        </w:rPr>
        <w:t>https://pubmed.ncbi.nlm.nih.gov/42678278/</w:t>
      </w:r>
    </w:p>
    <w:p>
      <w:pPr>
        <w:pStyle w:val="Heading2"/>
      </w:pPr>
      <w:r>
        <w:t>Durvalumab perioperativ bei resektablem NSCLC: AEGEAN-Phase-III-Studie verbessert ereignisfreies Überleben</w:t>
      </w:r>
    </w:p>
    <w:p>
      <w:r>
        <w:rPr>
          <w:i/>
          <w:color w:val="666666"/>
          <w:sz w:val="18"/>
        </w:rPr>
        <w:t>Heymach JV et al.  ·  J Clin Oncol  ·  28.08.2026  ·  PMID 42664473</w:t>
      </w:r>
    </w:p>
    <w:p>
      <w:r>
        <w:t>Phase-III-Studie mit 740 Patienten zu neoadjuvanter Chemotherapie plus Durvalumab oder Placebo vor Operation und anschließender adjuvanter Durvalumab/Placebo-Therapie beim resektablen NSCLC Stadium II-IIIB.</w:t>
      </w:r>
    </w:p>
    <w:p>
      <w:r>
        <w:rPr>
          <w:b/>
        </w:rPr>
        <w:t xml:space="preserve">Ergebnis: </w:t>
      </w:r>
      <w:r>
        <w:t>Durvalumab reduzierte ereignisfreies Überleben (HR 0,69; 95%-KI 0,55–0,88), Zahlentrend für progressionsfreies Überleben (HR 0,66) und Gesamtüberleben (HR 0,89); Grad-3/4-Nebenwirkungen unter adjuvanter Therapie: 15,4 % vs. 10,6 % Placebo; Sicherheitsprofil konsistent mit Einzelsubstanzen.</w:t>
      </w:r>
    </w:p>
    <w:p>
      <w:r>
        <w:rPr>
          <w:b/>
          <w:sz w:val="19"/>
        </w:rPr>
        <w:t xml:space="preserve">Übertragbarkeit: </w:t>
      </w:r>
      <w:r>
        <w:rPr>
          <w:sz w:val="19"/>
        </w:rPr>
        <w:t>Internationale Phase-III-Studie mit europäischen Zentren; praxisverändernd bei AMNOG und Zulassung.</w:t>
      </w:r>
    </w:p>
    <w:p>
      <w:r>
        <w:rPr>
          <w:color w:val="5A7D3A"/>
          <w:sz w:val="18"/>
        </w:rPr>
        <w:t>https://pubmed.ncbi.nlm.nih.gov/42664473/</w:t>
      </w:r>
    </w:p>
    <w:p>
      <w:pPr>
        <w:pStyle w:val="Heading2"/>
      </w:pPr>
      <w:r>
        <w:t>Dynamisches Prognose-Modell CIRI2-CLL für Rezidivrisiko nach limitierter Therapie verbessert Vorhersage um bis zu 37 %</w:t>
      </w:r>
    </w:p>
    <w:p>
      <w:r>
        <w:rPr>
          <w:i/>
          <w:color w:val="666666"/>
          <w:sz w:val="18"/>
        </w:rPr>
        <w:t>Al-Sawaf O et al.  ·  J Clin Oncol  ·  27.08.2026  ·  PMID 42659576</w:t>
      </w:r>
    </w:p>
    <w:p>
      <w:r>
        <w:t>Validierungsstudie eines verfeinerten kontinuierlichen Risikoindex (CIRI2-CLL) zur Prognosebestimmung nach limitierter Behandlung der chronischen lymphatischen Leukämie mit Minimal-Residual-Disease-Status.</w:t>
      </w:r>
    </w:p>
    <w:p>
      <w:r>
        <w:rPr>
          <w:b/>
        </w:rPr>
        <w:t xml:space="preserve">Ergebnis: </w:t>
      </w:r>
      <w:r>
        <w:t>CIRI2-CLL zeigte gute Kalibrierung (ca. 5 % Differenz zwischen beobachteter und vorhergesagter Ereigniswahrscheinlichkeit); C-Statistik 0,82–0,98 an allen Zeitpunkten; 14–37 % Verbesserung der PFS-Vorhersage gegenüber MRD und CLL-IPI; 3-Jahres-PFS: 100,0 % (niedrig), 70,2 % (mittel), 10,8 % (hoch); Modell frei verfügbar auf Stanford-Plattform für individualisierte Therapieentscheidung.</w:t>
      </w:r>
    </w:p>
    <w:p>
      <w:r>
        <w:rPr>
          <w:b/>
          <w:sz w:val="19"/>
        </w:rPr>
        <w:t xml:space="preserve">Übertragbarkeit: </w:t>
      </w:r>
      <w:r>
        <w:rPr>
          <w:sz w:val="19"/>
        </w:rPr>
        <w:t>Deutsche CLL-Studiengruppe führend; validiert in europäischen und internationalen Kohorten.</w:t>
      </w:r>
    </w:p>
    <w:p>
      <w:r>
        <w:rPr>
          <w:color w:val="5A7D3A"/>
          <w:sz w:val="18"/>
        </w:rPr>
        <w:t>https://pubmed.ncbi.nlm.nih.gov/42659576/</w:t>
      </w:r>
    </w:p>
    <w:p>
      <w:pPr>
        <w:pStyle w:val="Heading1"/>
      </w:pPr>
      <w:r>
        <w:t>Aufgenommen am 12.09.2026</w:t>
      </w:r>
    </w:p>
    <w:p>
      <w:pPr>
        <w:pStyle w:val="Heading2"/>
      </w:pPr>
      <w:r>
        <w:t>PRO-Symptommonitoring bei Lungenkrebspatienten verlängert Gesamtüberleben um 5 Monate</w:t>
      </w:r>
    </w:p>
    <w:p>
      <w:r>
        <w:rPr>
          <w:i/>
          <w:color w:val="666666"/>
          <w:sz w:val="18"/>
        </w:rPr>
        <w:t>Hassing MJ et al.  ·  Lancet Oncol  ·  11.09.2026  ·  PMID 42727592</w:t>
      </w:r>
    </w:p>
    <w:p>
      <w:r>
        <w:t>Randomisierte niederländische Studie (14 medizinische Zentren, Stepped-Wedge-Design) zur Wirkung wöchentlicher Online-Symptomselbstberichte auf Überleben bei Patienten mit Lung Cancer im Stadium I-IV unter Behandlung.</w:t>
      </w:r>
    </w:p>
    <w:p>
      <w:r>
        <w:rPr>
          <w:b/>
        </w:rPr>
        <w:t xml:space="preserve">Ergebnis: </w:t>
      </w:r>
      <w:r>
        <w:t>Bei 446 Patienten (median 50 Monate Follow-up): Median Overall Survival in der Intervention 26 Monate versus Kontrolle 21 Monate (Hazard Ratio 0,80; 95%-CI 0,63–1,00; p=0,049). Progression-Free Survival zeigte keinen signifikanten Unterschied (HR 0,86; p=0,18). Praxisrelevant: strukturierte Patient-Reported Outcomes ermöglichen 5-Monate-Gewinn bei aktuellen Therapien.</w:t>
      </w:r>
    </w:p>
    <w:p>
      <w:r>
        <w:rPr>
          <w:b/>
          <w:sz w:val="19"/>
        </w:rPr>
        <w:t xml:space="preserve">Übertragbarkeit: </w:t>
      </w:r>
      <w:r>
        <w:rPr>
          <w:sz w:val="19"/>
        </w:rPr>
        <w:t>Niederländische Klinikdaten mit Versorgungsauftrag ähnlich Deutschland</w:t>
      </w:r>
    </w:p>
    <w:p>
      <w:r>
        <w:rPr>
          <w:color w:val="5A7D3A"/>
          <w:sz w:val="18"/>
        </w:rPr>
        <w:t>https://pubmed.ncbi.nlm.nih.gov/42727592/</w:t>
      </w:r>
    </w:p>
    <w:p>
      <w:pPr>
        <w:pStyle w:val="Heading2"/>
      </w:pPr>
      <w:r>
        <w:t>Trastuzumab Botidotin gegenüber Trastuzumab Emtansine: 11,1 vs. 4,4 Monate progressionsfreies Überleben</w:t>
      </w:r>
    </w:p>
    <w:p>
      <w:r>
        <w:rPr>
          <w:i/>
          <w:color w:val="666666"/>
          <w:sz w:val="18"/>
        </w:rPr>
        <w:t>Zhang J et al.  ·  J Clin Oncol  ·  11.09.2026  ·  PMID 42727044</w:t>
      </w:r>
    </w:p>
    <w:p>
      <w:r>
        <w:t>Phase-III-Studie (365 Patienten, China, 57 Zentren) mit randomisierter Direktvergleich zweier HER2-gerichteter Antikörper-Wirkstoff-Konjugate bei vorbehandeltem HER2-positivem metastasiertem Brustkrebs.</w:t>
      </w:r>
    </w:p>
    <w:p>
      <w:r>
        <w:rPr>
          <w:b/>
        </w:rPr>
        <w:t xml:space="preserve">Ergebnis: </w:t>
      </w:r>
      <w:r>
        <w:t>Trastuzumab Botidotin vs. Trastuzumab Emtansine: medianes Progression-Free Survival 11,1 vs. 4,4 Monate (HR 0,39; p&lt;0,0001); Objective Response Rate 76,9% vs. 53,0%. Grade ≥3 unerwünschte Ereignisse 69,8% vs. 63,7%, höchste Inzidenz bei Augenoberflächen-Toxizität (47,7%), aber meist reversibel.</w:t>
      </w:r>
    </w:p>
    <w:p>
      <w:r>
        <w:rPr>
          <w:b/>
          <w:sz w:val="19"/>
        </w:rPr>
        <w:t xml:space="preserve">Übertragbarkeit: </w:t>
      </w:r>
      <w:r>
        <w:rPr>
          <w:sz w:val="19"/>
        </w:rPr>
        <w:t>China-Studie, Botidotin hat EU-Zulassung; Übertragbarkeit für deutsche Zentren gegeben</w:t>
      </w:r>
    </w:p>
    <w:p>
      <w:r>
        <w:rPr>
          <w:color w:val="5A7D3A"/>
          <w:sz w:val="18"/>
        </w:rPr>
        <w:t>https://pubmed.ncbi.nlm.nih.gov/42727044/</w:t>
      </w:r>
    </w:p>
    <w:p>
      <w:pPr>
        <w:pStyle w:val="Heading2"/>
      </w:pPr>
      <w:r>
        <w:t>Lokale Therapie + Immune Checkpoint Inhibitor bei rezidiviertem/metastasiertem Nasopharynxkarzinom: 30,5 vs. 16,8 Monate PFS</w:t>
      </w:r>
    </w:p>
    <w:p>
      <w:r>
        <w:rPr>
          <w:i/>
          <w:color w:val="666666"/>
          <w:sz w:val="18"/>
        </w:rPr>
        <w:t>Chen X et al.  ·  Eur J Cancer  ·  27.08.2026  ·  PMID 42721861</w:t>
      </w:r>
    </w:p>
    <w:p>
      <w:r>
        <w:t>Retrospektive chinesische Studie (223 Patienten, Fudan University Shanghai) zum Vergleich von ICI allein versus lokale Therapie kombiniert mit ICI (LOCI) bei rezidiviertem oder metastasiertem Nasopharynxkarzinom; IPTW und Propensity-Score-Matching zur Confounding-Kontrolle.</w:t>
      </w:r>
    </w:p>
    <w:p>
      <w:r>
        <w:rPr>
          <w:b/>
        </w:rPr>
        <w:t xml:space="preserve">Ergebnis: </w:t>
      </w:r>
      <w:r>
        <w:t>Median Progression-Free Survival mit LOCI 30,53 Monate vs. ICI allein 16,77 Monate (HR 0,524; 95%-CI 0,339–0,785; log-rank p=0,0014). Benefit nach PSM und IPTW-Adjustment bestätigt. Bei lokalem Rezidiv oder Nodusbefall (LRR-NPC): verbessertes Distant-Metastasis-Free-Survival (HR 0,437). Bei Oligometastasen (≤3 Läsionen) ebenfalls PFS-Vorteil (HR 0,458; p=0,0416).</w:t>
      </w:r>
    </w:p>
    <w:p>
      <w:r>
        <w:rPr>
          <w:b/>
          <w:sz w:val="19"/>
        </w:rPr>
        <w:t xml:space="preserve">Übertragbarkeit: </w:t>
      </w:r>
      <w:r>
        <w:rPr>
          <w:sz w:val="19"/>
        </w:rPr>
        <w:t>China, Strahlentherapie mit ICI-Standard auch europäisch; Real-World-Ansatz übertragbar</w:t>
      </w:r>
    </w:p>
    <w:p>
      <w:r>
        <w:rPr>
          <w:color w:val="5A7D3A"/>
          <w:sz w:val="18"/>
        </w:rPr>
        <w:t>https://pubmed.ncbi.nlm.nih.gov/42721861/</w:t>
      </w:r>
    </w:p>
    <w:p>
      <w:pPr>
        <w:pStyle w:val="Heading2"/>
      </w:pPr>
      <w:r>
        <w:t>EORTC QLQ-CHI: erste Lebensqualitätsskala speziell für Kinder mit Krebs (8–14 Jahre)</w:t>
      </w:r>
    </w:p>
    <w:p>
      <w:r>
        <w:rPr>
          <w:i/>
          <w:color w:val="666666"/>
          <w:sz w:val="18"/>
        </w:rPr>
        <w:t>Vetrano C et al.  ·  Eur J Cancer  ·  05.10.2026  ·  PMID 42685381</w:t>
      </w:r>
    </w:p>
    <w:p>
      <w:r>
        <w:t>Mixed-Methods-Studie (Phasen I/II) zur Entwicklung eines EORTC-Fragebogenmoduls; 47 Kinder, 45 Eltern, 22 Fachleute aus 6 Ländern; Leitlinien der EORTC Quality-of-Life Group.</w:t>
      </w:r>
    </w:p>
    <w:p>
      <w:r>
        <w:rPr>
          <w:b/>
        </w:rPr>
        <w:t xml:space="preserve">Ergebnis: </w:t>
      </w:r>
      <w:r>
        <w:t>57 Schlüsselprobleme identifiziert aus 1.200+ initial bewerteten Aspekten (Vergleich Kinder-, Eltern- und Fachperspektive). Kinder präferierten 4 Antwortoptionen (70,0%) und kürzere Recall-Periode (43,3%). Fragebogen mit 50 Items in zwei Skalenbereiche eingeteilt: symptomorientiert und psychosozial. Nächste Schritte: Pilottestung (Phase III/IV), Validierung.</w:t>
      </w:r>
    </w:p>
    <w:p>
      <w:r>
        <w:rPr>
          <w:b/>
          <w:sz w:val="19"/>
        </w:rPr>
        <w:t xml:space="preserve">Übertragbarkeit: </w:t>
      </w:r>
      <w:r>
        <w:rPr>
          <w:sz w:val="19"/>
        </w:rPr>
        <w:t>Europäisches Netzwerk (EORTC), Grundlage für standardisierte Erfassung in Zentren</w:t>
      </w:r>
    </w:p>
    <w:p>
      <w:r>
        <w:rPr>
          <w:color w:val="5A7D3A"/>
          <w:sz w:val="18"/>
        </w:rPr>
        <w:t>https://pubmed.ncbi.nlm.nih.gov/42685381/</w:t>
      </w:r>
    </w:p>
    <w:p>
      <w:pPr>
        <w:pStyle w:val="Heading2"/>
      </w:pPr>
      <w:r>
        <w:t>Tislelizumab + Chemotherapie bei Ösophaguskarzinom: 45-Monate-Überleben</w:t>
      </w:r>
    </w:p>
    <w:p>
      <w:r>
        <w:rPr>
          <w:i/>
          <w:color w:val="666666"/>
          <w:sz w:val="18"/>
        </w:rPr>
        <w:t>Tougeron D et al.  ·  ESMO Open  ·  27.08.2026  ·  PMID 42659894</w:t>
      </w:r>
    </w:p>
    <w:p>
      <w:r>
        <w:t>Randomisierte Phase-III-Studie (RATIONALE-306) mit 649 Patienten weltweit; Analyse der Subgruppe mit PD-L1 Tumor Area Positivity ≥5% im Langzeit-Follow-up.</w:t>
      </w:r>
    </w:p>
    <w:p>
      <w:r>
        <w:rPr>
          <w:b/>
        </w:rPr>
        <w:t xml:space="preserve">Ergebnis: </w:t>
      </w:r>
      <w:r>
        <w:t>Bei 358 Patienten mit PD-L1 TAP ≥5% (Tislelizumab+CT n=172, Placebo+CT n=186): Median Overall Survival 19,1 vs. 10,0 Monate (HR 0,61); Progression-Free Survival 8,2 vs. 5,5 Monate (HR 0,50); Objektive Ansprechrate 71,5% vs. 41,4%. Haltbarkeit über 45 Monate bestätigt; Sicherheitsprofil unverändert.</w:t>
      </w:r>
    </w:p>
    <w:p>
      <w:r>
        <w:rPr>
          <w:b/>
          <w:sz w:val="19"/>
        </w:rPr>
        <w:t xml:space="preserve">Übertragbarkeit: </w:t>
      </w:r>
      <w:r>
        <w:rPr>
          <w:sz w:val="19"/>
        </w:rPr>
        <w:t>Internationale Studie, Therapie europäisch zugelassen (EMA-Empfehlung PD-L1-Stratifizierung)</w:t>
      </w:r>
    </w:p>
    <w:p>
      <w:r>
        <w:rPr>
          <w:color w:val="5A7D3A"/>
          <w:sz w:val="18"/>
        </w:rPr>
        <w:t>https://pubmed.ncbi.nlm.nih.gov/42659894/</w:t>
      </w:r>
    </w:p>
    <w:p>
      <w:pPr>
        <w:pStyle w:val="Heading2"/>
      </w:pPr>
      <w:r>
        <w:t>Hypomethylierende Mittel + Venetoclax bei älteren AML-Patienten: 69% komplette Remissionen, 19,1 Monate Überleben</w:t>
      </w:r>
    </w:p>
    <w:p>
      <w:r>
        <w:rPr>
          <w:i/>
          <w:color w:val="666666"/>
          <w:sz w:val="18"/>
        </w:rPr>
        <w:t>Diekmann B et al.  ·  Eur J Cancer  ·  05.10.2026  ·  PMID 42659837</w:t>
      </w:r>
    </w:p>
    <w:p>
      <w:r>
        <w:t>Niederländische Real-World-Studie in 15 Krankenhäusern mit 209 älteren Patienten (≥65 Jahre) mit neu diagnostizierter AML, die nicht für intensive Chemotherapie geeignet waren; Nachbeobachtung median 25,9 Monate.</w:t>
      </w:r>
    </w:p>
    <w:p>
      <w:r>
        <w:rPr>
          <w:b/>
        </w:rPr>
        <w:t xml:space="preserve">Ergebnis: </w:t>
      </w:r>
      <w:r>
        <w:t>Composite Complete Remission in 69%; 3-Monats-Mortalität 15%; medianes Gesamtüberleben 19,1 Monate (ELN2024 High-Benefit-Gruppe 22,1, Intermediate 10,9, Lower-Benefit 6,8 Monate). Allogene Stammzelltransplantation (37 Patienten, 18%) verbesserungsfähig mit HR 0,24 für Tod (p&lt;0,001). Antifungale Agenten in 72% der ersten Zyklen assoziiert mit reduzierter Mortalität (HR 0,605; p=0,010).</w:t>
      </w:r>
    </w:p>
    <w:p>
      <w:r>
        <w:rPr>
          <w:b/>
          <w:sz w:val="19"/>
        </w:rPr>
        <w:t xml:space="preserve">Übertragbarkeit: </w:t>
      </w:r>
      <w:r>
        <w:rPr>
          <w:sz w:val="19"/>
        </w:rPr>
        <w:t>Niederländisches Versicherungssystem, vergleichbar Deutschland; Dosierungsoptimierung und Wechselwirkungen reduzieren Kosten</w:t>
      </w:r>
    </w:p>
    <w:p>
      <w:r>
        <w:rPr>
          <w:color w:val="5A7D3A"/>
          <w:sz w:val="18"/>
        </w:rPr>
        <w:t>https://pubmed.ncbi.nlm.nih.gov/42659837/</w:t>
      </w:r>
    </w:p>
    <w:p>
      <w:pPr>
        <w:pStyle w:val="Heading1"/>
      </w:pPr>
      <w:r>
        <w:t>Aufgenommen am 11.09.2026</w:t>
      </w:r>
    </w:p>
    <w:p>
      <w:pPr>
        <w:pStyle w:val="Heading2"/>
      </w:pPr>
      <w:r>
        <w:t>Acht Mutationsmuster definieren Prostatakrebs-Subtypen mit unterschiedlichem Metastasierungs- und Therapierisiko</w:t>
      </w:r>
    </w:p>
    <w:p>
      <w:r>
        <w:rPr>
          <w:i/>
          <w:color w:val="666666"/>
          <w:sz w:val="18"/>
        </w:rPr>
        <w:t>Gruber AJ et al.  ·  Nature  ·  09.09.2026  ·  PMID 42717097</w:t>
      </w:r>
    </w:p>
    <w:p>
      <w:r>
        <w:t>Internationale Kohorte von 959 Patienten mit 959 Prostatakrebstumoren wurde mittels Mutationssignatur-Analyse charakterisiert, um klinisch relevante Subtypen zu identifizieren.</w:t>
      </w:r>
    </w:p>
    <w:p>
      <w:r>
        <w:rPr>
          <w:b/>
        </w:rPr>
        <w:t xml:space="preserve">Ergebnis: </w:t>
      </w:r>
      <w:r>
        <w:t>Acht integrierte Mutationsfuß­abdrücke (IMF) erklären 85% der Pri­märtumoren; vier IMF (in 37% vorhanden) assoziierten mit verkürzter Zeit bis Metastasierung; Biomarker sagten Ansprechen auf Androgen-Rezeptor-Inhibitoren voraus.</w:t>
      </w:r>
    </w:p>
    <w:p>
      <w:r>
        <w:rPr>
          <w:b/>
          <w:sz w:val="19"/>
        </w:rPr>
        <w:t xml:space="preserve">Übertragbarkeit: </w:t>
      </w:r>
      <w:r>
        <w:rPr>
          <w:sz w:val="19"/>
        </w:rPr>
        <w:t>Europäische Zentren, deutsche DKFZ-Beteiligung; Grundlage für zukünftige Risikoschichtung im deutschen Versorgungssystem.</w:t>
      </w:r>
    </w:p>
    <w:p>
      <w:r>
        <w:rPr>
          <w:color w:val="5A7D3A"/>
          <w:sz w:val="18"/>
        </w:rPr>
        <w:t>https://pubmed.ncbi.nlm.nih.gov/42717097/</w:t>
      </w:r>
    </w:p>
    <w:p>
      <w:pPr>
        <w:pStyle w:val="Heading2"/>
      </w:pPr>
      <w:r>
        <w:t>DEGRO-Leitlinien-Update: Proton­therapie vs. Photonen-Radiotherapie bei Oropharynxkarzinom – keine klare Überlegenheit trotz Phase-III-Daten</w:t>
      </w:r>
    </w:p>
    <w:p>
      <w:r>
        <w:rPr>
          <w:i/>
          <w:color w:val="666666"/>
          <w:sz w:val="18"/>
        </w:rPr>
        <w:t>Reichl S et al.  ·  Strahlenther Onkol  ·  07.09.2026  ·  PMID 42706355</w:t>
      </w:r>
    </w:p>
    <w:p>
      <w:r>
        <w:t>Stellungnahme der DEGRO-Arbeitsgruppe Kopf-Hals-Tumoren zur Interpretation widersprüchlicher Phase-III-Evidenz zwischen Proton- und Photonen-Strahlentherapie beim Oropharynxkarzinom.</w:t>
      </w:r>
    </w:p>
    <w:p>
      <w:r>
        <w:rPr>
          <w:b/>
        </w:rPr>
        <w:t xml:space="preserve">Ergebnis: </w:t>
      </w:r>
      <w:r>
        <w:t>Panel-Konsens: Protontherapie zeigt in einzelnen Studien Vorteile bei Reduktion von Nebenwirkungen, aber keine konsistente Überlegenheit beim Gesamt­überleben; Empfehlung für Risk-adaptive Anwendung und Zentrumskonzentration; kein Wechsel der Leitlinie zu Routineprotontherapie.</w:t>
      </w:r>
    </w:p>
    <w:p>
      <w:r>
        <w:rPr>
          <w:b/>
          <w:sz w:val="19"/>
        </w:rPr>
        <w:t xml:space="preserve">Übertragbarkeit: </w:t>
      </w:r>
      <w:r>
        <w:rPr>
          <w:sz w:val="19"/>
        </w:rPr>
        <w:t>Deutsche Fachgesellschaft (DEGRO), deutschsprachiger Raum; direkte Auswirkung auf Zertifizierungskriterien und Versorgungsvergütung im deutschen System.</w:t>
      </w:r>
    </w:p>
    <w:p>
      <w:r>
        <w:rPr>
          <w:color w:val="5A7D3A"/>
          <w:sz w:val="18"/>
        </w:rPr>
        <w:t>https://pubmed.ncbi.nlm.nih.gov/42706355/</w:t>
      </w:r>
    </w:p>
    <w:p>
      <w:pPr>
        <w:pStyle w:val="Heading2"/>
      </w:pPr>
      <w:r>
        <w:t>Atezolizumab neoadjuvant in dreifach-negativem Brustkrebs: NSABP-B-59/Gepar­Douze Phase-III-Trial senkt nicht signifikant EFS</w:t>
      </w:r>
    </w:p>
    <w:p>
      <w:r>
        <w:rPr>
          <w:i/>
          <w:color w:val="666666"/>
          <w:sz w:val="18"/>
        </w:rPr>
        <w:t>Loibl S et al.  ·  Nat Med  ·  01.09.2026  ·  PMID 42680950</w:t>
      </w:r>
    </w:p>
    <w:p>
      <w:r>
        <w:t>Randomisiert 1.550 Patientinnen mit Stadium II–III Brustkrebs ohne HR, HER2; Atezolizumab oder Placebo zusätzlich zu Taxan-Carboplatin-Anthrazyklin-Chemotherapie neoadjuvant.</w:t>
      </w:r>
    </w:p>
    <w:p>
      <w:r>
        <w:rPr>
          <w:b/>
        </w:rPr>
        <w:t xml:space="preserve">Ergebnis: </w:t>
      </w:r>
      <w:r>
        <w:t>Hazard Ratio für ereignisfreies Überleben 0,80 (95%-CI 0,62–1,03; p = 0,083), 4-Jahres-EFS-Differenz 3,3%; Subgruppe mit lymphonodalen Metastasen möglicherweise profitierend; Immunnebenwirkungen in Atezolizumab-Arm 27,6% versus 11,4%.</w:t>
      </w:r>
    </w:p>
    <w:p>
      <w:r>
        <w:rPr>
          <w:b/>
          <w:sz w:val="19"/>
        </w:rPr>
        <w:t xml:space="preserve">Übertragbarkeit: </w:t>
      </w:r>
      <w:r>
        <w:rPr>
          <w:sz w:val="19"/>
        </w:rPr>
        <w:t>Deutschland und USA (GBG/NSABP-Netzwerk), europäische Zentren führend; keine Änderung deutschen Leitlinien zu erwarten.</w:t>
      </w:r>
    </w:p>
    <w:p>
      <w:r>
        <w:rPr>
          <w:color w:val="5A7D3A"/>
          <w:sz w:val="18"/>
        </w:rPr>
        <w:t>https://pubmed.ncbi.nlm.nih.gov/42680950/</w:t>
      </w:r>
    </w:p>
    <w:p>
      <w:pPr>
        <w:pStyle w:val="Heading2"/>
      </w:pPr>
      <w:r>
        <w:t>Tisagenlecleucel bei Post-HSCT-Relaps in pädiatrischer ALL: europäische Real-World-Daten nennen Risikofaktoren für CAR-T-Versagen</w:t>
      </w:r>
    </w:p>
    <w:p>
      <w:r>
        <w:rPr>
          <w:i/>
          <w:color w:val="666666"/>
          <w:sz w:val="18"/>
        </w:rPr>
        <w:t>Moser LM et al.  ·  Leukemia  ·  31.08.2026  ·  PMID 42675139</w:t>
      </w:r>
    </w:p>
    <w:p>
      <w:r>
        <w:t>Europäisches Multizenter-Register 220 Kindern/jungen Erwachsenen mit B-ALL nach Stammzelltransplantation und Rezidiv, behandelt mit CAR-T; Median-Follow-up 30 Monate.</w:t>
      </w:r>
    </w:p>
    <w:p>
      <w:r>
        <w:rPr>
          <w:b/>
        </w:rPr>
        <w:t xml:space="preserve">Ergebnis: </w:t>
      </w:r>
      <w:r>
        <w:t>2-Jahres-EFS 43,6%, OS 67,2%, CAR-T-Versagensrate 57,1%; niedriges OS bei MSD-Vorbehandlung (59,1% vs. Alternative-Donor 80,2%, p = 0,046); frühes Relaps (&lt;6 Mo post-HSCT) führte zu 2J-EFS 23,7% vs. 49,8% bei spätem Relaps (p = 0,001); Krankheitslast bei Lymphodeplation war signifikanter Outcome-Prädiktor.</w:t>
      </w:r>
    </w:p>
    <w:p>
      <w:r>
        <w:rPr>
          <w:b/>
          <w:sz w:val="19"/>
        </w:rPr>
        <w:t xml:space="preserve">Übertragbarkeit: </w:t>
      </w:r>
      <w:r>
        <w:rPr>
          <w:sz w:val="19"/>
        </w:rPr>
        <w:t>Zentren aus Deutschland, Österreich, Italien, Skandinavien; identifiziert hochrisiko-Kandidaten für verbesserte Nachbetreuung in deutschem System.</w:t>
      </w:r>
    </w:p>
    <w:p>
      <w:r>
        <w:rPr>
          <w:color w:val="5A7D3A"/>
          <w:sz w:val="18"/>
        </w:rPr>
        <w:t>https://pubmed.ncbi.nlm.nih.gov/42675139/</w:t>
      </w:r>
    </w:p>
    <w:p>
      <w:pPr>
        <w:pStyle w:val="Heading2"/>
      </w:pPr>
      <w:r>
        <w:t>Ältere Patienten (≥70J) mit resektablem Magenkrebs: Verträglichkeit perioperativer Therapie in TOPGEAR-Subanalyse vergleichbar mit Jüngeren trotz Dosisreduktionen</w:t>
      </w:r>
    </w:p>
    <w:p>
      <w:r>
        <w:rPr>
          <w:i/>
          <w:color w:val="666666"/>
          <w:sz w:val="18"/>
        </w:rPr>
        <w:t>Rühle A et al.  ·  Eur J Cancer  ·  05.10.2026  ·  PMID 42673704</w:t>
      </w:r>
    </w:p>
    <w:p>
      <w:r>
        <w:t>Sekundäranalyse Phase-III-Trial TOPGEAR mit 135 älteren (≥70J) und 439 jüngeren Patienten mit resektablem Magen­/Ösophageal-Karzinom; randomisiert zu Perioperativ-Chemotherapie oder zusätzlich präoperativer Chemoradiotherapie.</w:t>
      </w:r>
    </w:p>
    <w:p>
      <w:r>
        <w:rPr>
          <w:b/>
        </w:rPr>
        <w:t xml:space="preserve">Ergebnis: </w:t>
      </w:r>
      <w:r>
        <w:t>Ältere Patienten häufiger Chemotherapie-Dosismodifikationen (Chemoradiotherapie: 55% vs. 35%, p = 0,004); Grad-≥3-Nebenwirkungen vergleichbar (Chemoradiotherapie 66% vs. 67%); OS und PFS numerisch günstiger bei älteren (HR 0,86; HR 0,75); Operationsraten, chirurgische Komplikationen und 30/90-Tage-Mortalität ähnlich.</w:t>
      </w:r>
    </w:p>
    <w:p>
      <w:r>
        <w:rPr>
          <w:b/>
          <w:sz w:val="19"/>
        </w:rPr>
        <w:t xml:space="preserve">Übertragbarkeit: </w:t>
      </w:r>
      <w:r>
        <w:rPr>
          <w:sz w:val="19"/>
        </w:rPr>
        <w:t>Australisches/internationales Zentren-Netzwerk, aber Dosierungsschemen und ECOG-Kriterien Standard in Deutschland; liefert Evidenz für Machbarkeit im älteren Setting.</w:t>
      </w:r>
    </w:p>
    <w:p>
      <w:r>
        <w:rPr>
          <w:color w:val="5A7D3A"/>
          <w:sz w:val="18"/>
        </w:rPr>
        <w:t>https://pubmed.ncbi.nlm.nih.gov/42673704/</w:t>
      </w:r>
    </w:p>
    <w:p>
      <w:pPr>
        <w:pStyle w:val="Heading2"/>
      </w:pPr>
      <w:r>
        <w:t>Diagnostische Zulassungs­pfade als unterschätzter Engpass: Real-World-Daten zeigen 129-Tage-Genehmigung für Biomarker-Tests überschreitet klinische Prüfungsanträge</w:t>
      </w:r>
    </w:p>
    <w:p>
      <w:r>
        <w:rPr>
          <w:i/>
          <w:color w:val="666666"/>
          <w:sz w:val="18"/>
        </w:rPr>
        <w:t>Hersey S et al.  ·  Eur J Cancer  ·  05.10.2026  ·  PMID 42664749</w:t>
      </w:r>
    </w:p>
    <w:p>
      <w:r>
        <w:t>Analyse 132 europäischer IVDR-2017/746-Anträge (PSA, Ethics-Committee) aus 18 EU-Ländern + 2 Nicht-EU-Ländern zu Genehmigungszeiten für Biomarker-Tests in Precision-Oncology-Trials.</w:t>
      </w:r>
    </w:p>
    <w:p>
      <w:r>
        <w:rPr>
          <w:b/>
        </w:rPr>
        <w:t xml:space="preserve">Ergebnis: </w:t>
      </w:r>
      <w:r>
        <w:t>Mittlere kombinierte Genehmigungszeit 129,4 Tage (Median 116,5); sequenziell eingereichte Anträge dauerten 139,97 Tage, parallele 121,11 Tage (15,6% länger, p = 0,041); Länder-Range 75,66–175 Tage; 24% der Studien zeigten signifikanten PFS-Benefit ohne OS-Vorteil; substantielle Länder-Variabilität in IVDR-Umsetzung.</w:t>
      </w:r>
    </w:p>
    <w:p>
      <w:r>
        <w:rPr>
          <w:b/>
          <w:sz w:val="19"/>
        </w:rPr>
        <w:t xml:space="preserve">Übertragbarkeit: </w:t>
      </w:r>
      <w:r>
        <w:rPr>
          <w:sz w:val="19"/>
        </w:rPr>
        <w:t>Europäischer Datensatz, 18 EU-Mitgliedstaaten; direktes Policy-Hindernis für deutsche Precision-Oncology-Trials.</w:t>
      </w:r>
    </w:p>
    <w:p>
      <w:r>
        <w:rPr>
          <w:color w:val="5A7D3A"/>
          <w:sz w:val="18"/>
        </w:rPr>
        <w:t>https://pubmed.ncbi.nlm.nih.gov/42664749/</w:t>
      </w:r>
    </w:p>
    <w:p>
      <w:pPr>
        <w:pStyle w:val="Heading1"/>
      </w:pPr>
      <w:r>
        <w:t>Aufgenommen am 10.09.2026</w:t>
      </w:r>
    </w:p>
    <w:p>
      <w:pPr>
        <w:pStyle w:val="Heading2"/>
      </w:pPr>
      <w:r>
        <w:t>LGsig-Klassifikation verbessert Therapievorhersage beim Diffusen großzelligen B-Zell-Lymphom</w:t>
      </w:r>
    </w:p>
    <w:p>
      <w:r>
        <w:rPr>
          <w:i/>
          <w:color w:val="666666"/>
          <w:sz w:val="18"/>
        </w:rPr>
        <w:t>Tumuluru S et al.  ·  J Clin Oncol  ·  09.09.2026  ·  PMID 42715516</w:t>
      </w:r>
    </w:p>
    <w:p>
      <w:r>
        <w:t>Eine neue Klassifikationsmethode (LGsig) integriert genetische und Genexpressions-Profile, um Patienten mit diffusem großzelligem B-Zell-Lymphom in biologisch relevante Subtypen einzuordnen und deren Ansprechen auf gezielte Therapien besser vorherzusagen.</w:t>
      </w:r>
    </w:p>
    <w:p>
      <w:r>
        <w:rPr>
          <w:b/>
        </w:rPr>
        <w:t xml:space="preserve">Ergebnis: </w:t>
      </w:r>
      <w:r>
        <w:t>LGsig klassifizierte alle DLBCL-Fälle, einschließlich zuvor unklassifizierbarer Tumoren. In der POLARIX-Studie zeigte sich ein signifikanter Überlebensvorteil für Patienten mit bestimmten LGsig-Subtypen unter Polatuzumab vedotin-R-CHP versus R-CHOP in sowohl genetisch klassifizierten als auch unklassifizierten Fällen.</w:t>
      </w:r>
    </w:p>
    <w:p>
      <w:r>
        <w:rPr>
          <w:b/>
          <w:sz w:val="19"/>
        </w:rPr>
        <w:t xml:space="preserve">Übertragbarkeit: </w:t>
      </w:r>
      <w:r>
        <w:rPr>
          <w:sz w:val="19"/>
        </w:rPr>
        <w:t>Plattformübergreifend einsetzbare Genexpressions-Technik; Anwendbarkeit auf archivale Proben erleichtert klinische Integration in deutschen Tumorzentren.</w:t>
      </w:r>
    </w:p>
    <w:p>
      <w:r>
        <w:rPr>
          <w:color w:val="5A7D3A"/>
          <w:sz w:val="18"/>
        </w:rPr>
        <w:t>https://pubmed.ncbi.nlm.nih.gov/42715516/</w:t>
      </w:r>
    </w:p>
    <w:p>
      <w:pPr>
        <w:pStyle w:val="Heading2"/>
      </w:pPr>
      <w:r>
        <w:t>NECTIN4-Scoring-System und Amplifikation vorhersagen Ansprechen auf Enfortumab vedotin beim Urothelkarzinom</w:t>
      </w:r>
    </w:p>
    <w:p>
      <w:r>
        <w:rPr>
          <w:i/>
          <w:color w:val="666666"/>
          <w:sz w:val="18"/>
        </w:rPr>
        <w:t>Klümper N et al.  ·  Clin Cancer Res  ·  09.09.2026  ·  PMID 42714834</w:t>
      </w:r>
    </w:p>
    <w:p>
      <w:r>
        <w:t>Eine deutsche und internationale Studie entwickelte ein kombiniertes Scoring-System, das NECTIN4-Gen-Amplifikation und membranöse Proteinexpression integriert, um Patienten mit metastasiertem Urothelkarzinom zu identifizieren, die von Enfortumab vedotin profitieren werden.</w:t>
      </w:r>
    </w:p>
    <w:p>
      <w:r>
        <w:rPr>
          <w:b/>
        </w:rPr>
        <w:t xml:space="preserve">Ergebnis: </w:t>
      </w:r>
      <w:r>
        <w:t>Das integrierte Drei-Strata-Modell (amplifiziert, nicht-amplifiziert/hohe membranöse Expression, nicht-amplifiziert/niedrige membranöse Expression) erreichte Ansprechquoten von 77,2%, 42,9% und 26,1% (p&lt;0,001). NECTIN4-amplierte Tumoren zeigten besonders günstige Ergebnisse (Progression-Free Survival 12,2 Monate, Overall Survival 30,1 Monate).</w:t>
      </w:r>
    </w:p>
    <w:p>
      <w:r>
        <w:rPr>
          <w:b/>
          <w:sz w:val="19"/>
        </w:rPr>
        <w:t xml:space="preserve">Übertragbarkeit: </w:t>
      </w:r>
      <w:r>
        <w:rPr>
          <w:sz w:val="19"/>
        </w:rPr>
        <w:t>Deutschlandweite Multizenterstudie mit 39 Zentren; direkt transferierbar auf Zertifizierungsanforderungen und Tumorboard-Entscheidungen.</w:t>
      </w:r>
    </w:p>
    <w:p>
      <w:r>
        <w:rPr>
          <w:color w:val="5A7D3A"/>
          <w:sz w:val="18"/>
        </w:rPr>
        <w:t>https://pubmed.ncbi.nlm.nih.gov/42714834/</w:t>
      </w:r>
    </w:p>
    <w:p>
      <w:pPr>
        <w:pStyle w:val="Heading2"/>
      </w:pPr>
      <w:r>
        <w:t>DEGRO-Empfehlungen zur Strahlentherapie des Merkelzellkarzinoms mit Fokus auf Hypofraktionierung</w:t>
      </w:r>
    </w:p>
    <w:p>
      <w:r>
        <w:rPr>
          <w:i/>
          <w:color w:val="666666"/>
          <w:sz w:val="18"/>
        </w:rPr>
        <w:t>Elsayad K et al.  ·  Strahlenther Onkol  ·  09.09.2026  ·  PMID 42714572</w:t>
      </w:r>
    </w:p>
    <w:p>
      <w:r>
        <w:t>Eine Arbeitsgruppe der Deutschen Gesellschaft für Radioonkologie (DEGRO) formulierte evidenzbasierte Empfehlungen zur Strahlentherapie von Merkelzellkarzinomen, einschließlich Optionen für moderate und ultrahypofraktionierte Regime.</w:t>
      </w:r>
    </w:p>
    <w:p>
      <w:r>
        <w:rPr>
          <w:b/>
        </w:rPr>
        <w:t xml:space="preserve">Ergebnis: </w:t>
      </w:r>
      <w:r>
        <w:t>Adjuvante Strahlentherapie nach Chirurgie sollte idealerweise innerhalb von 8 Wochen eingeleitet werden. Für Patienten mit Gebrechlichkeit oder Komorbiditäten sind kürzere, moderat-hypofraktionierte oder ultrahypofraktionierte Schemata wirksame Alternativen zur klassischen Fraktionierung. Die Kombination von Immuntherapie mit Strahlung wird als Schwerpunkt zukünftiger Forschung identifiziert.</w:t>
      </w:r>
    </w:p>
    <w:p>
      <w:r>
        <w:rPr>
          <w:b/>
          <w:sz w:val="19"/>
        </w:rPr>
        <w:t xml:space="preserve">Übertragbarkeit: </w:t>
      </w:r>
      <w:r>
        <w:rPr>
          <w:sz w:val="19"/>
        </w:rPr>
        <w:t>Deutsche Fachgesellschafts-Leitlinie; direkte Implementierbarkeit in Zertifizierungsprozesse und klinische Routine.</w:t>
      </w:r>
    </w:p>
    <w:p>
      <w:r>
        <w:rPr>
          <w:color w:val="5A7D3A"/>
          <w:sz w:val="18"/>
        </w:rPr>
        <w:t>https://pubmed.ncbi.nlm.nih.gov/42714572/</w:t>
      </w:r>
    </w:p>
    <w:p>
      <w:pPr>
        <w:pStyle w:val="Heading2"/>
      </w:pPr>
      <w:r>
        <w:t>Pembrolizumab-Olaparib verbessert Progression-Free Survival bei BRCA-wildtyp-Ovarialkarzinom um 29%</w:t>
      </w:r>
    </w:p>
    <w:p>
      <w:r>
        <w:rPr>
          <w:i/>
          <w:color w:val="666666"/>
          <w:sz w:val="18"/>
        </w:rPr>
        <w:t>Vergote I et al.  ·  Lancet Oncol  ·  07.09.2026  ·  PMID 42705254</w:t>
      </w:r>
    </w:p>
    <w:p>
      <w:r>
        <w:t>Eine internationale Phase-3-Studie (ENGOT-OV43) untersuchte Pembrolizumab plus Chemotherapie gefolgt von Pembrolizumab-Olaparib-Erhaltungstherapie versus Chemotherapie allein bei BRCA-wildtyp-fortgeschrittenem Ovarialkarzinom.</w:t>
      </w:r>
    </w:p>
    <w:p>
      <w:r>
        <w:rPr>
          <w:b/>
        </w:rPr>
        <w:t xml:space="preserve">Ergebnis: </w:t>
      </w:r>
      <w:r>
        <w:t>Pembrolizumab-Olaparib zeigte signifikante Verbesserung der Progression-Free Survival gegenüber Kontrolle in der CPS≥10-Population (Hazard Ratio 0,63; p&lt;0,0001) und in der Intention-to-treat-Population (HR 0,68; p&lt;0,0001), mit Erhaltung der Effekte beim finalen Follow-up nach median 49,6 Monaten (HR 0,71). Grade ≥3 Nebenwirkungen traten bei 66% der Pembrolizumab-Olaparib-Gruppe auf.</w:t>
      </w:r>
    </w:p>
    <w:p>
      <w:r>
        <w:rPr>
          <w:b/>
          <w:sz w:val="19"/>
        </w:rPr>
        <w:t xml:space="preserve">Übertragbarkeit: </w:t>
      </w:r>
      <w:r>
        <w:rPr>
          <w:sz w:val="19"/>
        </w:rPr>
        <w:t>Europäische und globale Studie mit vergleichbarer Patientenselektion; Registerzulassung und AMNOG-Bewertung folgen regulärem Prozess in Deutschland.</w:t>
      </w:r>
    </w:p>
    <w:p>
      <w:r>
        <w:rPr>
          <w:color w:val="5A7D3A"/>
          <w:sz w:val="18"/>
        </w:rPr>
        <w:t>https://pubmed.ncbi.nlm.nih.gov/42705254/</w:t>
      </w:r>
    </w:p>
    <w:p>
      <w:pPr>
        <w:pStyle w:val="Heading2"/>
      </w:pPr>
      <w:r>
        <w:t>snoRNA-abgeleitete RNAs steuern Stress-Resilienz in AML und erlauben Risikoschichtung</w:t>
      </w:r>
    </w:p>
    <w:p>
      <w:r>
        <w:rPr>
          <w:i/>
          <w:color w:val="666666"/>
          <w:sz w:val="18"/>
        </w:rPr>
        <w:t>Zinz R et al.  ·  Leukemia  ·  04.09.2026  ·  PMID 42697931</w:t>
      </w:r>
    </w:p>
    <w:p>
      <w:r>
        <w:t>Eine mechanistische Grundlagenstudie identifiziert snoRNA-abgeleitete RNAs (sdRNAs) als regulatorische Moleküle in akuter myeloischer Leukämie; hohe sd3'-RNA/snoRNA-Verhältnisse prognostizieren ungünstige Outcomes und könnten therapeutische Angriffspunkte darstellen.</w:t>
      </w:r>
    </w:p>
    <w:p>
      <w:r>
        <w:rPr>
          <w:b/>
        </w:rPr>
        <w:t xml:space="preserve">Ergebnis: </w:t>
      </w:r>
      <w:r>
        <w:t>Hochgradig sd3'-RNA-Verhältnisse waren mit inversem Patientenoutcome assoziiert. Insbesondere bei NPM1-mutierten Patienten mit günstiger Risikoklassifikation identifizierte ein hohes sd3'-RNA-Verhältnis eine Subgruppe mit inferiorem Ergebnis. Erzwungene Expression einzelner sdRNAs (sd3'-SNORD78, sd3'-SNORD76, sd5'-SNORD93) verstärkte die klonogene Potenz in AML-Zelllinien und primären HSPCs. NUDT21 wurde als nachgelagertes Ziel von sd3'-SNORD78 charakterisiert.</w:t>
      </w:r>
    </w:p>
    <w:p>
      <w:r>
        <w:rPr>
          <w:b/>
          <w:sz w:val="19"/>
        </w:rPr>
        <w:t xml:space="preserve">Übertragbarkeit: </w:t>
      </w:r>
      <w:r>
        <w:rPr>
          <w:sz w:val="19"/>
        </w:rPr>
        <w:t>Deutsche Multizenterstudie (Heidelberg, Kiel, Dresden, Frankfurt); Mechanismus öffnet Wege zu klinischen Interventionen in der AML-Stratifikation.</w:t>
      </w:r>
    </w:p>
    <w:p>
      <w:r>
        <w:rPr>
          <w:color w:val="5A7D3A"/>
          <w:sz w:val="18"/>
        </w:rPr>
        <w:t>https://pubmed.ncbi.nlm.nih.gov/42697931/</w:t>
      </w:r>
    </w:p>
    <w:p>
      <w:pPr>
        <w:pStyle w:val="Heading2"/>
      </w:pPr>
      <w:r>
        <w:t>Genomische Profilierung erhöht Progression-Free Survival beim Karzinom unbekannten Primärtumors um 38%</w:t>
      </w:r>
    </w:p>
    <w:p>
      <w:r>
        <w:rPr>
          <w:i/>
          <w:color w:val="666666"/>
          <w:sz w:val="18"/>
        </w:rPr>
        <w:t>Krämer A et al.  ·  J Clin Oncol  ·  03.09.2026  ·  PMID 42691436</w:t>
      </w:r>
    </w:p>
    <w:p>
      <w:r>
        <w:t>Die CUPISCO-Studie vergleicht molekular geführte Therapie basierend auf umfassender genomischer Profilierung mit Standardchemotherapie bei Patienten mit ungünstigem Karzinom unbekannten Primärtumors nach Initial-Chemotherapie-Ansprechen.</w:t>
      </w:r>
    </w:p>
    <w:p>
      <w:r>
        <w:rPr>
          <w:b/>
        </w:rPr>
        <w:t xml:space="preserve">Ergebnis: </w:t>
      </w:r>
      <w:r>
        <w:t>Molekular geführte Therapie (n=326) versus fortgesetzte Chemotherapie (n=110): mediane Progression-Free Survival 6,1 Monate (95%-KI 4,7–6,5) versus 4,4 Monate (KI 4,2–6,4; HR 0,75; p=0,017). Medianes Gesamtüberleben 15,2 Monate (KI 13,9–18,4) versus 12,8 Monate (KI 9,8–15,4; HR 0,79; p=0,069) nach &gt;3 Jahren Follow-up.</w:t>
      </w:r>
    </w:p>
    <w:p>
      <w:r>
        <w:rPr>
          <w:b/>
          <w:sz w:val="19"/>
        </w:rPr>
        <w:t xml:space="preserve">Übertragbarkeit: </w:t>
      </w:r>
      <w:r>
        <w:rPr>
          <w:sz w:val="19"/>
        </w:rPr>
        <w:t>Deutschlandweite Zentren beteiligt; Molekular-Tumorboard-Ansatz etabliert in deutschen Krebszentren.</w:t>
      </w:r>
    </w:p>
    <w:p>
      <w:r>
        <w:rPr>
          <w:color w:val="5A7D3A"/>
          <w:sz w:val="18"/>
        </w:rPr>
        <w:t>https://pubmed.ncbi.nlm.nih.gov/42691436/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Onkologie</dc:title>
  <dc:subject/>
  <dc:creator>Monitor Versorgungsforschung</dc:creator>
  <cp:keywords/>
  <dc:description>generated by python-docx</dc:description>
  <cp:lastModifiedBy/>
  <cp:revision>1</cp:revision>
  <dcterms:created xsi:type="dcterms:W3CDTF">2026-10-07T06:00:00Z</dcterms:created>
  <dcterms:modified xsi:type="dcterms:W3CDTF">2026-10-07T06:00:00Z</dcterms:modified>
  <cp:category/>
</cp:coreProperties>
</file>