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03.10.2026  |  6 Studien  |  onkologie.m-vf.de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Leitlinie Infektionsprophylaxe bei pädiatrischer Onkologie: aktualisierte Empfehlungen</w:t>
      </w:r>
    </w:p>
    <w:p>
      <w:r>
        <w:rPr>
          <w:i/>
          <w:color w:val="666666"/>
          <w:sz w:val="18"/>
        </w:rPr>
        <w:t>Morgan JE et al.  ·  J Clin Oncol  ·  02.10.2026  ·  PMID 42826360</w:t>
      </w:r>
    </w:p>
    <w:p>
      <w:r>
        <w:t>Systematische Überprüfung und Harmonisierung von Leitlinienempfehlungen zur antibakteriellen und antimykotischen Prophylaxe bei Kindern mit Krebs und nach Stammzelltransplantation.</w:t>
      </w:r>
    </w:p>
    <w:p>
      <w:r>
        <w:rPr>
          <w:b/>
        </w:rPr>
        <w:t xml:space="preserve">Ergebnis: </w:t>
      </w:r>
      <w:r>
        <w:t>Starke Empfehlung für Antifungal-Prophylaxe (Echinocandin oder Mold-active Azol) bei AML und allogener Transplantation; konditionale Empfehlung für Antibakteriell-Prophylaxe mit Levofloxacin bei AML und rezidivierter ALL. 13 neue randomisierte Studien seit 2019 identifiziert; insgesamt 195 Studien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europäische Systeme, international konsentiertes Vorgehen</w:t>
      </w:r>
    </w:p>
    <w:p>
      <w:r>
        <w:rPr>
          <w:color w:val="5A7D3A"/>
          <w:sz w:val="18"/>
        </w:rPr>
        <w:t>https://pubmed.ncbi.nlm.nih.gov/42826360/</w:t>
      </w:r>
    </w:p>
    <w:p>
      <w:pPr>
        <w:pStyle w:val="Heading2"/>
      </w:pPr>
      <w:r>
        <w:t>Pembrolizumab-GVD plus Stammzelltransplantation bei rezidiviertem Hodgkin-Lymphom: 5-Jahres-Follow-up</w:t>
      </w:r>
    </w:p>
    <w:p>
      <w:r>
        <w:rPr>
          <w:i/>
          <w:color w:val="666666"/>
          <w:sz w:val="18"/>
        </w:rPr>
        <w:t>Patel K et al.  ·  Blood  ·  08.09.2026  ·  PMID 42825495</w:t>
      </w:r>
    </w:p>
    <w:p>
      <w:r>
        <w:t>Phase-2-Studie bei transplantationsgeeigneten Patienten mit rezidiviertem/refraktärem Hodgkin-Lymphom: Pembrolizumab plus Gemcitabin/Vinorelbine/liposomales Doxorubicin gefolgt von Hochdosis-Chemotherapie mit autologer Stammzellrescue.</w:t>
      </w:r>
    </w:p>
    <w:p>
      <w:r>
        <w:rPr>
          <w:b/>
        </w:rPr>
        <w:t xml:space="preserve">Ergebnis: </w:t>
      </w:r>
      <w:r>
        <w:t>Komplettremissionsrate 95% nach bis zu 4 Zyklen Pembrolizumab-GVD. Nach Median 57 Monaten: geschätzte 5-Jahres-PFS 91%, Gesamtüberleben 94%. Nur 1 Rezidiv nach Protokoll-Therapie, 2 therapieassoziierte Todesfälle.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USA-basiert, aber intensive Chemotherapie + Immuntherapie + Transplantation ist in deutschen Zentren etabliert</w:t>
      </w:r>
    </w:p>
    <w:p>
      <w:r>
        <w:rPr>
          <w:color w:val="5A7D3A"/>
          <w:sz w:val="18"/>
        </w:rPr>
        <w:t>https://pubmed.ncbi.nlm.nih.gov/42825495/</w:t>
      </w:r>
    </w:p>
    <w:p>
      <w:pPr>
        <w:pStyle w:val="Heading2"/>
      </w:pPr>
      <w:r>
        <w:t>Tuberkulose-Netzwerk als Werkzeug für frühe Lungenkrebserkennung: Modell Brasilien</w:t>
      </w:r>
    </w:p>
    <w:p>
      <w:r>
        <w:rPr>
          <w:i/>
          <w:color w:val="666666"/>
          <w:sz w:val="18"/>
        </w:rPr>
        <w:t>Gruber K  ·  Lancet Oncol  ·  01.10.2026  ·  PMID 42822486</w:t>
      </w:r>
    </w:p>
    <w:p>
      <w:r>
        <w:t>Bericht über das Potenzial, bestehende Tuberkulose-Überwachungssysteme in Brasilien für die Frühdiagnose von Lungenkrebs zu nutzen.</w:t>
      </w:r>
    </w:p>
    <w:p>
      <w:r>
        <w:rPr>
          <w:b/>
        </w:rPr>
        <w:t xml:space="preserve">Ergebnis: </w:t>
      </w:r>
      <w:r>
        <w:t>TB-Netzwerk mit etablierten Screening- und Diagnostik-Strukturen könnte Lungenkrebserkennung beschleunigen; bisherige Aktivitäten und Barrieren werden erörtert, ohne quantitative Endpunkte.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Niedrig-Ressourcen-Länder, für Deutschland ohne unmittelbare Anwendung</w:t>
      </w:r>
    </w:p>
    <w:p>
      <w:r>
        <w:rPr>
          <w:color w:val="5A7D3A"/>
          <w:sz w:val="18"/>
        </w:rPr>
        <w:t>https://pubmed.ncbi.nlm.nih.gov/42822486/</w:t>
      </w:r>
    </w:p>
    <w:p>
      <w:pPr>
        <w:pStyle w:val="Heading2"/>
      </w:pPr>
      <w:r>
        <w:t>Androgen-Rezeptor-Inhibitoren bessern PFS bei metastasiertem hormonsensitivem Prostatakarzinom</w:t>
      </w:r>
    </w:p>
    <w:p>
      <w:r>
        <w:rPr>
          <w:i/>
          <w:color w:val="666666"/>
          <w:sz w:val="18"/>
        </w:rPr>
        <w:t>Nwogu IB et al.  ·  JCO Oncol Pract  ·  01.10.2026  ·  PMID 42821836</w:t>
      </w:r>
    </w:p>
    <w:p>
      <w:r>
        <w:t>Real-World-Vergleichsstudie von Abiraterone, Apalutamide, Enzalutamide und Docetaxel je mit ADT bei metastasiertem hormonsensitivem Prostatakarzinom (mHSPC) in den USA 2019–2023.</w:t>
      </w:r>
    </w:p>
    <w:p>
      <w:r>
        <w:rPr>
          <w:b/>
        </w:rPr>
        <w:t xml:space="preserve">Ergebnis: </w:t>
      </w:r>
      <w:r>
        <w:t>Unter 9.141 Männern: ARPI-Dubletten zeigten gegenüber Docetaxel-Dubletten überlegene PFS (Abiraterone: aHR 0,60 [95% CI 0,55–0,66]; Apalutamide: aHR 0,64; Enzalutamide: aHR 0,57). Gesamtüberleben vergleichbar. TTP und Zeit bis neue Therapie ebenfalls besser unter ARPIs. Keine Unterschiede zwischen den ARPIs.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unterschiedlicher Finanzierung, Ergebnis (ARPI-Überlegenheit) ist aber geräteunabhängig übertragbar</w:t>
      </w:r>
    </w:p>
    <w:p>
      <w:r>
        <w:rPr>
          <w:color w:val="5A7D3A"/>
          <w:sz w:val="18"/>
        </w:rPr>
        <w:t>https://pubmed.ncbi.nlm.nih.gov/42821836/</w:t>
      </w:r>
    </w:p>
    <w:p>
      <w:pPr>
        <w:pStyle w:val="Heading2"/>
      </w:pPr>
      <w:r>
        <w:t>Platinchemoresistentes Ovarialkarzinom: Behandlungsintensivierung verbessert Remissionsraten</w:t>
      </w:r>
    </w:p>
    <w:p>
      <w:r>
        <w:rPr>
          <w:i/>
          <w:color w:val="666666"/>
          <w:sz w:val="18"/>
        </w:rPr>
        <w:t>You B et al.  ·  JAMA Oncol  ·  01.10.2026  ·  PMID 42821287</w:t>
      </w:r>
    </w:p>
    <w:p>
      <w:r>
        <w:t>Systematische Übersicht über Strategien zur Chemosensitivierung bei schlecht chemosensitivem fortgeschrittenem serösen Ovarialkarzinom anhand von retrospektiven Post-hoc-Analysen prospektiver Phase-3-Studien.</w:t>
      </w:r>
    </w:p>
    <w:p>
      <w:r>
        <w:rPr>
          <w:b/>
        </w:rPr>
        <w:t xml:space="preserve">Ergebnis: </w:t>
      </w:r>
      <w:r>
        <w:t>Wöchentlich dosiertes Paclitaxel zeigte in der "2 red flags"-Subgruppe (schlechte Chemosensitivität) der ICON-8-Studie verbesserte Überlebensergebnisse. Bevacizumab addiert zu neoadjuvanter Chemotherapie oder Standardchemotherapie: Überlebenssignale in hochrisiko- und schlecht chemosensitiven Subgruppen. Phase-3-Studien SALVOVAR und Phase-1/2-Studie RegeNovar laufen prospektiv.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Studienstandorte und ESMO-Guidelines, Therapiesequenzierung in deutschen Tumorzentren relevant</w:t>
      </w:r>
    </w:p>
    <w:p>
      <w:r>
        <w:rPr>
          <w:color w:val="5A7D3A"/>
          <w:sz w:val="18"/>
        </w:rPr>
        <w:t>https://pubmed.ncbi.nlm.nih.gov/42821287/</w:t>
      </w:r>
    </w:p>
    <w:p>
      <w:pPr>
        <w:pStyle w:val="Heading2"/>
      </w:pPr>
      <w:r>
        <w:t>Genomische Instabilität treibt gegensätzliche Immunantworten: Mechanismus für Immuntherapie-Resistenz</w:t>
      </w:r>
    </w:p>
    <w:p>
      <w:r>
        <w:rPr>
          <w:i/>
          <w:color w:val="666666"/>
          <w:sz w:val="18"/>
        </w:rPr>
        <w:t>Alouani E et al.  ·  Cancer Discov  ·  01.10.2026  ·  PMID 42817715</w:t>
      </w:r>
    </w:p>
    <w:p>
      <w:r>
        <w:t>Übersichtsarbeit zu zwei Formen genomischer Instabilität: Mutationsinstabilität versus Chromosomeninstabilität und deren gegensätzliche Effekte auf Tumor-Immunität.</w:t>
      </w:r>
    </w:p>
    <w:p>
      <w:r>
        <w:rPr>
          <w:b/>
        </w:rPr>
        <w:t xml:space="preserve">Ergebnis: </w:t>
      </w:r>
      <w:r>
        <w:t>Hypermutierte Tumoren generieren Neoantigene und sind sensibel für Checkpoint-Blockade. Chromosomeninstabilität triggert chronische angeborene Immunaktivierung mit Immunsuppression durch Myeloid- und T-Zell-Dysfunktion. Diese gegensätzlichen Mechanismen erfordern unterschiedliche Immuntherapie-Strategien.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Grundlagenarbeit zur Immuntherapie-Resistenz, Basis für Stratifizierungsansätze in der Praxis</w:t>
      </w:r>
    </w:p>
    <w:p>
      <w:r>
        <w:rPr>
          <w:color w:val="5A7D3A"/>
          <w:sz w:val="18"/>
        </w:rPr>
        <w:t>https://pubmed.ncbi.nlm.nih.gov/42817715/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