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Onkologie</w:t>
      </w:r>
    </w:p>
    <w:p>
      <w:r>
        <w:rPr>
          <w:i/>
          <w:color w:val="666666"/>
          <w:sz w:val="18"/>
        </w:rPr>
        <w:t>Stand: 03.10.2026  |  151 Studien  |  onkologie.m-vf.de</w:t>
      </w:r>
    </w:p>
    <w:p>
      <w:pPr>
        <w:pStyle w:val="Heading1"/>
      </w:pPr>
      <w:r>
        <w:t>Aufgenommen am 03.10.2026</w:t>
      </w:r>
    </w:p>
    <w:p>
      <w:pPr>
        <w:pStyle w:val="Heading2"/>
      </w:pPr>
      <w:r>
        <w:t>Leitlinie Infektionsprophylaxe bei pädiatrischer Onkologie: aktualisierte Empfehlungen</w:t>
      </w:r>
    </w:p>
    <w:p>
      <w:r>
        <w:rPr>
          <w:i/>
          <w:color w:val="666666"/>
          <w:sz w:val="18"/>
        </w:rPr>
        <w:t>Morgan JE et al.  ·  J Clin Oncol  ·  02.10.2026  ·  PMID 42826360</w:t>
      </w:r>
    </w:p>
    <w:p>
      <w:r>
        <w:t>Systematische Überprüfung und Harmonisierung von Leitlinienempfehlungen zur antibakteriellen und antimykotischen Prophylaxe bei Kindern mit Krebs und nach Stammzelltransplantation.</w:t>
      </w:r>
    </w:p>
    <w:p>
      <w:r>
        <w:rPr>
          <w:b/>
        </w:rPr>
        <w:t xml:space="preserve">Ergebnis: </w:t>
      </w:r>
      <w:r>
        <w:t>Starke Empfehlung für Antifungal-Prophylaxe (Echinocandin oder Mold-active Azol) bei AML und allogener Transplantation; konditionale Empfehlung für Antibakteriell-Prophylaxe mit Levofloxacin bei AML und rezidivierter ALL. 13 neue randomisierte Studien seit 2019 identifiziert; insgesamt 195 Studien berücksichtigt.</w:t>
      </w:r>
    </w:p>
    <w:p>
      <w:r>
        <w:rPr>
          <w:b/>
          <w:sz w:val="19"/>
        </w:rPr>
        <w:t xml:space="preserve">Übertragbarkeit: </w:t>
      </w:r>
      <w:r>
        <w:rPr>
          <w:sz w:val="19"/>
        </w:rPr>
        <w:t>Deutschland und europäische Systeme, international konsentiertes Vorgehen</w:t>
      </w:r>
    </w:p>
    <w:p>
      <w:r>
        <w:rPr>
          <w:color w:val="5A7D3A"/>
          <w:sz w:val="18"/>
        </w:rPr>
        <w:t>https://pubmed.ncbi.nlm.nih.gov/42826360/</w:t>
      </w:r>
    </w:p>
    <w:p>
      <w:pPr>
        <w:pStyle w:val="Heading2"/>
      </w:pPr>
      <w:r>
        <w:t>Pembrolizumab-GVD plus Stammzelltransplantation bei rezidiviertem Hodgkin-Lymphom: 5-Jahres-Follow-up</w:t>
      </w:r>
    </w:p>
    <w:p>
      <w:r>
        <w:rPr>
          <w:i/>
          <w:color w:val="666666"/>
          <w:sz w:val="18"/>
        </w:rPr>
        <w:t>Patel K et al.  ·  Blood  ·  08.09.2026  ·  PMID 42825495</w:t>
      </w:r>
    </w:p>
    <w:p>
      <w:r>
        <w:t>Phase-2-Studie bei transplantationsgeeigneten Patienten mit rezidiviertem/refraktärem Hodgkin-Lymphom: Pembrolizumab plus Gemcitabin/Vinorelbine/liposomales Doxorubicin gefolgt von Hochdosis-Chemotherapie mit autologer Stammzellrescue.</w:t>
      </w:r>
    </w:p>
    <w:p>
      <w:r>
        <w:rPr>
          <w:b/>
        </w:rPr>
        <w:t xml:space="preserve">Ergebnis: </w:t>
      </w:r>
      <w:r>
        <w:t>Komplettremissionsrate 95% nach bis zu 4 Zyklen Pembrolizumab-GVD. Nach Median 57 Monaten: geschätzte 5-Jahres-PFS 91%, Gesamtüberleben 94%. Nur 1 Rezidiv nach Protokoll-Therapie, 2 therapieassoziierte Todesfälle. Keine neuen Sicherheitssignale.</w:t>
      </w:r>
    </w:p>
    <w:p>
      <w:r>
        <w:rPr>
          <w:b/>
          <w:sz w:val="19"/>
        </w:rPr>
        <w:t xml:space="preserve">Übertragbarkeit: </w:t>
      </w:r>
      <w:r>
        <w:rPr>
          <w:sz w:val="19"/>
        </w:rPr>
        <w:t>USA-basiert, aber intensive Chemotherapie + Immuntherapie + Transplantation ist in deutschen Zentren etabliert</w:t>
      </w:r>
    </w:p>
    <w:p>
      <w:r>
        <w:rPr>
          <w:color w:val="5A7D3A"/>
          <w:sz w:val="18"/>
        </w:rPr>
        <w:t>https://pubmed.ncbi.nlm.nih.gov/42825495/</w:t>
      </w:r>
    </w:p>
    <w:p>
      <w:pPr>
        <w:pStyle w:val="Heading2"/>
      </w:pPr>
      <w:r>
        <w:t>Tuberkulose-Netzwerk als Werkzeug für frühe Lungenkrebserkennung: Modell Brasilien</w:t>
      </w:r>
    </w:p>
    <w:p>
      <w:r>
        <w:rPr>
          <w:i/>
          <w:color w:val="666666"/>
          <w:sz w:val="18"/>
        </w:rPr>
        <w:t>Gruber K  ·  Lancet Oncol  ·  01.10.2026  ·  PMID 42822486</w:t>
      </w:r>
    </w:p>
    <w:p>
      <w:r>
        <w:t>Bericht über das Potenzial, bestehende Tuberkulose-Überwachungssysteme in Brasilien für die Frühdiagnose von Lungenkrebs zu nutzen.</w:t>
      </w:r>
    </w:p>
    <w:p>
      <w:r>
        <w:rPr>
          <w:b/>
        </w:rPr>
        <w:t xml:space="preserve">Ergebnis: </w:t>
      </w:r>
      <w:r>
        <w:t>TB-Netzwerk mit etablierten Screening- und Diagnostik-Strukturen könnte Lungenkrebserkennung beschleunigen; bisherige Aktivitäten und Barrieren werden erörtert, ohne quantitative Endpunkte.</w:t>
      </w:r>
    </w:p>
    <w:p>
      <w:r>
        <w:rPr>
          <w:b/>
          <w:sz w:val="19"/>
        </w:rPr>
        <w:t xml:space="preserve">Übertragbarkeit: </w:t>
      </w:r>
      <w:r>
        <w:rPr>
          <w:sz w:val="19"/>
        </w:rPr>
        <w:t>Niedrig-Ressourcen-Länder, für Deutschland ohne unmittelbare Anwendung</w:t>
      </w:r>
    </w:p>
    <w:p>
      <w:r>
        <w:rPr>
          <w:color w:val="5A7D3A"/>
          <w:sz w:val="18"/>
        </w:rPr>
        <w:t>https://pubmed.ncbi.nlm.nih.gov/42822486/</w:t>
      </w:r>
    </w:p>
    <w:p>
      <w:pPr>
        <w:pStyle w:val="Heading2"/>
      </w:pPr>
      <w:r>
        <w:t>Androgen-Rezeptor-Inhibitoren bessern PFS bei metastasiertem hormonsensitivem Prostatakarzinom</w:t>
      </w:r>
    </w:p>
    <w:p>
      <w:r>
        <w:rPr>
          <w:i/>
          <w:color w:val="666666"/>
          <w:sz w:val="18"/>
        </w:rPr>
        <w:t>Nwogu IB et al.  ·  JCO Oncol Pract  ·  01.10.2026  ·  PMID 42821836</w:t>
      </w:r>
    </w:p>
    <w:p>
      <w:r>
        <w:t>Real-World-Vergleichsstudie von Abiraterone, Apalutamide, Enzalutamide und Docetaxel je mit ADT bei metastasiertem hormonsensitivem Prostatakarzinom (mHSPC) in den USA 2019–2023.</w:t>
      </w:r>
    </w:p>
    <w:p>
      <w:r>
        <w:rPr>
          <w:b/>
        </w:rPr>
        <w:t xml:space="preserve">Ergebnis: </w:t>
      </w:r>
      <w:r>
        <w:t>Unter 9.141 Männern: ARPI-Dubletten zeigten gegenüber Docetaxel-Dubletten überlegene PFS (Abiraterone: aHR 0,60 [95% CI 0,55–0,66]; Apalutamide: aHR 0,64; Enzalutamide: aHR 0,57). Gesamtüberleben vergleichbar. TTP und Zeit bis neue Therapie ebenfalls besser unter ARPIs. Keine Unterschiede zwischen den ARPIs.</w:t>
      </w:r>
    </w:p>
    <w:p>
      <w:r>
        <w:rPr>
          <w:b/>
          <w:sz w:val="19"/>
        </w:rPr>
        <w:t xml:space="preserve">Übertragbarkeit: </w:t>
      </w:r>
      <w:r>
        <w:rPr>
          <w:sz w:val="19"/>
        </w:rPr>
        <w:t>USA-Gesundheitssystem mit unterschiedlicher Finanzierung, Ergebnis (ARPI-Überlegenheit) ist aber geräteunabhängig übertragbar</w:t>
      </w:r>
    </w:p>
    <w:p>
      <w:r>
        <w:rPr>
          <w:color w:val="5A7D3A"/>
          <w:sz w:val="18"/>
        </w:rPr>
        <w:t>https://pubmed.ncbi.nlm.nih.gov/42821836/</w:t>
      </w:r>
    </w:p>
    <w:p>
      <w:pPr>
        <w:pStyle w:val="Heading2"/>
      </w:pPr>
      <w:r>
        <w:t>Platinchemoresistentes Ovarialkarzinom: Behandlungsintensivierung verbessert Remissionsraten</w:t>
      </w:r>
    </w:p>
    <w:p>
      <w:r>
        <w:rPr>
          <w:i/>
          <w:color w:val="666666"/>
          <w:sz w:val="18"/>
        </w:rPr>
        <w:t>You B et al.  ·  JAMA Oncol  ·  01.10.2026  ·  PMID 42821287</w:t>
      </w:r>
    </w:p>
    <w:p>
      <w:r>
        <w:t>Systematische Übersicht über Strategien zur Chemosensitivierung bei schlecht chemosensitivem fortgeschrittenem serösen Ovarialkarzinom anhand von retrospektiven Post-hoc-Analysen prospektiver Phase-3-Studien.</w:t>
      </w:r>
    </w:p>
    <w:p>
      <w:r>
        <w:rPr>
          <w:b/>
        </w:rPr>
        <w:t xml:space="preserve">Ergebnis: </w:t>
      </w:r>
      <w:r>
        <w:t>Wöchentlich dosiertes Paclitaxel zeigte in der "2 red flags"-Subgruppe (schlechte Chemosensitivität) der ICON-8-Studie verbesserte Überlebensergebnisse. Bevacizumab addiert zu neoadjuvanter Chemotherapie oder Standardchemotherapie: Überlebenssignale in hochrisiko- und schlecht chemosensitiven Subgruppen. Phase-3-Studien SALVOVAR und Phase-1/2-Studie RegeNovar laufen prospektiv.</w:t>
      </w:r>
    </w:p>
    <w:p>
      <w:r>
        <w:rPr>
          <w:b/>
          <w:sz w:val="19"/>
        </w:rPr>
        <w:t xml:space="preserve">Übertragbarkeit: </w:t>
      </w:r>
      <w:r>
        <w:rPr>
          <w:sz w:val="19"/>
        </w:rPr>
        <w:t>Europäische Studienstandorte und ESMO-Guidelines, Therapiesequenzierung in deutschen Tumorzentren relevant</w:t>
      </w:r>
    </w:p>
    <w:p>
      <w:r>
        <w:rPr>
          <w:color w:val="5A7D3A"/>
          <w:sz w:val="18"/>
        </w:rPr>
        <w:t>https://pubmed.ncbi.nlm.nih.gov/42821287/</w:t>
      </w:r>
    </w:p>
    <w:p>
      <w:pPr>
        <w:pStyle w:val="Heading2"/>
      </w:pPr>
      <w:r>
        <w:t>Genomische Instabilität treibt gegensätzliche Immunantworten: Mechanismus für Immuntherapie-Resistenz</w:t>
      </w:r>
    </w:p>
    <w:p>
      <w:r>
        <w:rPr>
          <w:i/>
          <w:color w:val="666666"/>
          <w:sz w:val="18"/>
        </w:rPr>
        <w:t>Alouani E et al.  ·  Cancer Discov  ·  01.10.2026  ·  PMID 42817715</w:t>
      </w:r>
    </w:p>
    <w:p>
      <w:r>
        <w:t>Übersichtsarbeit zu zwei Formen genomischer Instabilität: Mutationsinstabilität versus Chromosomeninstabilität und deren gegensätzliche Effekte auf Tumor-Immunität.</w:t>
      </w:r>
    </w:p>
    <w:p>
      <w:r>
        <w:rPr>
          <w:b/>
        </w:rPr>
        <w:t xml:space="preserve">Ergebnis: </w:t>
      </w:r>
      <w:r>
        <w:t>Hypermutierte Tumoren generieren Neoantigene und sind sensibel für Checkpoint-Blockade. Chromosomeninstabilität triggert chronische angeborene Immunaktivierung mit Immunsuppression durch Myeloid- und T-Zell-Dysfunktion. Diese gegensätzlichen Mechanismen erfordern unterschiedliche Immuntherapie-Strategien.</w:t>
      </w:r>
    </w:p>
    <w:p>
      <w:r>
        <w:rPr>
          <w:b/>
          <w:sz w:val="19"/>
        </w:rPr>
        <w:t xml:space="preserve">Übertragbarkeit: </w:t>
      </w:r>
      <w:r>
        <w:rPr>
          <w:sz w:val="19"/>
        </w:rPr>
        <w:t>Grundlagenarbeit zur Immuntherapie-Resistenz, Basis für Stratifizierungsansätze in der Praxis</w:t>
      </w:r>
    </w:p>
    <w:p>
      <w:r>
        <w:rPr>
          <w:color w:val="5A7D3A"/>
          <w:sz w:val="18"/>
        </w:rPr>
        <w:t>https://pubmed.ncbi.nlm.nih.gov/42817715/</w:t>
      </w:r>
    </w:p>
    <w:p>
      <w:pPr>
        <w:pStyle w:val="Heading1"/>
      </w:pPr>
      <w:r>
        <w:t>Aufgenommen am 02.10.2026</w:t>
      </w:r>
    </w:p>
    <w:p>
      <w:pPr>
        <w:pStyle w:val="Heading2"/>
      </w:pPr>
      <w:r>
        <w:t>Stereotaktische MRT-gesteuerte adaptive Strahlentherapie verbessert Lokalkontrolle bei fortgeschrittenem Pankreaskarzinom</w:t>
      </w:r>
    </w:p>
    <w:p>
      <w:r>
        <w:rPr>
          <w:i/>
          <w:color w:val="666666"/>
          <w:sz w:val="18"/>
        </w:rPr>
        <w:t>Hartfelt PB et al.  ·  Radiother Oncol  ·  01.10.2026  ·  PMID 42822782</w:t>
      </w:r>
    </w:p>
    <w:p>
      <w:r>
        <w:t>Prospektive Studie zur MRT-gesteuerten adaptiven Strahlentherapie (SMART) bei 118 Patienten mit lokal fortgeschrittenem Pankreaskarzinom (50 Gy/5 Fraktionen).</w:t>
      </w:r>
    </w:p>
    <w:p>
      <w:r>
        <w:rPr>
          <w:b/>
        </w:rPr>
        <w:t xml:space="preserve">Ergebnis: </w:t>
      </w:r>
      <w:r>
        <w:t>Medianes Gesamtüberleben 13,2 Monate ab Therapiestart (95%-CI 10,4–15,9), 2-Jahres-Überleben 23,9%. Lokale Progression bei 15,0% nach 1 Jahr und 22,2% nach 2 Jahren. Akute Grad-≥III-Toxizität bei 5,4%, späte bei 3,2%. Fernprogression war dominantes Versagensmus ter.</w:t>
      </w:r>
    </w:p>
    <w:p>
      <w:r>
        <w:rPr>
          <w:b/>
          <w:sz w:val="19"/>
        </w:rPr>
        <w:t xml:space="preserve">Übertragbarkeit: </w:t>
      </w:r>
      <w:r>
        <w:rPr>
          <w:sz w:val="19"/>
        </w:rPr>
        <w:t>Dänemark (Odense), vergleichbares europäisches Gesundheitssystem, Technologie in deutschen Zentren verfügbar.</w:t>
      </w:r>
    </w:p>
    <w:p>
      <w:r>
        <w:rPr>
          <w:color w:val="5A7D3A"/>
          <w:sz w:val="18"/>
        </w:rPr>
        <w:t>https://pubmed.ncbi.nlm.nih.gov/42822782/</w:t>
      </w:r>
    </w:p>
    <w:p>
      <w:pPr>
        <w:pStyle w:val="Heading2"/>
      </w:pPr>
      <w:r>
        <w:t>Hohe SMAD4-Expression prognostiziert besseres Überleben nach Pankreaskarzinom-Resektion</w:t>
      </w:r>
    </w:p>
    <w:p>
      <w:r>
        <w:rPr>
          <w:i/>
          <w:color w:val="666666"/>
          <w:sz w:val="18"/>
        </w:rPr>
        <w:t>Williams TM et al.  ·  Int J Radiat Oncol Biol Phys  ·  01.10.2026  ·  PMID 42822544</w:t>
      </w:r>
    </w:p>
    <w:p>
      <w:r>
        <w:t>Biomarker-Analyse von 141 Tumorproben aus der Phase-III-Studie RTOG 9704 zur SMAD4-Expression und Überleben nach adjuvanter Chemoradiotherapie.</w:t>
      </w:r>
    </w:p>
    <w:p>
      <w:r>
        <w:rPr>
          <w:b/>
        </w:rPr>
        <w:t xml:space="preserve">Ergebnis: </w:t>
      </w:r>
      <w:r>
        <w:t>Hohe SMAD4-Expression assoziiert mit verbessertem rezidivfreiem Überleben (HR 0,68, 95%-CI 0,48–0,97, p=0,03) und Gesamtüberleben (HR 0,69, 95%-CI 0,48–0,99, p=0,04). Fernmetastasen-Risiko gesenkt (HR 0,69, p=0,048). Multivariable Analyse bestätigte unabhängige Assoziation für rezidivfreies Überleben (HR 0,66, p=0,03) und Fernmetastasen (HR 0,68, p=0,052).</w:t>
      </w:r>
    </w:p>
    <w:p>
      <w:r>
        <w:rPr>
          <w:b/>
          <w:sz w:val="19"/>
        </w:rPr>
        <w:t xml:space="preserve">Übertragbarkeit: </w:t>
      </w:r>
      <w:r>
        <w:rPr>
          <w:sz w:val="19"/>
        </w:rPr>
        <w:t>USA, Biomarker-Definition auf deutsche Pankreaskarzinom-Patienten übertragbar, Prognose-Stratifizierung möglich.</w:t>
      </w:r>
    </w:p>
    <w:p>
      <w:r>
        <w:rPr>
          <w:color w:val="5A7D3A"/>
          <w:sz w:val="18"/>
        </w:rPr>
        <w:t>https://pubmed.ncbi.nlm.nih.gov/42822544/</w:t>
      </w:r>
    </w:p>
    <w:p>
      <w:pPr>
        <w:pStyle w:val="Heading2"/>
      </w:pPr>
      <w:r>
        <w:t>Immuntherapie vor Lebertransplantation senkt Rezidivrisiko bei Hepatozellulärkarzinom</w:t>
      </w:r>
    </w:p>
    <w:p>
      <w:r>
        <w:rPr>
          <w:i/>
          <w:color w:val="666666"/>
          <w:sz w:val="18"/>
        </w:rPr>
        <w:t>Ong M et al.  ·  JAMA Oncol  ·  01.10.2026  ·  PMID 42821267</w:t>
      </w:r>
    </w:p>
    <w:p>
      <w:r>
        <w:t>Retrospektive Matched-Cohort-Studie mit 416 Patienten zur ICI-basierten Downstaging-Therapie vor Lebertransplantation bei initial über Milan-Kriterien liegendem Hepatozellulärkarzinom in acht hochvolumigen chinesischen Transplantationszentren.</w:t>
      </w:r>
    </w:p>
    <w:p>
      <w:r>
        <w:rPr>
          <w:b/>
        </w:rPr>
        <w:t xml:space="preserve">Ergebnis: </w:t>
      </w:r>
      <w:r>
        <w:t>Medianes Gesamtüberleben 4,57 Jahre (ICI-Gruppe, 95%-CI 4,34-n.e.) vs. 2,53 Jahre (Kontrollgruppe, p&lt;0,001). Medianes rezidivfreies Überleben 1,47 Jahre vs. 0,89 Jahre (p=0,02). Postoperatives Rezidivrisiko: HR 0,54 (95%-CI 0,40–0,72). Akute Abstoßung häufiger in ICI-Gruppe (16,3% vs. 8,2%, p=0,01).</w:t>
      </w:r>
    </w:p>
    <w:p>
      <w:r>
        <w:rPr>
          <w:b/>
          <w:sz w:val="19"/>
        </w:rPr>
        <w:t xml:space="preserve">Übertragbarkeit: </w:t>
      </w:r>
      <w:r>
        <w:rPr>
          <w:sz w:val="19"/>
        </w:rPr>
        <w:t>Studiendesign auf europäische Transplantationszentren übertragbar, aber China-spezifische Organverfügbarkeit und Immunsuppression – Sicherheit vor Wirksamkeit klären.</w:t>
      </w:r>
    </w:p>
    <w:p>
      <w:r>
        <w:rPr>
          <w:color w:val="5A7D3A"/>
          <w:sz w:val="18"/>
        </w:rPr>
        <w:t>https://pubmed.ncbi.nlm.nih.gov/42821267/</w:t>
      </w:r>
    </w:p>
    <w:p>
      <w:pPr>
        <w:pStyle w:val="Heading2"/>
      </w:pPr>
      <w:r>
        <w:t>Immuntherapie in der Pädiatrie reduziert Spätfolgen-Mortalität beim Hodgkin-Lymphom</w:t>
      </w:r>
    </w:p>
    <w:p>
      <w:r>
        <w:rPr>
          <w:i/>
          <w:color w:val="666666"/>
          <w:sz w:val="18"/>
        </w:rPr>
        <w:t>Rogers JR et al.  ·  J Natl Cancer Inst  ·  01.10.2026  ·  PMID 42820770</w:t>
      </w:r>
    </w:p>
    <w:p>
      <w:r>
        <w:t>Simulationsmodell zur Lebenszeitprognose von 118 Kindern und Adoleszenten mit fortgeschrittenem Hodgkin-Lymphom unter modernen Brentuximab-vedotin- oder Nivolumab-Regimen vs. historischen Chemotherapie-Schemata.</w:t>
      </w:r>
    </w:p>
    <w:p>
      <w:r>
        <w:rPr>
          <w:b/>
        </w:rPr>
        <w:t xml:space="preserve">Ergebnis: </w:t>
      </w:r>
      <w:r>
        <w:t>Überlebensrate im Alter von 50 Jahren: 86% nach historischen und 92–93% nach modernen Immuntherapie-basierten Regimen (vs. 100% in Allgemeinbevölkerung). Überlebensvorteil persistiert, solange immuntherapie-assoziierte Spätsterblichkeit unter ca. 8% bleibt. Modell suggeriert Reduktion der Spätfolge-Last trotz Überlebensvorteil.</w:t>
      </w:r>
    </w:p>
    <w:p>
      <w:r>
        <w:rPr>
          <w:b/>
          <w:sz w:val="19"/>
        </w:rPr>
        <w:t xml:space="preserve">Übertragbarkeit: </w:t>
      </w:r>
      <w:r>
        <w:rPr>
          <w:sz w:val="19"/>
        </w:rPr>
        <w:t>USA-basiert, aber Endpunkt (Langzeitüberleben, Spätfolgen) tumorentitäts- und systemunabhängig.</w:t>
      </w:r>
    </w:p>
    <w:p>
      <w:r>
        <w:rPr>
          <w:color w:val="5A7D3A"/>
          <w:sz w:val="18"/>
        </w:rPr>
        <w:t>https://pubmed.ncbi.nlm.nih.gov/42820770/</w:t>
      </w:r>
    </w:p>
    <w:p>
      <w:pPr>
        <w:pStyle w:val="Heading2"/>
      </w:pPr>
      <w:r>
        <w:t>Onkolytisches Adenovirus mit Hyaluronidase verbessert Überleben bei metastasiertem Pankreaskarzinom</w:t>
      </w:r>
    </w:p>
    <w:p>
      <w:r>
        <w:rPr>
          <w:i/>
          <w:color w:val="666666"/>
          <w:sz w:val="18"/>
        </w:rPr>
        <w:t>Garcia-Carbonero R et al.  ·  Nat Med  ·  30.09.2026  ·  PMID 42816596</w:t>
      </w:r>
    </w:p>
    <w:p>
      <w:r>
        <w:t>Randomisierte Phase-2b-Studie mit 101 Patienten (53 VCN-01+Gemcitabin/nab-Paclitaxel, 48 Chemotherapie allein) zur First-Line-Therapie des metastasierten Pankreaskarzinoms.</w:t>
      </w:r>
    </w:p>
    <w:p>
      <w:r>
        <w:rPr>
          <w:b/>
        </w:rPr>
        <w:t xml:space="preserve">Ergebnis: </w:t>
      </w:r>
      <w:r>
        <w:t>Medianes Gesamtüberleben in Full-Analysis-Set: 10,8 Monate (VCN-01-Gruppe) vs. 8,6 Monate (Kontrolle; HR 0,57, 95%-CI 0,34–0,96, p=0,055). Progressionsfreies Überleben 7,0 vs. 4,6 Monate (HR 0,55, p=0,011). 15-Monats-Überleben 35,5% vs. 12,8%, 18-Monats-Überleben 31,1% vs. 8,5%. Ansprechdauer 11,2 vs. 5,4 Monate (p=0,004).</w:t>
      </w:r>
    </w:p>
    <w:p>
      <w:r>
        <w:rPr>
          <w:b/>
          <w:sz w:val="19"/>
        </w:rPr>
        <w:t xml:space="preserve">Übertragbarkeit: </w:t>
      </w:r>
      <w:r>
        <w:rPr>
          <w:sz w:val="19"/>
        </w:rPr>
        <w:t>Spanien und USA, Zulassung in Phase-3 ausstehend – Transfer zu AMNOG-Bewertung notwendig.</w:t>
      </w:r>
    </w:p>
    <w:p>
      <w:r>
        <w:rPr>
          <w:color w:val="5A7D3A"/>
          <w:sz w:val="18"/>
        </w:rPr>
        <w:t>https://pubmed.ncbi.nlm.nih.gov/42816596/</w:t>
      </w:r>
    </w:p>
    <w:p>
      <w:pPr>
        <w:pStyle w:val="Heading2"/>
      </w:pPr>
      <w:r>
        <w:t>Liquid Biopsy und Tumorvolumen verbessern Überlebensprognose bei metastasierten Malignomen</w:t>
      </w:r>
    </w:p>
    <w:p>
      <w:r>
        <w:rPr>
          <w:i/>
          <w:color w:val="666666"/>
          <w:sz w:val="18"/>
        </w:rPr>
        <w:t>Choucair A et al.  ·  Eur J Cancer  ·  25.09.2026  ·  PMID 42815199</w:t>
      </w:r>
    </w:p>
    <w:p>
      <w:r>
        <w:t>Retrospektive Pankrebs-Kohortenstudie mit 719 Patienten (Training n=570, Validierung n=149) zur kombinierten Prognostik durch Tumorfrakt ion in Blutplasma, CT-Tumorvolumen und Body-Composition.</w:t>
      </w:r>
    </w:p>
    <w:p>
      <w:r>
        <w:rPr>
          <w:b/>
        </w:rPr>
        <w:t xml:space="preserve">Ergebnis: </w:t>
      </w:r>
      <w:r>
        <w:t>28,2% der Patienten zeigten Tumorfrakt ion=0% trotz messbaren Tumors (medianes Volumen 43,6 cm³). Kombiniertes Modell (Tumorfrakt ion + Volumen + klinische Variablen) erreichte C-Index 0,678, besser als Tumorfrakt ion allein (0,634, p=0,04) oder nur klinische Variablen (0,563, p=0,004). Risiko stratifizierung zeigte markant unterschiedliche Überlebensraten (8,3 vs. &gt;25 Monate, p&lt;0,001).</w:t>
      </w:r>
    </w:p>
    <w:p>
      <w:r>
        <w:rPr>
          <w:b/>
          <w:sz w:val="19"/>
        </w:rPr>
        <w:t xml:space="preserve">Übertragbarkeit: </w:t>
      </w:r>
      <w:r>
        <w:rPr>
          <w:sz w:val="19"/>
        </w:rPr>
        <w:t>Frankreich (Gustave Roussy), validiertes prospektives Design für deutsche Zentren nachbildbar.</w:t>
      </w:r>
    </w:p>
    <w:p>
      <w:r>
        <w:rPr>
          <w:color w:val="5A7D3A"/>
          <w:sz w:val="18"/>
        </w:rPr>
        <w:t>https://pubmed.ncbi.nlm.nih.gov/42815199/</w:t>
      </w:r>
    </w:p>
    <w:p>
      <w:pPr>
        <w:pStyle w:val="Heading1"/>
      </w:pPr>
      <w:r>
        <w:t>Aufgenommen am 01.10.2026</w:t>
      </w:r>
    </w:p>
    <w:p>
      <w:pPr>
        <w:pStyle w:val="Heading2"/>
      </w:pPr>
      <w:r>
        <w:t>Strahlentherapie mit Antikörper-Wirkstoff-Konjugaten bei Brustkrebs: Sicherheit belegt</w:t>
      </w:r>
    </w:p>
    <w:p>
      <w:r>
        <w:rPr>
          <w:i/>
          <w:color w:val="666666"/>
          <w:sz w:val="18"/>
        </w:rPr>
        <w:t>Visani L et al.  ·  Radiother Oncol  ·  30.09.2026  ·  PMID 42815776</w:t>
      </w:r>
    </w:p>
    <w:p>
      <w:r>
        <w:t>Systematische Übersicht mit Metaanalyse von 29 Studien (3.817 Patienten) zur Verträglichkeit kombinierter Radiotherapie und Antikörper-Wirkstoff-Konjugaten bei frühem und metastasiertem Brustkrebs.</w:t>
      </w:r>
    </w:p>
    <w:p>
      <w:r>
        <w:rPr>
          <w:b/>
        </w:rPr>
        <w:t xml:space="preserve">Ergebnis: </w:t>
      </w:r>
      <w:r>
        <w:t>Schwere Strahlengewebsnekrose trat in 5% der Fälle auf (95%-KI: 1–12%). Bei intracranialer Stereotaxie waren 8% der Ereignisse ≥Grad 3 (95%-KI: 3–15%), mit T-DM1 13% (95%-KI: 1–34%). Pneumonitis und Hautreaktionen ≥Grad 3 waren selten (je 0%). Außerhalb des Schädels ist die Therapiekombination sicher; intracraniell, besonders mit T-DM1, ist Vorsicht geboten.</w:t>
      </w:r>
    </w:p>
    <w:p>
      <w:r>
        <w:rPr>
          <w:b/>
          <w:sz w:val="19"/>
        </w:rPr>
        <w:t xml:space="preserve">Übertragbarkeit: </w:t>
      </w:r>
      <w:r>
        <w:rPr>
          <w:sz w:val="19"/>
        </w:rPr>
        <w:t>Europa, internationale Konsensusgruppe; übertragbar auf deutsche Zentren.</w:t>
      </w:r>
    </w:p>
    <w:p>
      <w:r>
        <w:rPr>
          <w:color w:val="5A7D3A"/>
          <w:sz w:val="18"/>
        </w:rPr>
        <w:t>https://pubmed.ncbi.nlm.nih.gov/42815776/</w:t>
      </w:r>
    </w:p>
    <w:p>
      <w:pPr>
        <w:pStyle w:val="Heading2"/>
      </w:pPr>
      <w:r>
        <w:t>Erdafitinib verlängert Überleben bei FGFR-verändertem Urothelkarzinom deutlich</w:t>
      </w:r>
    </w:p>
    <w:p>
      <w:r>
        <w:rPr>
          <w:i/>
          <w:color w:val="666666"/>
          <w:sz w:val="18"/>
        </w:rPr>
        <w:t>Loriot Y et al.  ·  ESMO Open  ·  30.09.2026  ·  PMID 42815410</w:t>
      </w:r>
    </w:p>
    <w:p>
      <w:r>
        <w:t>Phase-III-Studie THOR mit 278 Patienten mit FGFR3/2-alteriertem metastasiertem Urothelkarzinom nach PD-(L)1-Progression: Erdafitinib gegen Chemotherapie (Docetaxel/Vinflunin).</w:t>
      </w:r>
    </w:p>
    <w:p>
      <w:r>
        <w:rPr>
          <w:b/>
        </w:rPr>
        <w:t xml:space="preserve">Ergebnis: </w:t>
      </w:r>
      <w:r>
        <w:t>Medianes Gesamtüberleben: 12,1 vs. 8,7 Monate (HR 0,65; 95%-KI 0,48–0,86; p=0,0031). Progressionsfreies Überleben: 5,4 vs. 2,7 Monate (HR 0,59; p&lt;0,0001). Ansprechrate: 46,9% vs. 12,6% (RR 3,74). Schwere Nebenwirkungen 67,6% vs. 65,8%; therapieassoziierte Todesfälle 0,7% vs. 6,0%.</w:t>
      </w:r>
    </w:p>
    <w:p>
      <w:r>
        <w:rPr>
          <w:b/>
          <w:sz w:val="19"/>
        </w:rPr>
        <w:t xml:space="preserve">Übertragbarkeit: </w:t>
      </w:r>
      <w:r>
        <w:rPr>
          <w:sz w:val="19"/>
        </w:rPr>
        <w:t>Internationale Studie; Zulassung relevant für Deutschland.</w:t>
      </w:r>
    </w:p>
    <w:p>
      <w:r>
        <w:rPr>
          <w:color w:val="5A7D3A"/>
          <w:sz w:val="18"/>
        </w:rPr>
        <w:t>https://pubmed.ncbi.nlm.nih.gov/42815410/</w:t>
      </w:r>
    </w:p>
    <w:p>
      <w:pPr>
        <w:pStyle w:val="Heading2"/>
      </w:pPr>
      <w:r>
        <w:t>Verzögerte Übelkeit unter moderater Chemoemesis-Gefährdung: Untererfassung über 120 Stunden hinaus</w:t>
      </w:r>
    </w:p>
    <w:p>
      <w:r>
        <w:rPr>
          <w:i/>
          <w:color w:val="666666"/>
          <w:sz w:val="18"/>
        </w:rPr>
        <w:t>Iimura Y et al.  ·  ESMO Open  ·  30.09.2026  ·  PMID 42815409</w:t>
      </w:r>
    </w:p>
    <w:p>
      <w:r>
        <w:t>Scoping Review systematischer Erfassung verzögerter chemotherapieassoziierter Übelkeit/Erbrechen (&gt;120 h) in 26 prospektiven Antiemetika-Studien (15 Phase III, 11 Phase II).</w:t>
      </w:r>
    </w:p>
    <w:p>
      <w:r>
        <w:rPr>
          <w:b/>
        </w:rPr>
        <w:t xml:space="preserve">Ergebnis: </w:t>
      </w:r>
      <w:r>
        <w:t>80,8% der Studien beschränkten Erfassung auf konventionelle 24–120 h. Komplette Remissionsquoten fielen von 71% in der Standardphase auf 62% in der Langzeitphase (&gt;120 h). Neurokinin-1-Antagonisten und ältere Patienten zeigten bessere Raten, höherer Frauenanteil schlechtere. Verlängerung der Erfassung wird empfohlen.</w:t>
      </w:r>
    </w:p>
    <w:p>
      <w:r>
        <w:rPr>
          <w:b/>
          <w:sz w:val="19"/>
        </w:rPr>
        <w:t xml:space="preserve">Übertragbarkeit: </w:t>
      </w:r>
      <w:r>
        <w:rPr>
          <w:sz w:val="19"/>
        </w:rPr>
        <w:t>Multizentrisch mit deutschen Autoren; Versorgungsforschungsfrage.</w:t>
      </w:r>
    </w:p>
    <w:p>
      <w:r>
        <w:rPr>
          <w:color w:val="5A7D3A"/>
          <w:sz w:val="18"/>
        </w:rPr>
        <w:t>https://pubmed.ncbi.nlm.nih.gov/42815409/</w:t>
      </w:r>
    </w:p>
    <w:p>
      <w:pPr>
        <w:pStyle w:val="Heading2"/>
      </w:pPr>
      <w:r>
        <w:t>Abemaciclib plus endokrine Therapie bei HR-positivem Brustkrebs: Nutzen über Lymphknoten-Subgruppen konsistent</w:t>
      </w:r>
    </w:p>
    <w:p>
      <w:r>
        <w:rPr>
          <w:i/>
          <w:color w:val="666666"/>
          <w:sz w:val="18"/>
        </w:rPr>
        <w:t>Cortes J et al.  ·  ESMO Open  ·  30.09.2026  ·  PMID 42815408</w:t>
      </w:r>
    </w:p>
    <w:p>
      <w:r>
        <w:t>Nachfolgeanalyse monarchE-Studie, Kohort 1 (91% der Gesamtpopulation): Abemaciclib + endokrine Therapie über 2 Jahre bei knoten-positiven Hochrisiko-Patienten mit HR-positivem, HER2-negativem frühem Brustkrebs nach medianer Nachbeobachtung 76,8 Monate.</w:t>
      </w:r>
    </w:p>
    <w:p>
      <w:r>
        <w:rPr>
          <w:b/>
        </w:rPr>
        <w:t xml:space="preserve">Ergebnis: </w:t>
      </w:r>
      <w:r>
        <w:t>Konsistent anhaltender Rückgang des Rezidivrisikos (invasives krankheitsfreies Überleben) und fernmetastasenfreies Überleben über alle Lymphknoten-Subgruppen (N1-Hochrisiko, N2, N3). Ähnliches Rezidivrisiko zwischen N1-Hochrisiko (68,6% Grad 3) und N2; Nutzen in allen Subgruppen bestätigt.</w:t>
      </w:r>
    </w:p>
    <w:p>
      <w:r>
        <w:rPr>
          <w:b/>
          <w:sz w:val="19"/>
        </w:rPr>
        <w:t xml:space="preserve">Übertragbarkeit: </w:t>
      </w:r>
      <w:r>
        <w:rPr>
          <w:sz w:val="19"/>
        </w:rPr>
        <w:t>Zulassungsrelevante Phase-III-Studie; Zentrenstandard.</w:t>
      </w:r>
    </w:p>
    <w:p>
      <w:r>
        <w:rPr>
          <w:color w:val="5A7D3A"/>
          <w:sz w:val="18"/>
        </w:rPr>
        <w:t>https://pubmed.ncbi.nlm.nih.gov/42815408/</w:t>
      </w:r>
    </w:p>
    <w:p>
      <w:pPr>
        <w:pStyle w:val="Heading2"/>
      </w:pPr>
      <w:r>
        <w:t>Giredestrant + Everolimus verdoppelt progressionsfreies Überleben bei HR+/HER2- metastasiertem Brustkrebs</w:t>
      </w:r>
    </w:p>
    <w:p>
      <w:r>
        <w:rPr>
          <w:i/>
          <w:color w:val="666666"/>
          <w:sz w:val="18"/>
        </w:rPr>
        <w:t>Mayer EL et al.  ·  N Engl J Med  ·  01.10.2026  ·  PMID 42814929</w:t>
      </w:r>
    </w:p>
    <w:p>
      <w:r>
        <w:t>Phase-III-Studie evERA mit 373 Patienten HR-positiv/HER2-negativ fortgeschrittenem Brustkrebs nach CDK4/6-Inhibitor-Versagen: Giredestrant + Everolimus vs. Standard endokrine Therapie + Everolimus.</w:t>
      </w:r>
    </w:p>
    <w:p>
      <w:r>
        <w:rPr>
          <w:b/>
        </w:rPr>
        <w:t xml:space="preserve">Ergebnis: </w:t>
      </w:r>
      <w:r>
        <w:t>Medianes progressionsfreies Überleben gesamt: 8,8 vs. 5,5 Monate (HR 0,56; 95%-KI 0,44–0,71; p&lt;0,001). Bei ESR1-mutiert (n=207): 10,0 vs. 5,5 Monate (HR 0,38; 95%-KI 0,27–0,54). Nebenwirkungsraten ähnlich: Stomatitis 47,3% vs. 48,9%, Diarrhö 26,9% vs. 22,6%, Anämie 23,6% vs. 21,0%.</w:t>
      </w:r>
    </w:p>
    <w:p>
      <w:r>
        <w:rPr>
          <w:b/>
          <w:sz w:val="19"/>
        </w:rPr>
        <w:t xml:space="preserve">Übertragbarkeit: </w:t>
      </w:r>
      <w:r>
        <w:rPr>
          <w:sz w:val="19"/>
        </w:rPr>
        <w:t>Zulassungsrelevant; breites europäisches Netzwerk.</w:t>
      </w:r>
    </w:p>
    <w:p>
      <w:r>
        <w:rPr>
          <w:color w:val="5A7D3A"/>
          <w:sz w:val="18"/>
        </w:rPr>
        <w:t>https://pubmed.ncbi.nlm.nih.gov/42814929/</w:t>
      </w:r>
    </w:p>
    <w:p>
      <w:pPr>
        <w:pStyle w:val="Heading2"/>
      </w:pPr>
      <w:r>
        <w:t>Tumor-Adipozyten-Kontakt prognostiziert schlechteres Überleben beim Pankreaskarzinom unabhängig</w:t>
      </w:r>
    </w:p>
    <w:p>
      <w:r>
        <w:rPr>
          <w:i/>
          <w:color w:val="666666"/>
          <w:sz w:val="18"/>
        </w:rPr>
        <w:t>Günther M et al.  ·  Eur J Cancer  ·  16.10.2026  ·  PMID 42777382</w:t>
      </w:r>
    </w:p>
    <w:p>
      <w:r>
        <w:t>Internationale Multicenter-Studie (941 resezierte PDAC aus 5 Kohorten: München n=400, Bern n=215, Graz n=111, Erlangen n=101, TCGA n=114): Direkte Tumor-Adipozyten-Kontaktflächen (TAC/SARIFA) auf H&amp;E-Schnitten als prognostisches Merkmal.</w:t>
      </w:r>
    </w:p>
    <w:p>
      <w:r>
        <w:rPr>
          <w:b/>
        </w:rPr>
        <w:t xml:space="preserve">Ergebnis: </w:t>
      </w:r>
      <w:r>
        <w:t>TAC/SARIFA in 53% positiv, Cohen's Kappa 0,71 (Interobserver-Agreement). TAC+ assoziiert mit höherem N-Stadium, höherem Grad, älteren Patienten (alle p&lt;0,01). Medianes Gesamtüberleben 14,1 vs. 28,0 Monate (p&lt;0,001); unabhängiger Prognosefaktor (gepoolte HR 1,84; 95%-KI 1,59–2,14; p&lt;0,001). Geschlechtsspezifischer Effekt: HR 2,46 bei Männern vs. 1,50 bei Frauen.</w:t>
      </w:r>
    </w:p>
    <w:p>
      <w:r>
        <w:rPr>
          <w:b/>
          <w:sz w:val="19"/>
        </w:rPr>
        <w:t xml:space="preserve">Übertragbarkeit: </w:t>
      </w:r>
      <w:r>
        <w:rPr>
          <w:sz w:val="19"/>
        </w:rPr>
        <w:t>Deutschsprachige Klinikdaten, vergleichbare Dokumentation; Routine-H&amp;E-Slides.</w:t>
      </w:r>
    </w:p>
    <w:p>
      <w:r>
        <w:rPr>
          <w:color w:val="5A7D3A"/>
          <w:sz w:val="18"/>
        </w:rPr>
        <w:t>https://pubmed.ncbi.nlm.nih.gov/42777382/</w:t>
      </w:r>
    </w:p>
    <w:p>
      <w:pPr>
        <w:pStyle w:val="Heading2"/>
      </w:pPr>
      <w:r>
        <w:t>Futibatinib nach nicht-kovalenten FGFR-Inhibitoren bei FGFR2-verändertem Gallengangskarzinom wirksam</w:t>
      </w:r>
    </w:p>
    <w:p>
      <w:r>
        <w:rPr>
          <w:i/>
          <w:color w:val="666666"/>
          <w:sz w:val="18"/>
        </w:rPr>
        <w:t>Casalino S et al.  ·  Eur J Cancer  ·  16.10.2026  ·  PMID 42731348</w:t>
      </w:r>
    </w:p>
    <w:p>
      <w:r>
        <w:t>Retrospektive europäische Multicenter-Studie (3 Zentren) an 16 Patienten mit FGFR2-rearrangiertem intrahepatischem Cholangiokarziom: Futibatinib nach Progression unter nicht-kovalenten FGFR-Inhibitoren.</w:t>
      </w:r>
    </w:p>
    <w:p>
      <w:r>
        <w:rPr>
          <w:b/>
        </w:rPr>
        <w:t xml:space="preserve">Ergebnis: </w:t>
      </w:r>
      <w:r>
        <w:t>Medianes PFS unter nicht-kovalenten Inhibitoren: 10,2 Monate (95%-KI 7,0–15,5), Ansprechrate 60,0%. Mit Futibatinib (Viertlinien-Median): ORR 31,3%, Kontrolle 50,0%, medianes PFS 4,5 Monate (95%-KI 2,0–9,1), medianes OS 9,9 Monate (95%-KI 5,7–nicht erreicht). FGFR2-Resistenzmutationen in 100% (n=11), polyklonal 45,5%. Effizienz unabhängig von Anzahl Resistenzmutationen.</w:t>
      </w:r>
    </w:p>
    <w:p>
      <w:r>
        <w:rPr>
          <w:b/>
          <w:sz w:val="19"/>
        </w:rPr>
        <w:t xml:space="preserve">Übertragbarkeit: </w:t>
      </w:r>
      <w:r>
        <w:rPr>
          <w:sz w:val="19"/>
        </w:rPr>
        <w:t>Deutschland und italienische/britische Zentren; Mechanismus-Beweis für kovalente Nachfolgetherapie.</w:t>
      </w:r>
    </w:p>
    <w:p>
      <w:r>
        <w:rPr>
          <w:color w:val="5A7D3A"/>
          <w:sz w:val="18"/>
        </w:rPr>
        <w:t>https://pubmed.ncbi.nlm.nih.gov/42731348/</w:t>
      </w:r>
    </w:p>
    <w:p>
      <w:pPr>
        <w:pStyle w:val="Heading1"/>
      </w:pPr>
      <w:r>
        <w:t>Aufgenommen am 30.09.2026</w:t>
      </w:r>
    </w:p>
    <w:p>
      <w:pPr>
        <w:pStyle w:val="Heading2"/>
      </w:pPr>
      <w:r>
        <w:t>Bewegungsintervention verbessert Aufmerksamkeit bei Brustkrebsüberlebenden.</w:t>
      </w:r>
    </w:p>
    <w:p>
      <w:r>
        <w:rPr>
          <w:i/>
          <w:color w:val="666666"/>
          <w:sz w:val="18"/>
        </w:rPr>
        <w:t>Hartman SJ et al.  ·  J Natl Cancer Inst  ·  30.09.2026  ·  PMID 42810736</w:t>
      </w:r>
    </w:p>
    <w:p>
      <w:r>
        <w:t>Randomisierte kontrollierte Studie mit 253 Brustkrebsüberlebenden: 12 Monate ferngesteuerte Bewegungsintervention vs. Kontakt-gematchte Health-&amp;-Wellness-Kontrolle auf Kognition und körperliche Aktivität.</w:t>
      </w:r>
    </w:p>
    <w:p>
      <w:r>
        <w:rPr>
          <w:b/>
        </w:rPr>
        <w:t xml:space="preserve">Ergebnis: </w:t>
      </w:r>
      <w:r>
        <w:t>Bewegungsarm zeigte größere Zunahme an moderater bis intensiver Aktivität (18 auf 23,5 Min./Tag vs. 15 auf 15,5 Min.). Kein signifikanter Unterschied in primären Outcomes (Selbstbericht Kognition, Processing Speed, 6 und 12 Monate, p &gt; 0,05). Sekundäre Outcomes: Bewegungsarm bessere Aufmerksamkeit (6 Mo.: b = 0,14, p = 0,03; 12 Mo.: b = 0,21, p = 0,002) und kurzfristig besseres Gedächtnis (6 Mo.: b = 0,18, p &lt; 0,01).</w:t>
      </w:r>
    </w:p>
    <w:p>
      <w:r>
        <w:rPr>
          <w:b/>
          <w:sz w:val="19"/>
        </w:rPr>
        <w:t xml:space="preserve">Übertragbarkeit: </w:t>
      </w:r>
      <w:r>
        <w:rPr>
          <w:sz w:val="19"/>
        </w:rPr>
        <w:t>USA-amerikanisches Forschungssetting, aber patientenrelevanter Endpunkt und gut skalierbare Fernintervention.</w:t>
      </w:r>
    </w:p>
    <w:p>
      <w:r>
        <w:rPr>
          <w:color w:val="5A7D3A"/>
          <w:sz w:val="18"/>
        </w:rPr>
        <w:t>https://pubmed.ncbi.nlm.nih.gov/42810736/</w:t>
      </w:r>
    </w:p>
    <w:p>
      <w:pPr>
        <w:pStyle w:val="Heading2"/>
      </w:pPr>
      <w:r>
        <w:t>Bewegung verlangsamt epigenetisches Altern bei Brustkrebsüberlebenden.</w:t>
      </w:r>
    </w:p>
    <w:p>
      <w:r>
        <w:rPr>
          <w:i/>
          <w:color w:val="666666"/>
          <w:sz w:val="18"/>
        </w:rPr>
        <w:t>Carlin D et al.  ·  J Natl Cancer Inst  ·  30.09.2026  ·  PMID 42810733</w:t>
      </w:r>
    </w:p>
    <w:p>
      <w:r>
        <w:t>Sekundäranalyse einer RCT mit 124 Brustkrebsüberlebenden: Auswirkung einer 12-Monate-Bewegungsintervention auf DNA-Methylierungsmuster (epigenetische Uhren).</w:t>
      </w:r>
    </w:p>
    <w:p>
      <w:r>
        <w:rPr>
          <w:b/>
        </w:rPr>
        <w:t xml:space="preserve">Ergebnis: </w:t>
      </w:r>
      <w:r>
        <w:t>Bewegungsarm zeigte verlangsamtes epigenetisches Altern nach GrimAge2 (p = 0,02) und DNAmFitAge (p = 0,002) vs. Kontrolle über 12 Monate. Schnelleres epigenetisches Altern mit größerem kognitiven Abbau assoziiert. Genomweite Analyse: differenziell methylierte Stellen mit Anreicherung in BDNF-Signalwegen. Epigenetisches Altern als modifizierbar durch Bewegung und möglicherweise mechanistisches Bindeglied zu kognitiven Effekten.</w:t>
      </w:r>
    </w:p>
    <w:p>
      <w:r>
        <w:rPr>
          <w:b/>
          <w:sz w:val="19"/>
        </w:rPr>
        <w:t xml:space="preserve">Übertragbarkeit: </w:t>
      </w:r>
      <w:r>
        <w:rPr>
          <w:sz w:val="19"/>
        </w:rPr>
        <w:t>USA-Studie, aber biologischer Mechanismus und patientenrelevantes Outcome übertragbar.</w:t>
      </w:r>
    </w:p>
    <w:p>
      <w:r>
        <w:rPr>
          <w:color w:val="5A7D3A"/>
          <w:sz w:val="18"/>
        </w:rPr>
        <w:t>https://pubmed.ncbi.nlm.nih.gov/42810733/</w:t>
      </w:r>
    </w:p>
    <w:p>
      <w:pPr>
        <w:pStyle w:val="Heading2"/>
      </w:pPr>
      <w:r>
        <w:t>Pembrolizumab-Monotherapie beim Nierenzellkarzinom: Biomarker und Langzeitergebnisse.</w:t>
      </w:r>
    </w:p>
    <w:p>
      <w:r>
        <w:rPr>
          <w:i/>
          <w:color w:val="666666"/>
          <w:sz w:val="18"/>
        </w:rPr>
        <w:t>McDermott DF et al.  ·  Ann Oncol  ·  29.09.2026  ·  PMID 42810586</w:t>
      </w:r>
    </w:p>
    <w:p>
      <w:r>
        <w:t>Phase-II-Studie KEYNOTE-427 nach Median 61 Monaten Follow-up: Objektives Ansprechen und Prognosefaktoren für Pembrolizumab ohne Kombinationstherapie bei klarzelliger und nicht-klarzelliger RCC.</w:t>
      </w:r>
    </w:p>
    <w:p>
      <w:r>
        <w:rPr>
          <w:b/>
        </w:rPr>
        <w:t xml:space="preserve">Ergebnis: </w:t>
      </w:r>
      <w:r>
        <w:t>Objektive Ansprechrate 36,4 % (klarzelliges RCC) und 26,7 % (nicht-klarzelliges RCC). T-Zell-entzündliches Genexpressionsprofil (TcellinfGEP) assoziiert mit höherem Ansprechen (p = 0,0208 bzw. p = 0,0021). PD-L1 CPS kontinuierlich mit Gesamtüberleben korreliert (nicht-klarzelliges RCC: p = 0,0014). Patienten mit nachweisbarer ctDNA am Baseline hatten kürzeres OS (30,5 vs. 53,7 Monate). Treibermutationen zeigten keine konsistenten Muster.</w:t>
      </w:r>
    </w:p>
    <w:p>
      <w:r>
        <w:rPr>
          <w:b/>
          <w:sz w:val="19"/>
        </w:rPr>
        <w:t xml:space="preserve">Übertragbarkeit: </w:t>
      </w:r>
      <w:r>
        <w:rPr>
          <w:sz w:val="19"/>
        </w:rPr>
        <w:t>Nordamerikanische Kohorte, internationale Zentren, Biomarker-Erkenntnisse für Präzisionstherapie übertragbar.</w:t>
      </w:r>
    </w:p>
    <w:p>
      <w:r>
        <w:rPr>
          <w:color w:val="5A7D3A"/>
          <w:sz w:val="18"/>
        </w:rPr>
        <w:t>https://pubmed.ncbi.nlm.nih.gov/42810586/</w:t>
      </w:r>
    </w:p>
    <w:p>
      <w:pPr>
        <w:pStyle w:val="Heading2"/>
      </w:pPr>
      <w:r>
        <w:t>Lebensqualität in Adjuvansstudien: Neue Standards zur Berichterstattung.</w:t>
      </w:r>
    </w:p>
    <w:p>
      <w:r>
        <w:rPr>
          <w:i/>
          <w:color w:val="666666"/>
          <w:sz w:val="18"/>
        </w:rPr>
        <w:t>Tannock IF et al.  ·  Lancet Oncol  ·  29.09.2026  ·  PMID 42810369</w:t>
      </w:r>
    </w:p>
    <w:p>
      <w:r>
        <w:t>Konsensempfehlungen europäischer und kanadischer Leitlinienautoren zur Erfassung und Darstellung der gesundheitsbezogenen Lebensqualität in Publikationen von Zulassungsstudien der adjuvanten Systemtherapie.</w:t>
      </w:r>
    </w:p>
    <w:p>
      <w:r>
        <w:rPr>
          <w:b/>
        </w:rPr>
        <w:t xml:space="preserve">Ergebnis: </w:t>
      </w:r>
      <w:r>
        <w:t>Die Studienautoren empfehlen, den Anteil der Patienten mit vordefinierter Verschlechterung in validierten Lebensqualitätsskalen sowie die Dauer dieser Beeinträchtigung während und nach Therapie zu dokumentieren. Symptome, Funktionsfähigkeit und Gesamtlebensqualität sollen differenzieren zwischen Patienten mit und ohne klinisch bedeutsame Toxizität. Diese Angaben sind im Primärbericht essentiell für informed treatment decisions.</w:t>
      </w:r>
    </w:p>
    <w:p>
      <w:r>
        <w:rPr>
          <w:b/>
          <w:sz w:val="19"/>
        </w:rPr>
        <w:t xml:space="preserve">Übertragbarkeit: </w:t>
      </w:r>
      <w:r>
        <w:rPr>
          <w:sz w:val="19"/>
        </w:rPr>
        <w:t>Europäische Autorenschaft, Standard für randomisierte Therapiestudien, übertragbar auf deutsches Zulassungswesen.</w:t>
      </w:r>
    </w:p>
    <w:p>
      <w:r>
        <w:rPr>
          <w:color w:val="5A7D3A"/>
          <w:sz w:val="18"/>
        </w:rPr>
        <w:t>https://pubmed.ncbi.nlm.nih.gov/42810369/</w:t>
      </w:r>
    </w:p>
    <w:p>
      <w:pPr>
        <w:pStyle w:val="Heading2"/>
      </w:pPr>
      <w:r>
        <w:t>Pembrolizumab-Lenvatinib bei metastasiertem Endometriumkarzinom: Real-World-Wirksamkeit.</w:t>
      </w:r>
    </w:p>
    <w:p>
      <w:r>
        <w:rPr>
          <w:i/>
          <w:color w:val="666666"/>
          <w:sz w:val="18"/>
        </w:rPr>
        <w:t>Bello Roufai D et al.  ·  ESMO Open  ·  29.09.2026  ·  PMID 42810020</w:t>
      </w:r>
    </w:p>
    <w:p>
      <w:r>
        <w:t>Französisches Programm für frühzeitigen Zugang: Wirksamkeit und Sicherheit von Pembrolizumab-Lenvatinib bei 351 Patienten mit metastasiertem Endometriumkarzinom in 25 Zentren, einschließlich älterer und fragiler Patienten.</w:t>
      </w:r>
    </w:p>
    <w:p>
      <w:r>
        <w:rPr>
          <w:b/>
        </w:rPr>
        <w:t xml:space="preserve">Ergebnis: </w:t>
      </w:r>
      <w:r>
        <w:t>Medianes Progressions-freies Überleben 6,0 Monate, medianes Gesamtüberleben 21 Monate. Objektive Ansprechrate 41 %, klinischer Benefit 68 %. Mismatch-Repair-Defizienz mit verlängertem PFS assoziiert (16 vs. 6 Monate, p &lt; 0,001). 27,6 % permanentes Absetzen von Lenvatinib wegen Toxizität; reduzierte Startdosen (37,2 %) beeinträchtigten PFS nicht. Wirksam auch in realen Populationen jenseits von Studienbedingungen.</w:t>
      </w:r>
    </w:p>
    <w:p>
      <w:r>
        <w:rPr>
          <w:b/>
          <w:sz w:val="19"/>
        </w:rPr>
        <w:t xml:space="preserve">Übertragbarkeit: </w:t>
      </w:r>
      <w:r>
        <w:rPr>
          <w:sz w:val="19"/>
        </w:rPr>
        <w:t>Französisches Versicherungssystem, Zentrumserfahrung, klinische Kohorten ähnlich deutschem Patientengut.</w:t>
      </w:r>
    </w:p>
    <w:p>
      <w:r>
        <w:rPr>
          <w:color w:val="5A7D3A"/>
          <w:sz w:val="18"/>
        </w:rPr>
        <w:t>https://pubmed.ncbi.nlm.nih.gov/42810020/</w:t>
      </w:r>
    </w:p>
    <w:p>
      <w:pPr>
        <w:pStyle w:val="Heading2"/>
      </w:pPr>
      <w:r>
        <w:t>Entscheidungshilfe für Palliativbehandlung beim Pankreaskarzinom: Real-World-Implementierung.</w:t>
      </w:r>
    </w:p>
    <w:p>
      <w:r>
        <w:rPr>
          <w:i/>
          <w:color w:val="666666"/>
          <w:sz w:val="18"/>
        </w:rPr>
        <w:t>Graus MUJE et al.  ·  Oncologist  ·  29.09.2026  ·  PMID 42809229</w:t>
      </w:r>
    </w:p>
    <w:p>
      <w:r>
        <w:t>Prospektive Multizenter-Studie an 10 niederländischen Expertenzentren: Einsatz einer Shared-Decision-Making-Hilfe bei 181 Patienten mit metastasiertem Pankreaskarzinom zur Unterstützung von Therapieentscheidungen.</w:t>
      </w:r>
    </w:p>
    <w:p>
      <w:r>
        <w:rPr>
          <w:b/>
        </w:rPr>
        <w:t xml:space="preserve">Ergebnis: </w:t>
      </w:r>
      <w:r>
        <w:t>Patienten mit ausreichend Bedenkzeit verwendeten die Entscheidungshilfe häufiger (p &lt; 0,01). Mediane Bewertung durch Patienten und Kliniker: 8/10. Diskordanz zwischen Arzt- und Patientenpreferenzen in 37 % beobachtet; Unterschiede zur finalen Therapieentscheidung häufig. Struktur-unterstützte SDM-Hilfe wird hochwertig akzeptiert und kann erfolgreich implementiert werden.</w:t>
      </w:r>
    </w:p>
    <w:p>
      <w:r>
        <w:rPr>
          <w:b/>
          <w:sz w:val="19"/>
        </w:rPr>
        <w:t xml:space="preserve">Übertragbarkeit: </w:t>
      </w:r>
      <w:r>
        <w:rPr>
          <w:sz w:val="19"/>
        </w:rPr>
        <w:t>Niederländisches System, vergleichbar mit deutschem Gesundheitswesen, SDM-Verfahren direkt übertragbar.</w:t>
      </w:r>
    </w:p>
    <w:p>
      <w:r>
        <w:rPr>
          <w:color w:val="5A7D3A"/>
          <w:sz w:val="18"/>
        </w:rPr>
        <w:t>https://pubmed.ncbi.nlm.nih.gov/42809229/</w:t>
      </w:r>
    </w:p>
    <w:p>
      <w:pPr>
        <w:pStyle w:val="Heading1"/>
      </w:pPr>
      <w:r>
        <w:t>Aufgenommen am 29.09.2026</w:t>
      </w:r>
    </w:p>
    <w:p>
      <w:pPr>
        <w:pStyle w:val="Heading2"/>
      </w:pPr>
      <w:r>
        <w:t>Hypofractionierte Postmastektomie-Radiotherapie ohne Anstieg schwerer Toxizitäten</w:t>
      </w:r>
    </w:p>
    <w:p>
      <w:r>
        <w:rPr>
          <w:i/>
          <w:color w:val="666666"/>
          <w:sz w:val="18"/>
        </w:rPr>
        <w:t>Sun GY et al.  ·  Lancet Oncol  ·  Okt. 2026  ·  PMID 42805199</w:t>
      </w:r>
    </w:p>
    <w:p>
      <w:r>
        <w:t>Randomisierte Phase-3-Studie mit 10-Jahres-Nachbeobachtung von 820 Patientinnen mit hochrisiko-Brustkrebs nach Mastektomie.</w:t>
      </w:r>
    </w:p>
    <w:p>
      <w:r>
        <w:rPr>
          <w:b/>
        </w:rPr>
        <w:t xml:space="preserve">Ergebnis: </w:t>
      </w:r>
      <w:r>
        <w:t>Lokoregionales Rezidiv nach 10 Jahren: 10,3 % (konventionell) vs. 12,0 % (hypofraktioniert; Hazard Ratio 1,19; 95%-KI 0,79–1,82). Grade-3-Toxizitäten waren selten und ähnlich in beiden Gruppen (je &lt;1–2 %). Hypofraktionierung ist zeiteffizient und gleichwertig sicher.</w:t>
      </w:r>
    </w:p>
    <w:p>
      <w:r>
        <w:rPr>
          <w:b/>
          <w:sz w:val="19"/>
        </w:rPr>
        <w:t xml:space="preserve">Übertragbarkeit: </w:t>
      </w:r>
      <w:r>
        <w:rPr>
          <w:sz w:val="19"/>
        </w:rPr>
        <w:t>China, vergleichbare onkologische Versorgung; Ergebnis sollte Leitlinien beeinflussen.</w:t>
      </w:r>
    </w:p>
    <w:p>
      <w:r>
        <w:rPr>
          <w:color w:val="5A7D3A"/>
          <w:sz w:val="18"/>
        </w:rPr>
        <w:t>https://pubmed.ncbi.nlm.nih.gov/42805199/</w:t>
      </w:r>
    </w:p>
    <w:p>
      <w:pPr>
        <w:pStyle w:val="Heading2"/>
      </w:pPr>
      <w:r>
        <w:t>2,3 Millionen Krebsfälle weltweit durch Infektionen: Prävention möglich</w:t>
      </w:r>
    </w:p>
    <w:p>
      <w:r>
        <w:rPr>
          <w:i/>
          <w:color w:val="666666"/>
          <w:sz w:val="18"/>
        </w:rPr>
        <w:t>Rumgay H et al.  ·  Lancet Oncol  ·  Okt. 2026  ·  PMID 42805198</w:t>
      </w:r>
    </w:p>
    <w:p>
      <w:r>
        <w:t>Analyse der Global Cancer Observatory 2024 zu Krebslast durch 12 klassifizierten Karzinogene (H. pylori, HPV, HBV, HCV, EBV u. a.).</w:t>
      </w:r>
    </w:p>
    <w:p>
      <w:r>
        <w:rPr>
          <w:b/>
        </w:rPr>
        <w:t xml:space="preserve">Ergebnis: </w:t>
      </w:r>
      <w:r>
        <w:t>12 % aller Krebsinzidenz 2024 (2,3 Mio. Fälle) attributabel: H. pylori 760.000 (4 %), HPV 750.000 (4 %), HBV 360.000 (2 %). Höchste Lasten in Ostasien (990.000 Fälle; 31,9/100.000), Sub-Sahara-Afrika (28,5/100.000). Prävention durch Impfung, Test-and-Treat möglich.</w:t>
      </w:r>
    </w:p>
    <w:p>
      <w:r>
        <w:rPr>
          <w:b/>
          <w:sz w:val="19"/>
        </w:rPr>
        <w:t xml:space="preserve">Übertragbarkeit: </w:t>
      </w:r>
      <w:r>
        <w:rPr>
          <w:sz w:val="19"/>
        </w:rPr>
        <w:t>Global applikabel, auch für Deutschland bei Präventionsplanung relevant.</w:t>
      </w:r>
    </w:p>
    <w:p>
      <w:r>
        <w:rPr>
          <w:color w:val="5A7D3A"/>
          <w:sz w:val="18"/>
        </w:rPr>
        <w:t>https://pubmed.ncbi.nlm.nih.gov/42805198/</w:t>
      </w:r>
    </w:p>
    <w:p>
      <w:pPr>
        <w:pStyle w:val="Heading2"/>
      </w:pPr>
      <w:r>
        <w:t>Keimbahnvariantenscreening: Nutzen vs. Schaden für Population?</w:t>
      </w:r>
    </w:p>
    <w:p>
      <w:r>
        <w:rPr>
          <w:i/>
          <w:color w:val="666666"/>
          <w:sz w:val="18"/>
        </w:rPr>
        <w:t>Turnbull C et al.  ·  Lancet Oncol  ·  25.09.2026  ·  PMID 42790443</w:t>
      </w:r>
    </w:p>
    <w:p>
      <w:r>
        <w:t>Policy Review von Experten zu Expansion von Cancer-Susceptibility-Testing von Genetik-Kliniken in die Bevölkerung; Fokus auf klinische Evidenz und Health-System-Implikationen.</w:t>
      </w:r>
    </w:p>
    <w:p>
      <w:r>
        <w:rPr>
          <w:b/>
        </w:rPr>
        <w:t xml:space="preserve">Ergebnis: </w:t>
      </w:r>
      <w:r>
        <w:t>Nur für wenige Gene (BRCA1, BRCA2, MLH1, MSH2) etablierte Risiken und evidenzgestützte Interventionen. Für viele Panel-Gene: unsichere Penetranz, fehlende Mortalitätsreduktion und Kosteneffektivität. Polygene Risikoscores diskriminatorisch begrenzt, abhängig von Ethnizität. Tiered, kontextabhängiger Implementierungsansatz empfohlen.</w:t>
      </w:r>
    </w:p>
    <w:p>
      <w:r>
        <w:rPr>
          <w:b/>
          <w:sz w:val="19"/>
        </w:rPr>
        <w:t xml:space="preserve">Übertragbarkeit: </w:t>
      </w:r>
      <w:r>
        <w:rPr>
          <w:sz w:val="19"/>
        </w:rPr>
        <w:t>Direkt auf Deutschland übertragbar; könnte AMNOG-, Zertifizierungs- und Leitlinien-Entscheidungen beeinflussen.</w:t>
      </w:r>
    </w:p>
    <w:p>
      <w:r>
        <w:rPr>
          <w:color w:val="5A7D3A"/>
          <w:sz w:val="18"/>
        </w:rPr>
        <w:t>https://pubmed.ncbi.nlm.nih.gov/42790443/</w:t>
      </w:r>
    </w:p>
    <w:p>
      <w:pPr>
        <w:pStyle w:val="Heading2"/>
      </w:pPr>
      <w:r>
        <w:t>Real-World-Überleben HER2-positiver metastastischer Brustkrebs: 41,4 Monate</w:t>
      </w:r>
    </w:p>
    <w:p>
      <w:r>
        <w:rPr>
          <w:i/>
          <w:color w:val="666666"/>
          <w:sz w:val="18"/>
        </w:rPr>
        <w:t>Lee SC et al.  ·  ESMO Open  ·  25.09.2026  ·  PMID 42790263</w:t>
      </w:r>
    </w:p>
    <w:p>
      <w:r>
        <w:t>Retrospektive HER2 REAL Study aus 6 Ländern mit 763 Patienten und HER2-positivem metastasiertem Brustkrebs; Treatment Patterns und OS.</w:t>
      </w:r>
    </w:p>
    <w:p>
      <w:r>
        <w:rPr>
          <w:b/>
        </w:rPr>
        <w:t xml:space="preserve">Ergebnis: </w:t>
      </w:r>
      <w:r>
        <w:t>Mediales Gesamtüberleben: 41,4 Monate (95%-KI 38,1–45,8). Erste Linie Trastuzumab+Pertuzumab+CT: 58,1 % erhalten, medianes OS 46,8 Monate. Zweite Linie T-DM1: 45,5 %, medianes OS 23,9 Monate. Heterogenes Therapiemuster, Optimierungsbedarf identifiziert.</w:t>
      </w:r>
    </w:p>
    <w:p>
      <w:r>
        <w:rPr>
          <w:b/>
          <w:sz w:val="19"/>
        </w:rPr>
        <w:t xml:space="preserve">Übertragbarkeit: </w:t>
      </w:r>
      <w:r>
        <w:rPr>
          <w:sz w:val="19"/>
        </w:rPr>
        <w:t>6 Länder, Patientenauswahl pragmatisch, Real-World-Vergleichswert aber limitiert aussagekräftig für Deutschland.</w:t>
      </w:r>
    </w:p>
    <w:p>
      <w:r>
        <w:rPr>
          <w:color w:val="5A7D3A"/>
          <w:sz w:val="18"/>
        </w:rPr>
        <w:t>https://pubmed.ncbi.nlm.nih.gov/42790263/</w:t>
      </w:r>
    </w:p>
    <w:p>
      <w:pPr>
        <w:pStyle w:val="Heading2"/>
      </w:pPr>
      <w:r>
        <w:t>Daratumumab mit VRd verbessert Remissionstiefe bei transplantuntauglichem Myelom</w:t>
      </w:r>
    </w:p>
    <w:p>
      <w:r>
        <w:rPr>
          <w:i/>
          <w:color w:val="666666"/>
          <w:sz w:val="18"/>
        </w:rPr>
        <w:t>Usmani SZ et al.  ·  J Clin Oncol  ·  25.09.2026  ·  PMID 42789828</w:t>
      </w:r>
    </w:p>
    <w:p>
      <w:r>
        <w:t>Phase-3-Studie CEPHEUS mit 289 transplantuntauglichen Patienten (median 58,7 Monate Nachfolge): DVRd versus VRd.</w:t>
      </w:r>
    </w:p>
    <w:p>
      <w:r>
        <w:rPr>
          <w:b/>
        </w:rPr>
        <w:t xml:space="preserve">Ergebnis: </w:t>
      </w:r>
      <w:r>
        <w:t>MRD-Negativität (10⁻⁵): 60,4 % (DVRd) vs. 39,3 % (VRd; p=0,0004). Progressionsfreies Überleben: HR 0,51 (95%-KI 0,35–0,74; p=0,0003). Nachhaltige MRD ≥12 Monate: 47,2 % vs. 28,3 % (p=0,0010).</w:t>
      </w:r>
    </w:p>
    <w:p>
      <w:r>
        <w:rPr>
          <w:b/>
          <w:sz w:val="19"/>
        </w:rPr>
        <w:t xml:space="preserve">Übertragbarkeit: </w:t>
      </w:r>
      <w:r>
        <w:rPr>
          <w:sz w:val="19"/>
        </w:rPr>
        <w:t>Zulassungsrelevante Studie, Datenlage für AMNOG-Bewertung verfügbar.</w:t>
      </w:r>
    </w:p>
    <w:p>
      <w:r>
        <w:rPr>
          <w:color w:val="5A7D3A"/>
          <w:sz w:val="18"/>
        </w:rPr>
        <w:t>https://pubmed.ncbi.nlm.nih.gov/42789828/</w:t>
      </w:r>
    </w:p>
    <w:p>
      <w:pPr>
        <w:pStyle w:val="Heading2"/>
      </w:pPr>
      <w:r>
        <w:t>Symptomcluster nach Schilddrüsenkrebs-OP beeinflussen Lebensqualität</w:t>
      </w:r>
    </w:p>
    <w:p>
      <w:r>
        <w:rPr>
          <w:i/>
          <w:color w:val="666666"/>
          <w:sz w:val="18"/>
        </w:rPr>
        <w:t>Gao J et al.  ·  Oncologist  ·  24.09.2026  ·  PMID 42786665</w:t>
      </w:r>
    </w:p>
    <w:p>
      <w:r>
        <w:t>Nationale multizentrische Querschnittsstudie mit 1.093 Patienten 4 Wochen post-Thyreoidektomie; Symptome und Lebensqualität mittels EORTC QLQ erhoben.</w:t>
      </w:r>
    </w:p>
    <w:p>
      <w:r>
        <w:rPr>
          <w:b/>
        </w:rPr>
        <w:t xml:space="preserve">Ergebnis: </w:t>
      </w:r>
      <w:r>
        <w:t>Drei Symptomcluster identifiziert: psychologisch-somatisch, Schilddrüsenhormon-bezogen, Operations-bezogen. Psychologisch-somatischer Cluster stärker mit schlechterer Lebensqualität assoziiert (β=−0,596; 95%-KI −0,713 bis −0,581). Frauen und Totalthyreoidektomie zeigten höhere Risikomarker.</w:t>
      </w:r>
    </w:p>
    <w:p>
      <w:r>
        <w:rPr>
          <w:b/>
          <w:sz w:val="19"/>
        </w:rPr>
        <w:t xml:space="preserve">Übertragbarkeit: </w:t>
      </w:r>
      <w:r>
        <w:rPr>
          <w:sz w:val="19"/>
        </w:rPr>
        <w:t>China, Symptomerfassung übertragbar, strukturierte Nachsorge-Interventionen ableitbar.</w:t>
      </w:r>
    </w:p>
    <w:p>
      <w:r>
        <w:rPr>
          <w:color w:val="5A7D3A"/>
          <w:sz w:val="18"/>
        </w:rPr>
        <w:t>https://pubmed.ncbi.nlm.nih.gov/42786665/</w:t>
      </w:r>
    </w:p>
    <w:p>
      <w:pPr>
        <w:pStyle w:val="Heading2"/>
      </w:pPr>
      <w:r>
        <w:t>TA-Wiederholungen als Schwachstelle extrachromosomaler DNA im Tumor</w:t>
      </w:r>
    </w:p>
    <w:p>
      <w:r>
        <w:rPr>
          <w:i/>
          <w:color w:val="666666"/>
          <w:sz w:val="18"/>
        </w:rPr>
        <w:t>Billing D et al.  ·  Nature  ·  23.09.2026  ·  PMID 42778593</w:t>
      </w:r>
    </w:p>
    <w:p>
      <w:r>
        <w:t>Grundlagenarbeit zur Mechanik der Aufrechterhaltung extrachromosomaler DNA (ecDNA) in Krebszellen mittels Single-Cell-Sequenzierung und funktionellen Studien.</w:t>
      </w:r>
    </w:p>
    <w:p>
      <w:r>
        <w:rPr>
          <w:b/>
        </w:rPr>
        <w:t xml:space="preserve">Ergebnis: </w:t>
      </w:r>
      <w:r>
        <w:t>Polymerase-θ (Polθ) und FANCM supprimieren Bruchbildung an TA-reichen Stellen. MMEJ-Reparatur hält ecDNA stabil; Polθ-Inhibition destabilisiert ecDNA selektiv, induziert Fitnessverlust in ecDNA-abhängigen Tumoren. Therapeutisches Potenzial identifiziert.</w:t>
      </w:r>
    </w:p>
    <w:p>
      <w:r>
        <w:rPr>
          <w:b/>
          <w:sz w:val="19"/>
        </w:rPr>
        <w:t xml:space="preserve">Übertragbarkeit: </w:t>
      </w:r>
      <w:r>
        <w:rPr>
          <w:sz w:val="19"/>
        </w:rPr>
        <w:t>USA und Deutschland (Charité beteiligt); Zielstruktur für neue Wirkstoff-entwicklung, noch präklinisch.</w:t>
      </w:r>
    </w:p>
    <w:p>
      <w:r>
        <w:rPr>
          <w:color w:val="5A7D3A"/>
          <w:sz w:val="18"/>
        </w:rPr>
        <w:t>https://pubmed.ncbi.nlm.nih.gov/42778593/</w:t>
      </w:r>
    </w:p>
    <w:p>
      <w:pPr>
        <w:pStyle w:val="Heading1"/>
      </w:pPr>
      <w:r>
        <w:t>Aufgenommen am 28.09.2026</w:t>
      </w:r>
    </w:p>
    <w:p>
      <w:pPr>
        <w:pStyle w:val="Heading2"/>
      </w:pPr>
      <w:r>
        <w:t>Kanonische Action Research verbessert Protontherapie-Zuweisungsquoten: Niederländische Versorgungsstudie zeigt Implementierungsdefizite</w:t>
      </w:r>
    </w:p>
    <w:p>
      <w:r>
        <w:rPr>
          <w:i/>
          <w:color w:val="666666"/>
          <w:sz w:val="18"/>
        </w:rPr>
        <w:t>Ho F et al.  ·  Radiother Oncol  ·  27.09.2026  ·  PMID 42801959</w:t>
      </w:r>
    </w:p>
    <w:p>
      <w:r>
        <w:t>Qualitative Implementierungsstudie mit Canonical Action Research in niederländischen Radiotherapie-Zentren zu Barrieren und Interventionen bei Protontherapie-Zuweisungen für Lungen- und Ösophaguskarzinome.</w:t>
      </w:r>
    </w:p>
    <w:p>
      <w:r>
        <w:rPr>
          <w:b/>
        </w:rPr>
        <w:t xml:space="preserve">Ergebnis: </w:t>
      </w:r>
      <w:r>
        <w:t>Diagnose-Phase identifizierte Barrieren (Wissenslücken, unzureichende Koordination, Logistik). Implementierte stakeholder-entwickelte Interventionen (Logistik-Verbesserungen, Patienten-Begleiter) waren mit erhöhten Überweisungs- und Behandlungsraten an einem Zentrum assoziiert. Stakeholder-Wahrnehmung von Pathway-Design und Intervention-Angemessenheit verbesserte sich; Patienten-Zufriedenheit blieb stabil.</w:t>
      </w:r>
    </w:p>
    <w:p>
      <w:r>
        <w:rPr>
          <w:b/>
          <w:sz w:val="19"/>
        </w:rPr>
        <w:t xml:space="preserve">Übertragbarkeit: </w:t>
      </w:r>
      <w:r>
        <w:rPr>
          <w:sz w:val="19"/>
        </w:rPr>
        <w:t>Niederlande, vergleichbares Versicherungssystem; Modell übertragbar auf deutsche Zentrumsvernetzung</w:t>
      </w:r>
    </w:p>
    <w:p>
      <w:r>
        <w:rPr>
          <w:color w:val="5A7D3A"/>
          <w:sz w:val="18"/>
        </w:rPr>
        <w:t>https://pubmed.ncbi.nlm.nih.gov/42801959/</w:t>
      </w:r>
    </w:p>
    <w:p>
      <w:pPr>
        <w:pStyle w:val="Heading2"/>
      </w:pPr>
      <w:r>
        <w:t>Schlafstörungen und Müdigkeit bei Oropharyngeal-Karzinom-Radiotherapie-Überlebenden korrelieren mit Gesamtüberleben</w:t>
      </w:r>
    </w:p>
    <w:p>
      <w:r>
        <w:rPr>
          <w:i/>
          <w:color w:val="666666"/>
          <w:sz w:val="18"/>
        </w:rPr>
        <w:t>Carevic G et al.  ·  Radiother Oncol  ·  26.09.2026  ·  PMID 42800678</w:t>
      </w:r>
    </w:p>
    <w:p>
      <w:r>
        <w:t>Prospektive Longitudinalkohorte (372 Patienten mit Oropharyngeal-Karzinom unter kurativer Strahlentherapie ± Chemotherapie) zum Symptom-Verlauf und Überleben anhand patientenberichteter Outcomes (MDASI-HN).</w:t>
      </w:r>
    </w:p>
    <w:p>
      <w:r>
        <w:rPr>
          <w:b/>
        </w:rPr>
        <w:t xml:space="preserve">Ergebnis: </w:t>
      </w:r>
      <w:r>
        <w:t>Schwere Müdigkeit, Schlafstörung und Schläfrigkeit erreichten Höhepunkt bei RT-Ende (26%, 15%, 18%) und normalisierten sich bis Monat 6. Schwere longitudinale Müdigkeit (HR 5,05), Schlafstörung (HR 3,86) und Schläfrigkeit (HR 8,24) waren unabhängig mit schlechterer Overall Survival assoziiert (p &lt; 0,05). Effekt blieb nach multivariater Anpassung signifikant.</w:t>
      </w:r>
    </w:p>
    <w:p>
      <w:r>
        <w:rPr>
          <w:b/>
          <w:sz w:val="19"/>
        </w:rPr>
        <w:t xml:space="preserve">Übertragbarkeit: </w:t>
      </w:r>
      <w:r>
        <w:rPr>
          <w:sz w:val="19"/>
        </w:rPr>
        <w:t>USA-Tertiary Center; Symptom-basierte Risikoidentifikation übertragbar auf deutsche Nachsorge-Protokolle</w:t>
      </w:r>
    </w:p>
    <w:p>
      <w:r>
        <w:rPr>
          <w:color w:val="5A7D3A"/>
          <w:sz w:val="18"/>
        </w:rPr>
        <w:t>https://pubmed.ncbi.nlm.nih.gov/42800678/</w:t>
      </w:r>
    </w:p>
    <w:p>
      <w:pPr>
        <w:pStyle w:val="Heading2"/>
      </w:pPr>
      <w:r>
        <w:t>Präzisionsmedizin bei ungleicher Zugangsverteilung: Global-Audit zeigt massive Lücken zwischen Anspruch und Versorgung</w:t>
      </w:r>
    </w:p>
    <w:p>
      <w:r>
        <w:rPr>
          <w:i/>
          <w:color w:val="666666"/>
          <w:sz w:val="18"/>
        </w:rPr>
        <w:t>Casolino R et al.  ·  Lancet Oncol  ·  25.09.2026  ·  PMID 42790448</w:t>
      </w:r>
    </w:p>
    <w:p>
      <w:r>
        <w:t>Lancet-Onkologie-Kommission analysierte die globale Lage der Krebsgenetik und Präzisionsmedizin und bewertete Implementierungsbarrieren, Ungleichheiten und den Nutzen biomarker-gestützter Therapien.</w:t>
      </w:r>
    </w:p>
    <w:p>
      <w:r>
        <w:rPr>
          <w:b/>
        </w:rPr>
        <w:t xml:space="preserve">Ergebnis: </w:t>
      </w:r>
      <w:r>
        <w:t>Nur wenige validierte Biomarker-Therapie-Paare zeigen konsistente klinische Gewinne; umfassendere genomische Profiling-Ansätze erweitern Optionen für Patienten, doch profitiert nur ein kleiner Anteil von angepasster Therapie. Massive Ungleichheiten bei Zugang zur Genomik und Präzisionsmedizin bestehen länder- und populationsübergreifend. Die Studie liefert ein Implementierungs-Framework für gerechte, nachhaltige Skalierung.</w:t>
      </w:r>
    </w:p>
    <w:p>
      <w:r>
        <w:rPr>
          <w:b/>
          <w:sz w:val="19"/>
        </w:rPr>
        <w:t xml:space="preserve">Übertragbarkeit: </w:t>
      </w:r>
      <w:r>
        <w:rPr>
          <w:sz w:val="19"/>
        </w:rPr>
        <w:t>Deutsches Gesundheitssystem: zentral für Zertifizierung der Zentren und AMNOG-Bewertung</w:t>
      </w:r>
    </w:p>
    <w:p>
      <w:r>
        <w:rPr>
          <w:color w:val="5A7D3A"/>
          <w:sz w:val="18"/>
        </w:rPr>
        <w:t>https://pubmed.ncbi.nlm.nih.gov/42790448/</w:t>
      </w:r>
    </w:p>
    <w:p>
      <w:pPr>
        <w:pStyle w:val="Heading2"/>
      </w:pPr>
      <w:r>
        <w:t>Gesamtüberleben als primärer Endpunkt in Phase-III-Onkologie-Studien: Metaanalyse zeigt konsistente Gewinne</w:t>
      </w:r>
    </w:p>
    <w:p>
      <w:r>
        <w:rPr>
          <w:i/>
          <w:color w:val="666666"/>
          <w:sz w:val="18"/>
        </w:rPr>
        <w:t>Sherry AD et al.  ·  Oncologist  ·  09.09.2026  ·  PMID 42789933</w:t>
      </w:r>
    </w:p>
    <w:p>
      <w:r>
        <w:t>OPTIMA-Metaanalyse mit individualisierten Patientendaten von 159 Phase-III-Studien mit Gesamt-Überleben als primärem Endpunkt (104.740 Patienten).</w:t>
      </w:r>
    </w:p>
    <w:p>
      <w:r>
        <w:rPr>
          <w:b/>
        </w:rPr>
        <w:t xml:space="preserve">Ergebnis: </w:t>
      </w:r>
      <w:r>
        <w:t>Experimentelle Arme zeigten im Zwei-Stufen-Cox-Modell verbesserte Overall Survival (Hazard Ratio 0,87; 95%-KI 0,85–0,89; p &lt; 0,0001), bestätigt im einstufigen stratifizierten Modell (HR 0,88; 95%-KI 0,85–0,90). Befund dokumentiert, dass randomisierte Phase-III-Studien mit OS-Primärendpunkt konsistent therapeutische Fortschritte nachweisen.</w:t>
      </w:r>
    </w:p>
    <w:p>
      <w:r>
        <w:rPr>
          <w:b/>
          <w:sz w:val="19"/>
        </w:rPr>
        <w:t xml:space="preserve">Übertragbarkeit: </w:t>
      </w:r>
      <w:r>
        <w:rPr>
          <w:sz w:val="19"/>
        </w:rPr>
        <w:t>Multinationale Studienpopulation; Befunde unterstützen Regulierungs- und Finanzierungsprioritäten für OS-fokussierte Trials</w:t>
      </w:r>
    </w:p>
    <w:p>
      <w:r>
        <w:rPr>
          <w:color w:val="5A7D3A"/>
          <w:sz w:val="18"/>
        </w:rPr>
        <w:t>https://pubmed.ncbi.nlm.nih.gov/42789933/</w:t>
      </w:r>
    </w:p>
    <w:p>
      <w:pPr>
        <w:pStyle w:val="Heading2"/>
      </w:pPr>
      <w:r>
        <w:t>Alkoholkonsum und Kolorektalkarzinom-Risiko bei Prä-Diabetes und Diabetes: Südkoreanische Kohorten zeigen Synergien</w:t>
      </w:r>
    </w:p>
    <w:p>
      <w:r>
        <w:rPr>
          <w:i/>
          <w:color w:val="666666"/>
          <w:sz w:val="18"/>
        </w:rPr>
        <w:t>Kim TS et al.  ·  J Natl Cancer Inst  ·  24.09.2026  ·  PMID 42786582</w:t>
      </w:r>
    </w:p>
    <w:p>
      <w:r>
        <w:t>Nationale südkoreanische Kohortenstudie (4,475.492 Erwachsene, Median-Follow-up 9,33 Jahre) zur Dosis-Wirkung zwischen Alkoholkonsum und Kolorektalkrebs-Inzidenz nach glykämischem Status.</w:t>
      </w:r>
    </w:p>
    <w:p>
      <w:r>
        <w:rPr>
          <w:b/>
        </w:rPr>
        <w:t xml:space="preserve">Ergebnis: </w:t>
      </w:r>
      <w:r>
        <w:t>51.592 CRC-Fälle dokumentiert. Leichter bis mäßiger Alkoholkonsum erhöhte CRC-Risiko synergistisch bei Prä-Diabetes (HR 1,23; 95%-KI 1,19–1,27; Synergieindex 1,72) und Diabetes (HR 1,48; 95%-KI 1,42–1,54; Synergieindex 2,04). Dose-abhängige lineare Assoziation über alle kolorektalen Subsites, steiler bei Diabetes.</w:t>
      </w:r>
    </w:p>
    <w:p>
      <w:r>
        <w:rPr>
          <w:b/>
          <w:sz w:val="19"/>
        </w:rPr>
        <w:t xml:space="preserve">Übertragbarkeit: </w:t>
      </w:r>
      <w:r>
        <w:rPr>
          <w:sz w:val="19"/>
        </w:rPr>
        <w:t>Südkorea, hohes Screening-Aufkommen; Prävention bei Stoffwechselvorstufen setzt patientenrelevante Endpunkte voraus</w:t>
      </w:r>
    </w:p>
    <w:p>
      <w:r>
        <w:rPr>
          <w:color w:val="5A7D3A"/>
          <w:sz w:val="18"/>
        </w:rPr>
        <w:t>https://pubmed.ncbi.nlm.nih.gov/42786582/</w:t>
      </w:r>
    </w:p>
    <w:p>
      <w:pPr>
        <w:pStyle w:val="Heading2"/>
      </w:pPr>
      <w:r>
        <w:t>KI-Modelle zur Risikoprognose in der Magenkrebsnachsorge: Transfernutzen unklar</w:t>
      </w:r>
    </w:p>
    <w:p>
      <w:r>
        <w:rPr>
          <w:i/>
          <w:color w:val="666666"/>
          <w:sz w:val="18"/>
        </w:rPr>
        <w:t>Rabasco Meneghetti A  ·  Ann Oncol  ·  Okt. 2026  ·  PMID 42760040</w:t>
      </w:r>
    </w:p>
    <w:p>
      <w:r>
        <w:t>Kommentar zu DeepComp, einem KI-System für postoperative Risikostratifizierung beim Magenkarzinom; erörtert Vorhersagekompetenz und Umsetzungserfordernisse.</w:t>
      </w:r>
    </w:p>
    <w:p>
      <w:r>
        <w:rPr>
          <w:b/>
        </w:rPr>
        <w:t xml:space="preserve">Ergebnis: </w:t>
      </w:r>
      <w:r>
        <w:t>Der Kommentar diskutiert Chancen maschineller Lernverfahren zur Risikoklassifizierung, warnt aber vor Interpretationsfallen und nennt fehlende Validierung in prospektiven Kohorten als zentrale Hürde für klinische Adoption.</w:t>
      </w:r>
    </w:p>
    <w:p>
      <w:r>
        <w:rPr>
          <w:b/>
          <w:sz w:val="19"/>
        </w:rPr>
        <w:t xml:space="preserve">Übertragbarkeit: </w:t>
      </w:r>
      <w:r>
        <w:rPr>
          <w:sz w:val="19"/>
        </w:rPr>
        <w:t>Deutschland: Validierung in Zentren notwendig vor Einsatz in AMNOG- und Zertifizierungskontexten</w:t>
      </w:r>
    </w:p>
    <w:p>
      <w:r>
        <w:rPr>
          <w:color w:val="5A7D3A"/>
          <w:sz w:val="18"/>
        </w:rPr>
        <w:t>https://pubmed.ncbi.nlm.nih.gov/42760040/</w:t>
      </w:r>
    </w:p>
    <w:p>
      <w:pPr>
        <w:pStyle w:val="Heading1"/>
      </w:pPr>
      <w:r>
        <w:t>Aufgenommen am 27.09.2026</w:t>
      </w:r>
    </w:p>
    <w:p>
      <w:pPr>
        <w:pStyle w:val="Heading2"/>
      </w:pPr>
      <w:r>
        <w:t>Single-Fraction SABR gleichwertig zu Multi-Fraction bei frühem NSCLC</w:t>
      </w:r>
    </w:p>
    <w:p>
      <w:r>
        <w:rPr>
          <w:i/>
          <w:color w:val="666666"/>
          <w:sz w:val="18"/>
        </w:rPr>
        <w:t>Aguirre-Meneses KA et al.  ·  Radiother Oncol  ·  26.09.2026  ·  PMID 42800679</w:t>
      </w:r>
    </w:p>
    <w:p>
      <w:r>
        <w:t>Bevölkerungsbasierte retrospektive Analyse aus British Columbia (2021-2024): 814 Läsionen bei 778 Patienten mit peripher gelegenem T1-2N0-NSCLC, behandelt mit Single-Fraction (SF) oder Multi-Fraction (MF) SABR, Nachverfolgung median 25,8 Monate.</w:t>
      </w:r>
    </w:p>
    <w:p>
      <w:r>
        <w:rPr>
          <w:b/>
        </w:rPr>
        <w:t xml:space="preserve">Ergebnis: </w:t>
      </w:r>
      <w:r>
        <w:t>Keine signifikanten Unterschiede in 2-Jahres-Lokalversagen (3,5% vs. 4,8%, p=0,11) oder 2-Jahres-Gesamtüberleben (79,3% vs. 79,4%, p=0,62). Grad-2-Toxizität 11,5% vs. 12,4%, Grad-3-5-Toxizität 1,5% vs. 3,9% (p=0,08), Brustwandtoxizität identisch 5,0%. SF-SABR war kein unabhängiger Prädiktor für Lokalversagen oder Toxizität.</w:t>
      </w:r>
    </w:p>
    <w:p>
      <w:r>
        <w:rPr>
          <w:b/>
          <w:sz w:val="19"/>
        </w:rPr>
        <w:t xml:space="preserve">Übertragbarkeit: </w:t>
      </w:r>
      <w:r>
        <w:rPr>
          <w:sz w:val="19"/>
        </w:rPr>
        <w:t>Kanadisches System mit vergleichbarem öffentlichem Versicherungsauftrag; Kostenwirksamkeit für deutsche Strahlenkliniken relevant.</w:t>
      </w:r>
    </w:p>
    <w:p>
      <w:r>
        <w:rPr>
          <w:color w:val="5A7D3A"/>
          <w:sz w:val="18"/>
        </w:rPr>
        <w:t>https://pubmed.ncbi.nlm.nih.gov/42800679/</w:t>
      </w:r>
    </w:p>
    <w:p>
      <w:pPr>
        <w:pStyle w:val="Heading2"/>
      </w:pPr>
      <w:r>
        <w:t>Tumor-First DNA-Testing effizienter als Familienanamnese für BRCA-Screening</w:t>
      </w:r>
    </w:p>
    <w:p>
      <w:r>
        <w:rPr>
          <w:i/>
          <w:color w:val="666666"/>
          <w:sz w:val="18"/>
        </w:rPr>
        <w:t>Kloots ISH et al.  ·  Eur J Cancer  ·  19.09.2026  ·  PMID 42800309</w:t>
      </w:r>
    </w:p>
    <w:p>
      <w:r>
        <w:t>Prospektive Studie (PROMPT) mit 452 Patienten mit metastasiertem Prostatakarzinom: Vergleich tumor-first-workflow (TFW) versus familienanamnese-basierte Testung für Keimbahnvarianten in BRCA1/2, PALB2, ATM, CHEK2.</w:t>
      </w:r>
    </w:p>
    <w:p>
      <w:r>
        <w:rPr>
          <w:b/>
        </w:rPr>
        <w:t xml:space="preserve">Ergebnis: </w:t>
      </w:r>
      <w:r>
        <w:t>TFW identifizierte 22/36 (61%) aller Träger pathogener Keimbahnvarianten mit technischer Sensitivität von 97%. Gegenüber modellierter Familienanamnese-Strategie (8 vs. 22 Träger identifiziert; p&lt;0,001) war TFW deutlich überlegen mit positiv-prädiktivem Wert 51% vs. 13% und niedrigerer Anzahl zum Testen (2,0 vs. 7,9). Kosten pro entdeckter Variante: 998 € vs. 12.246 €.</w:t>
      </w:r>
    </w:p>
    <w:p>
      <w:r>
        <w:rPr>
          <w:b/>
          <w:sz w:val="19"/>
        </w:rPr>
        <w:t xml:space="preserve">Übertragbarkeit: </w:t>
      </w:r>
      <w:r>
        <w:rPr>
          <w:sz w:val="19"/>
        </w:rPr>
        <w:t>Niederländisches Gesundheitssystem mit direkter Übertragbarkeit auf deutsches Mutationsscreening-Protokoll.</w:t>
      </w:r>
    </w:p>
    <w:p>
      <w:r>
        <w:rPr>
          <w:color w:val="5A7D3A"/>
          <w:sz w:val="18"/>
        </w:rPr>
        <w:t>https://pubmed.ncbi.nlm.nih.gov/42800309/</w:t>
      </w:r>
    </w:p>
    <w:p>
      <w:pPr>
        <w:pStyle w:val="Heading2"/>
      </w:pPr>
      <w:r>
        <w:t>Spirituelle Überzeugungen hemmen Studienteilnahme schwarzer Krebspatienten massiv</w:t>
      </w:r>
    </w:p>
    <w:p>
      <w:r>
        <w:rPr>
          <w:i/>
          <w:color w:val="666666"/>
          <w:sz w:val="18"/>
        </w:rPr>
        <w:t>Gomez C et al.  ·  Int J Radiat Oncol Biol Phys  ·  25.09.2026  ·  PMID 42790602</w:t>
      </w:r>
    </w:p>
    <w:p>
      <w:r>
        <w:t>Querschnittstudie an 172 von 247 Patienten (70% Teilnahmequote) nach definitiver Strahlentherapie für GI-, thorakale, gynäkologische und HNO-Malignome (Oktober 2023–Februar 2024): Psychosoziale Faktoren und Studieneinschlusshindernisse.</w:t>
      </w:r>
    </w:p>
    <w:p>
      <w:r>
        <w:rPr>
          <w:b/>
        </w:rPr>
        <w:t xml:space="preserve">Ergebnis: </w:t>
      </w:r>
      <w:r>
        <w:t>Schwarze Patienten (n=42, 24%) waren weniger verheiratet (16,7% vs. 68,8%; p&lt;0,001), geringer gebildet und hatten niedrigeres Einkommen ($69.318 vs. $106.823; p&lt;0,001). Obwohl gleich viele zur Teilnahme eingeladen (17,9% vs. 21,7%), stimmten weniger schwarze Patienten zu (17,1% vs. 31,9%; p&lt;0,001). Höhere Religiosität senkte Teilnahmebereitschaft um 44% (p=0,036). 48% schwarzer vs. 17,3% weißer Patienten glaubten, dass Gott Heilung bestimmt (p=0,024); 18% schwarzer vs. 3,6% weißer Patienten misstrauten klinischer Forschung (p=0,001).</w:t>
      </w:r>
    </w:p>
    <w:p>
      <w:r>
        <w:rPr>
          <w:b/>
          <w:sz w:val="19"/>
        </w:rPr>
        <w:t xml:space="preserve">Übertragbarkeit: </w:t>
      </w:r>
      <w:r>
        <w:rPr>
          <w:sz w:val="19"/>
        </w:rPr>
        <w:t>USA - Disparitäten-fokussiertes qualitatives Forschungsdesign; deutsche Rekrutierungsstrategien müssen kulturelle und religiöse Faktoren adressieren.</w:t>
      </w:r>
    </w:p>
    <w:p>
      <w:r>
        <w:rPr>
          <w:color w:val="5A7D3A"/>
          <w:sz w:val="18"/>
        </w:rPr>
        <w:t>https://pubmed.ncbi.nlm.nih.gov/42790602/</w:t>
      </w:r>
    </w:p>
    <w:p>
      <w:pPr>
        <w:pStyle w:val="Heading2"/>
      </w:pPr>
      <w:r>
        <w:t>Komplexe Genomik verzögert Zugang zu Essential Cancer Medicines global</w:t>
      </w:r>
    </w:p>
    <w:p>
      <w:r>
        <w:rPr>
          <w:i/>
          <w:color w:val="666666"/>
          <w:sz w:val="18"/>
        </w:rPr>
        <w:t>Vokinger KN et al.  ·  Lancet Oncol  ·  25.09.2026  ·  PMID 42790449</w:t>
      </w:r>
    </w:p>
    <w:p>
      <w:r>
        <w:t>Retrospektive Analyse der Verfügbarkeit von 41 Essential Cancer Medicines auf der WHO-Liste zwischen 2002 und 2023 in 71 Ländern, unterschieden nach Anforderung an Immunhistochemie, komplexe Genomik oder keine Diagnostik.</w:t>
      </w:r>
    </w:p>
    <w:p>
      <w:r>
        <w:rPr>
          <w:b/>
        </w:rPr>
        <w:t xml:space="preserve">Ergebnis: </w:t>
      </w:r>
      <w:r>
        <w:t>Arzneien, die komplexe genomische Diagnostik erfordern, zeigen 65% niedrigere Aufnahmevolumina als solche ohne Diagnostik-Anforderung (Regressionskoeffizient −0,453, p&lt;0,0001). In Ländern mit niedrigem BIP (&lt;11.000 USD) werden nur 44% der Arzneien mit komplexer Genomik eingesetzt, gegenüber 79% in Ländern mit hohem BIP (&gt;33.000 USD). Die Aufnahme zeigt, dass WHO-EML-Listung allein für Zugang insufficient ist.</w:t>
      </w:r>
    </w:p>
    <w:p>
      <w:r>
        <w:rPr>
          <w:b/>
          <w:sz w:val="19"/>
        </w:rPr>
        <w:t xml:space="preserve">Übertragbarkeit: </w:t>
      </w:r>
      <w:r>
        <w:rPr>
          <w:sz w:val="19"/>
        </w:rPr>
        <w:t>Zeigt strukturelle Barrieren für Precision Oncology in Ländern mit begrenzter diagnostischer Infrastruktur; international vergleichbar.</w:t>
      </w:r>
    </w:p>
    <w:p>
      <w:r>
        <w:rPr>
          <w:color w:val="5A7D3A"/>
          <w:sz w:val="18"/>
        </w:rPr>
        <w:t>https://pubmed.ncbi.nlm.nih.gov/42790449/</w:t>
      </w:r>
    </w:p>
    <w:p>
      <w:pPr>
        <w:pStyle w:val="Heading2"/>
      </w:pPr>
      <w:r>
        <w:t>Venetoclax + Inotuzumab ozogamicin erzielt 95% komplette Remission im rezidivierten/refraktären B-ALL</w:t>
      </w:r>
    </w:p>
    <w:p>
      <w:r>
        <w:rPr>
          <w:i/>
          <w:color w:val="666666"/>
          <w:sz w:val="18"/>
        </w:rPr>
        <w:t>Luskin MR et al.  ·  Blood  ·  25.09.2026  ·  PMID 42789493</w:t>
      </w:r>
    </w:p>
    <w:p>
      <w:r>
        <w:t>Phase-1-Studie (23 Patienten, 15 ALL, 8 LBL): Kombination BCL-2-Inhibitor Venetoclax (VEN 400 mg/Tag 21 Tage) plus CD22-Antikörper-Wirkstoff-Konjugat Inotuzumab ozogamicin (Standard-Dosis) bei rezidiviertem/refraktärem CD22+ B-ALL/lymphoblastischem Lymphom.</w:t>
      </w:r>
    </w:p>
    <w:p>
      <w:r>
        <w:rPr>
          <w:b/>
        </w:rPr>
        <w:t xml:space="preserve">Ergebnis: </w:t>
      </w:r>
      <w:r>
        <w:t>Von 22 evaluablen Patienten erreichten 21 (95,5%) komplette Remission, 19 nach einem Zyklus. Messbare Resterkrankung (MRD) negativ in 88,9% (Flow &lt;10⁻⁴) und 73,7% (NGS &lt;10⁻⁶). Zwei-Jahres-krankheitsfreies Überleben 48% (95% KI 24–72%), medianes Gesamtüberleben nicht erreicht. Nebenwirkungen Grad ≥3: Thrombozytopenie 43,5%, Neutropenie 39,1%, sinusoidales obstruktives Syndrom 4 Patienten. MRD-Negativität korrelierte mit BCL-2-Abhängigkeit; Progression verband sich mit MCL-1-Abhängigkeit, CD22-Escape, ABCB1-Expression.</w:t>
      </w:r>
    </w:p>
    <w:p>
      <w:r>
        <w:rPr>
          <w:b/>
          <w:sz w:val="19"/>
        </w:rPr>
        <w:t xml:space="preserve">Übertragbarkeit: </w:t>
      </w:r>
      <w:r>
        <w:rPr>
          <w:sz w:val="19"/>
        </w:rPr>
        <w:t>USA-Zentrum, Phase 1; internationale Wirkstoffkombination, Übertragung auf Deutschland abhängig von Zulassung und lokaler ALL-Protokoll-Integration.</w:t>
      </w:r>
    </w:p>
    <w:p>
      <w:r>
        <w:rPr>
          <w:color w:val="5A7D3A"/>
          <w:sz w:val="18"/>
        </w:rPr>
        <w:t>https://pubmed.ncbi.nlm.nih.gov/42789493/</w:t>
      </w:r>
    </w:p>
    <w:p>
      <w:pPr>
        <w:pStyle w:val="Heading2"/>
      </w:pPr>
      <w:r>
        <w:t>Körperliche Aktivität verbessert Krankheitsfreies Überleben bei ctDNA-negativem Kolonkarzinom</w:t>
      </w:r>
    </w:p>
    <w:p>
      <w:r>
        <w:rPr>
          <w:i/>
          <w:color w:val="666666"/>
          <w:sz w:val="18"/>
        </w:rPr>
        <w:t>Zhang GQ et al.  ·  J Natl Cancer Inst  ·  24.09.2026  ·  PMID 42786576</w:t>
      </w:r>
    </w:p>
    <w:p>
      <w:r>
        <w:t>Post-hoc-Analyse der Phase-III-Studie CALGB/SWOG 80702 (763 Patienten Stage III Kolonkarzinom): Assoziation von körperlicher Aktivität (gemessen in MET-Stunden/Woche) und postoperativem Überleben, stratifiziert nach zirkulierender Tumor-DNA (ctDNA).</w:t>
      </w:r>
    </w:p>
    <w:p>
      <w:r>
        <w:rPr>
          <w:b/>
        </w:rPr>
        <w:t xml:space="preserve">Ergebnis: </w:t>
      </w:r>
      <w:r>
        <w:t>Bei ctDNA-negativen Patienten zeigten moderate (HR 0,58, 95% KI 0,37–0,91) und hohe körperliche Aktivität (HR 0,49, 95% KI 0,27–0,86) versus Inaktivität verbessertes krankheitsfreies Überleben. Bei ctDNA-positiven Patienten war körperliche Aktivität nicht prognostisch (p&gt;0,05). Physische Aktivität plus adjuvantes Celecoxib zeigte Vorteil in beiden Gruppen (ctDNA-positiv: HR 0,29, 95% KI 0,15–0,57).</w:t>
      </w:r>
    </w:p>
    <w:p>
      <w:r>
        <w:rPr>
          <w:b/>
          <w:sz w:val="19"/>
        </w:rPr>
        <w:t xml:space="preserve">Übertragbarkeit: </w:t>
      </w:r>
      <w:r>
        <w:rPr>
          <w:sz w:val="19"/>
        </w:rPr>
        <w:t>Nordamerikanische Kohortenstudie; ctDNA-Analytik national nur in Zentren verfügbar, Aktivitätsinterventionen aber universell umsetzbar.</w:t>
      </w:r>
    </w:p>
    <w:p>
      <w:r>
        <w:rPr>
          <w:color w:val="5A7D3A"/>
          <w:sz w:val="18"/>
        </w:rPr>
        <w:t>https://pubmed.ncbi.nlm.nih.gov/42786576/</w:t>
      </w:r>
    </w:p>
    <w:p>
      <w:pPr>
        <w:pStyle w:val="Heading2"/>
      </w:pPr>
      <w:r>
        <w:t>Evorpacept + Trastuzumab/Ramucirumab/Paclitaxel verbessert Ansprechrate im HER2+ Magenkarzinom</w:t>
      </w:r>
    </w:p>
    <w:p>
      <w:r>
        <w:rPr>
          <w:i/>
          <w:color w:val="666666"/>
          <w:sz w:val="18"/>
        </w:rPr>
        <w:t>Shitara K et al.  ·  Nat Med  ·  24.09.2026  ·  PMID 42786305</w:t>
      </w:r>
    </w:p>
    <w:p>
      <w:r>
        <w:t>Phase-2-Portion der randomisierten Studie ASPEN-06 (127 Patienten mit vorbehandeltem HER2-überexprimiertem metastasiertem Magen-/Ösophaguskarzinom): Evorpacept (CD47-SIRPα-Blocker) plus Standard-Tripel (TRP) versus TRP allein.</w:t>
      </w:r>
    </w:p>
    <w:p>
      <w:r>
        <w:rPr>
          <w:b/>
        </w:rPr>
        <w:t xml:space="preserve">Ergebnis: </w:t>
      </w:r>
      <w:r>
        <w:t>Primärer Endpunkt: Objektive Ansprechrate (ORR) investigator-assessed 40,3% (Evo+TRP) vs. 26,6% (TRP) in ITT-Population (Differenz 13,7%, p&lt;0,001), in Fresh-Biopsy-HER2+-Subgruppe 54,8% vs. 23,1% (Differenz 31,7%). Differenzen überschritten Schwellen, aber vs. historischem Benchmark (30%) verfehlte nur Fresh-Biopsy-Gruppe Signifikanz knapp (p=0,030 one-sided). Toxizitäten vergleichbar mit etabliertem Profil.</w:t>
      </w:r>
    </w:p>
    <w:p>
      <w:r>
        <w:rPr>
          <w:b/>
          <w:sz w:val="19"/>
        </w:rPr>
        <w:t xml:space="preserve">Übertragbarkeit: </w:t>
      </w:r>
      <w:r>
        <w:rPr>
          <w:sz w:val="19"/>
        </w:rPr>
        <w:t>Internationale Phase-2-Studie; Zulassungsfähigkeit zu klären, Übertragung auf Deutschland abhängig von Zulassung und Amnog-Bewertung.</w:t>
      </w:r>
    </w:p>
    <w:p>
      <w:r>
        <w:rPr>
          <w:color w:val="5A7D3A"/>
          <w:sz w:val="18"/>
        </w:rPr>
        <w:t>https://pubmed.ncbi.nlm.nih.gov/42786305/</w:t>
      </w:r>
    </w:p>
    <w:p>
      <w:pPr>
        <w:pStyle w:val="Heading1"/>
      </w:pPr>
      <w:r>
        <w:t>Aufgenommen am 26.09.2026</w:t>
      </w:r>
    </w:p>
    <w:p>
      <w:pPr>
        <w:pStyle w:val="Heading2"/>
      </w:pPr>
      <w:r>
        <w:t>Reduzierte Dosis für elektive Halsknotenbest. in Nasopharynxkarzinom: 5-Jahres-Sicherheit</w:t>
      </w:r>
    </w:p>
    <w:p>
      <w:r>
        <w:rPr>
          <w:i/>
          <w:color w:val="666666"/>
          <w:sz w:val="18"/>
        </w:rPr>
        <w:t>Chen X et al.  ·  Radiother Oncol  ·  25.09.2026  ·  PMID 42790787</w:t>
      </w:r>
    </w:p>
    <w:p>
      <w:r>
        <w:t>Retrospektive Kohorte mit 752 Patienten zu Langzeiteffizienz und Organschonung bei De-Eskalation der elektiven Halsknotenbestrahlung von 50 Gy auf 45 Gy EQD2 bei intensitätsmodulierter Radiotherapie.</w:t>
      </w:r>
    </w:p>
    <w:p>
      <w:r>
        <w:rPr>
          <w:b/>
        </w:rPr>
        <w:t xml:space="preserve">Ergebnis: </w:t>
      </w:r>
      <w:r>
        <w:t>5-Jahres-Regionalkontrollen 97,3 %, Gesamtüberleben 89,7 %. Nur 0,7 % isolierte Rezidive in der 45-Gy-Dosis. Vergleichspläne zeigten signifikante Dosisreduktion für alle Risikoorgane (p &lt; 0,001) mit bedeutsamen NTCP-Reduktionen für Parotisfunktionsverlust, Dysphagie und Hypothyreose (alle p &lt; 0,001).</w:t>
      </w:r>
    </w:p>
    <w:p>
      <w:r>
        <w:rPr>
          <w:b/>
          <w:sz w:val="19"/>
        </w:rPr>
        <w:t xml:space="preserve">Übertragbarkeit: </w:t>
      </w:r>
      <w:r>
        <w:rPr>
          <w:sz w:val="19"/>
        </w:rPr>
        <w:t>Chinesische Daten, internationales Standard-Bestrahlungsprotokoll, direkt übertragbar.</w:t>
      </w:r>
    </w:p>
    <w:p>
      <w:r>
        <w:rPr>
          <w:color w:val="5A7D3A"/>
          <w:sz w:val="18"/>
        </w:rPr>
        <w:t>https://pubmed.ncbi.nlm.nih.gov/42790787/</w:t>
      </w:r>
    </w:p>
    <w:p>
      <w:pPr>
        <w:pStyle w:val="Heading2"/>
      </w:pPr>
      <w:r>
        <w:t>Iberdomid + Daratumumab gegen Bortezomib bei Myelom: MRD-negative Remissionen verdoppelt</w:t>
      </w:r>
    </w:p>
    <w:p>
      <w:r>
        <w:rPr>
          <w:i/>
          <w:color w:val="666666"/>
          <w:sz w:val="18"/>
        </w:rPr>
        <w:t>Lonial S et al.  ·  Lancet Oncol  ·  25.09.2026  ·  PMID 42790445</w:t>
      </w:r>
    </w:p>
    <w:p>
      <w:r>
        <w:t>Phase-3-Studie (EXCALIBER-RRMM) mit 420 Patienten, randomisiert zum Vergleich Iberdomid/Daratumumab/Dexamethason vs. Daratumumab/Bortezomib/Dexamethason bei rezidiviertem/refraktärem Myelom.</w:t>
      </w:r>
    </w:p>
    <w:p>
      <w:r>
        <w:rPr>
          <w:b/>
        </w:rPr>
        <w:t xml:space="preserve">Ergebnis: </w:t>
      </w:r>
      <w:r>
        <w:t>MRD-negative komplette Remissionen (Fluoreszenzfluss &lt;10−5) 41 % vs. 21 % (odds ratio 2,8; 95%-KI 1,8–4,3; p &lt; 0,0001). Grad-3/4-Nebenwirkungen in 92 % vs. 70 % (Neutropenie 84 % vs. 11 %, Infektionen 39 % vs. 22 %), managebar mit Supportivtherapie.</w:t>
      </w:r>
    </w:p>
    <w:p>
      <w:r>
        <w:rPr>
          <w:b/>
          <w:sz w:val="19"/>
        </w:rPr>
        <w:t xml:space="preserve">Übertragbarkeit: </w:t>
      </w:r>
      <w:r>
        <w:rPr>
          <w:sz w:val="19"/>
        </w:rPr>
        <w:t>Internationale Studie, zentraler europäischer Einsatz in AMNOG-Verfahren zu prüfen.</w:t>
      </w:r>
    </w:p>
    <w:p>
      <w:r>
        <w:rPr>
          <w:color w:val="5A7D3A"/>
          <w:sz w:val="18"/>
        </w:rPr>
        <w:t>https://pubmed.ncbi.nlm.nih.gov/42790445/</w:t>
      </w:r>
    </w:p>
    <w:p>
      <w:pPr>
        <w:pStyle w:val="Heading2"/>
      </w:pPr>
      <w:r>
        <w:t>Online adaptive Radiotherapie bei Prostatakarzinom: weniger Toxizität, bessere Lebensqualität</w:t>
      </w:r>
    </w:p>
    <w:p>
      <w:r>
        <w:rPr>
          <w:i/>
          <w:color w:val="666666"/>
          <w:sz w:val="18"/>
        </w:rPr>
        <w:t>Kalinauskaite G et al.  ·  Strahlenther Onkol  ·  25.09.2026  ·  PMID 42789071</w:t>
      </w:r>
    </w:p>
    <w:p>
      <w:r>
        <w:t>Prospektive Studie zum Vergleich der akuten Toxizität und Lebensqualität bei adaptiver MRT-gestützter Online-Bestrahlung vs. konventioneller bildgestützter Radiotherapie bei Prostatakarzinom mit moderat hypofraktioniertem Schema.</w:t>
      </w:r>
    </w:p>
    <w:p>
      <w:r>
        <w:rPr>
          <w:b/>
        </w:rPr>
        <w:t xml:space="preserve">Ergebnis: </w:t>
      </w:r>
      <w:r>
        <w:t>Adaptive Radiotherapie war mit günstigerem gastrointestinalem Toxizitätsprofil assoziiert (niedrigere maximale Toxizitätsgrade; p = 0,028). Patienten der Vergleichsgruppe zeigten häufiger klinisch bedeutsame Verschlechterungen bei Fatigue (74 % vs. 37 %; p = 0,004), körperlicher Funktionsfähigkeit (27 % vs. 3 %; p = 0,009) und Rollenerfüllung (48,1 % vs. 22,9 %; p = 0,04).</w:t>
      </w:r>
    </w:p>
    <w:p>
      <w:r>
        <w:rPr>
          <w:b/>
          <w:sz w:val="19"/>
        </w:rPr>
        <w:t xml:space="preserve">Übertragbarkeit: </w:t>
      </w:r>
      <w:r>
        <w:rPr>
          <w:sz w:val="19"/>
        </w:rPr>
        <w:t>Deutsches Zentrumsmodell, Charité und Ulm, validierbar für deutsche Routineversorgung.</w:t>
      </w:r>
    </w:p>
    <w:p>
      <w:r>
        <w:rPr>
          <w:color w:val="5A7D3A"/>
          <w:sz w:val="18"/>
        </w:rPr>
        <w:t>https://pubmed.ncbi.nlm.nih.gov/42789071/</w:t>
      </w:r>
    </w:p>
    <w:p>
      <w:pPr>
        <w:pStyle w:val="Heading2"/>
      </w:pPr>
      <w:r>
        <w:t>Zentralisierte MRT-geführte adaptive Brachytherapie für Zervixkarzinom in Österreich: Durchführbarkeit und Ergebnisse</w:t>
      </w:r>
    </w:p>
    <w:p>
      <w:r>
        <w:rPr>
          <w:i/>
          <w:color w:val="666666"/>
          <w:sz w:val="18"/>
        </w:rPr>
        <w:t>Knoth J et al.  ·  Strahlenther Onkol  ·  25.09.2026  ·  PMID 42789070</w:t>
      </w:r>
    </w:p>
    <w:p>
      <w:r>
        <w:t>Retrospektive Kohortenstudie zur Machbarkeit eines österreichischen Zentranzugangsmodells mit dezentraler Perkutanstrahlung und zentralisierter MRT-gestützter adaptiver Brachytherapie bei 89 Patienten mit FIGO IB–IVA Zervixkarzinom (2018–2022).</w:t>
      </w:r>
    </w:p>
    <w:p>
      <w:r>
        <w:rPr>
          <w:b/>
        </w:rPr>
        <w:t xml:space="preserve">Ergebnis: </w:t>
      </w:r>
      <w:r>
        <w:t>3-Jahres-Gesamtüberleben 74 %, Lokalkontrollen 95 %, Beckenregionalkontrollen 95 %. Grad-≥3-Morbidität bei 26,1 %. Mediane Gesamtbehandlungsdauer 50 Tage. Durchführbarkeit und Qualität bestätigt, auch bei paraaortischen Metastasen (17 %).</w:t>
      </w:r>
    </w:p>
    <w:p>
      <w:r>
        <w:rPr>
          <w:b/>
          <w:sz w:val="19"/>
        </w:rPr>
        <w:t xml:space="preserve">Übertragbarkeit: </w:t>
      </w:r>
      <w:r>
        <w:rPr>
          <w:sz w:val="19"/>
        </w:rPr>
        <w:t>Österreichisches Verbundsystem direkt auf deutsche Zentrumslandschaft übertragbar.</w:t>
      </w:r>
    </w:p>
    <w:p>
      <w:r>
        <w:rPr>
          <w:color w:val="5A7D3A"/>
          <w:sz w:val="18"/>
        </w:rPr>
        <w:t>https://pubmed.ncbi.nlm.nih.gov/42789070/</w:t>
      </w:r>
    </w:p>
    <w:p>
      <w:pPr>
        <w:pStyle w:val="Heading2"/>
      </w:pPr>
      <w:r>
        <w:t>Frühe Palliativversorgung für afroamerikanische und rural wohnhafte Angehörige: Langzeitergebnisse</w:t>
      </w:r>
    </w:p>
    <w:p>
      <w:r>
        <w:rPr>
          <w:i/>
          <w:color w:val="666666"/>
          <w:sz w:val="18"/>
        </w:rPr>
        <w:t>Odom JN et al.  ·  J Natl Cancer Inst  ·  24.09.2026  ·  PMID 42786668</w:t>
      </w:r>
    </w:p>
    <w:p>
      <w:r>
        <w:t>Randomisierte Studie (ENABLE Cornerstone) bei 222 Angehörigen und 165 Patienten mit fortgeschrittenem Krebsleiden; Intervention: Laienkurs-geführte Palliativberatung für Pflegepersonen vs. Standardversorgung über 36–48 Wochen.</w:t>
      </w:r>
    </w:p>
    <w:p>
      <w:r>
        <w:rPr>
          <w:b/>
        </w:rPr>
        <w:t xml:space="preserve">Ergebnis: </w:t>
      </w:r>
      <w:r>
        <w:t>Pflegepersonen der Interventionsgruppe: niedrigere Anforderungsbelastung (Differenz −1,54; Cohen's d −0,41; p = 0,03) bei 36 Wochen. Patienten: niedriger depressive Symptome bei 36 Wochen (Differenz −1,53; p = 0,048) und bessere körperliche Lebensqualität bei 48 Wochen (Differenz +3,93; p = 0,02). Effekte bei Subgruppen mit strukturellen Zugangsbarrieren bedeutsam.</w:t>
      </w:r>
    </w:p>
    <w:p>
      <w:r>
        <w:rPr>
          <w:b/>
          <w:sz w:val="19"/>
        </w:rPr>
        <w:t xml:space="preserve">Übertragbarkeit: </w:t>
      </w:r>
      <w:r>
        <w:rPr>
          <w:sz w:val="19"/>
        </w:rPr>
        <w:t>USA, unterrepräsentierte Bevölkerungsgruppen; Modell für deutsche Versorgungslücken anwendbar.</w:t>
      </w:r>
    </w:p>
    <w:p>
      <w:r>
        <w:rPr>
          <w:color w:val="5A7D3A"/>
          <w:sz w:val="18"/>
        </w:rPr>
        <w:t>https://pubmed.ncbi.nlm.nih.gov/42786668/</w:t>
      </w:r>
    </w:p>
    <w:p>
      <w:pPr>
        <w:pStyle w:val="Heading2"/>
      </w:pPr>
      <w:r>
        <w:t>Keramidsynthese und YAP-Signalweg treiben Kolonkarzinom-Metastasen</w:t>
      </w:r>
    </w:p>
    <w:p>
      <w:r>
        <w:rPr>
          <w:i/>
          <w:color w:val="666666"/>
          <w:sz w:val="18"/>
        </w:rPr>
        <w:t>Goswami S et al.  ·  Science  ·  24.09.2026  ·  PMID 42784694</w:t>
      </w:r>
    </w:p>
    <w:p>
      <w:r>
        <w:t>Mechanistische Studie in Zellsystemen und Tiermodellen zur Rolle von de-novo-Keramidsynthese, Desaturase Degs1 und YAP-Signalweg in der Initiierung von Kolorektalkarzinom-Metastasen unter Einfluss diätetischen Fetts.</w:t>
      </w:r>
    </w:p>
    <w:p>
      <w:r>
        <w:rPr>
          <w:b/>
        </w:rPr>
        <w:t xml:space="preserve">Ergebnis: </w:t>
      </w:r>
      <w:r>
        <w:t>Dietäres Fett löst anhaltende Keramidakkumulation aus → YAP-Aktivierung über PP2A-Dephosphorylierung → YAP-DR-Programm mit Basp1-Expression. Degs1-Knockout reduzierten Keramidspiegel, YAP-Aktivität und Metastasierung ohne Primärtumor-Wachstum zu beeinflussen. Basp1-high-Zellen waren erforderlich für Metastasierungsseeding.</w:t>
      </w:r>
    </w:p>
    <w:p>
      <w:r>
        <w:rPr>
          <w:b/>
          <w:sz w:val="19"/>
        </w:rPr>
        <w:t xml:space="preserve">Übertragbarkeit: </w:t>
      </w:r>
      <w:r>
        <w:rPr>
          <w:sz w:val="19"/>
        </w:rPr>
        <w:t>USA-Daten, Grundlagenarbeit; therapeutisches Ansatzpotential (Keramid-Inhibition) für klinische Translation.</w:t>
      </w:r>
    </w:p>
    <w:p>
      <w:r>
        <w:rPr>
          <w:color w:val="5A7D3A"/>
          <w:sz w:val="18"/>
        </w:rPr>
        <w:t>https://pubmed.ncbi.nlm.nih.gov/42784694/</w:t>
      </w:r>
    </w:p>
    <w:p>
      <w:pPr>
        <w:pStyle w:val="Heading2"/>
      </w:pPr>
      <w:r>
        <w:t>IDH-mutantes Gliom: Hirngeometrie und Hypoxie strukturieren Tumororganisation</w:t>
      </w:r>
    </w:p>
    <w:p>
      <w:r>
        <w:rPr>
          <w:i/>
          <w:color w:val="666666"/>
          <w:sz w:val="18"/>
        </w:rPr>
        <w:t>Hoefflin R et al.  ·  Cancer Cell  ·  14.09.2026  ·  PMID 42735681</w:t>
      </w:r>
    </w:p>
    <w:p>
      <w:r>
        <w:t>Räumlich-translationale Studie kombiniert Einzelzell-Proteomik und räumliche Transkriptomik bei IDH-mutierten Gliomen über alle Tumorgrade hinweg, um organisatorische Prinzipien von Tumorprogression zu identifizieren.</w:t>
      </w:r>
    </w:p>
    <w:p>
      <w:r>
        <w:rPr>
          <w:b/>
        </w:rPr>
        <w:t xml:space="preserve">Ergebnis: </w:t>
      </w:r>
      <w:r>
        <w:t>Frühe Tumore: anatomisch-getriebene Organisation an weiß-grauer Substanzgrenze, Oligodendrozyten-Vorläufer (OPC)-ähnliche Zellen preferenziell dort selektioniert. Intermediate Tumore: Desorganisation mit wenigen Zell-Wechselwirkungen. Hochtgradige: Hypoxie-assoziierte Struktur ähnlich IDH-Wildtyp-Glioblastom. Zwei unabhängige räumliche Organisationsachsen.</w:t>
      </w:r>
    </w:p>
    <w:p>
      <w:r>
        <w:rPr>
          <w:b/>
          <w:sz w:val="19"/>
        </w:rPr>
        <w:t xml:space="preserve">Übertragbarkeit: </w:t>
      </w:r>
      <w:r>
        <w:rPr>
          <w:sz w:val="19"/>
        </w:rPr>
        <w:t>Europäisch-israelische Kooperation, Grundlagen für Zielpriorisierung bei Gliom-Therapie.</w:t>
      </w:r>
    </w:p>
    <w:p>
      <w:r>
        <w:rPr>
          <w:color w:val="5A7D3A"/>
          <w:sz w:val="18"/>
        </w:rPr>
        <w:t>https://pubmed.ncbi.nlm.nih.gov/42735681/</w:t>
      </w:r>
    </w:p>
    <w:p>
      <w:pPr>
        <w:pStyle w:val="Heading1"/>
      </w:pPr>
      <w:r>
        <w:t>Aufgenommen am 25.09.2026</w:t>
      </w:r>
    </w:p>
    <w:p>
      <w:pPr>
        <w:pStyle w:val="Heading2"/>
      </w:pPr>
      <w:r>
        <w:t>Adaptive Hoffnung in der Onkologie – Klinischer Rahmen für patientenzentrierte Kommunikation</w:t>
      </w:r>
    </w:p>
    <w:p>
      <w:r>
        <w:rPr>
          <w:i/>
          <w:color w:val="666666"/>
          <w:sz w:val="18"/>
        </w:rPr>
        <w:t>Cherny NI et al.  ·  ESMO Open  ·  24.07.2026  ·  PMID 42785913</w:t>
      </w:r>
    </w:p>
    <w:p>
      <w:r>
        <w:t>Narrative Übersichtsarbeit (Synthesis empirischer und konzeptioneller Literatur): Hope und Despair als zentrale, oft ko-existierende Dimensionen der Krebserfahrung – ihre Determinanten, klinischen Manifestationen und Implikationen für Kommunikation und Entscheidungsfindung über die Krankheitstrajectory.</w:t>
      </w:r>
    </w:p>
    <w:p>
      <w:r>
        <w:rPr>
          <w:b/>
        </w:rPr>
        <w:t xml:space="preserve">Ergebnis: </w:t>
      </w:r>
      <w:r>
        <w:t>Hoffnung ist dynamisches, multidimensionales Konstrukt, das sich über Zeit evolves – initial auf Heilung ausgerichtet, rekalibriert oft zu erreichbaren Zielen (Symptomkontrolle, Funktion, Sinnstiftung, Würde, spiritueller Frieden). Adaptive, realitätskongruente Hoffnung durch ehrliche, mitfühlende, relational fundierte Kommunikation nachhaltig. Klinische Competency: Psychospiritual-, Relational-, interdisziplinäre Approaches (empathische Kommunikation, Symptommanagement, Meaning-Centered Interventions, Dignity-Conserving Care).</w:t>
      </w:r>
    </w:p>
    <w:p>
      <w:r>
        <w:rPr>
          <w:b/>
          <w:sz w:val="19"/>
        </w:rPr>
        <w:t xml:space="preserve">Übertragbarkeit: </w:t>
      </w:r>
      <w:r>
        <w:rPr>
          <w:sz w:val="19"/>
        </w:rPr>
        <w:t>Internationale Expert-Synthesis, direkt auf deutsches Gesundheitssystem übertragbar.</w:t>
      </w:r>
    </w:p>
    <w:p>
      <w:r>
        <w:rPr>
          <w:color w:val="5A7D3A"/>
          <w:sz w:val="18"/>
        </w:rPr>
        <w:t>https://pubmed.ncbi.nlm.nih.gov/42785913/</w:t>
      </w:r>
    </w:p>
    <w:p>
      <w:pPr>
        <w:pStyle w:val="Heading2"/>
      </w:pPr>
      <w:r>
        <w:t>Trastuzumab emtansine bei HER2+ extramammärer Paget-Erkrankung – 92,9% Ansprechrate</w:t>
      </w:r>
    </w:p>
    <w:p>
      <w:r>
        <w:rPr>
          <w:i/>
          <w:color w:val="666666"/>
          <w:sz w:val="18"/>
        </w:rPr>
        <w:t>Arakawa S et al.  ·  ESMO Open  ·  21.07.2026  ·  PMID 42785912</w:t>
      </w:r>
    </w:p>
    <w:p>
      <w:r>
        <w:t>Phase-II-Studie TEMENOS-2: 14 japanische Patienten mit HER2-positivem metastasiertem Paget-Karzinom (extramammär), Firstline Trastuzumab emtansine 3,6 mg/kg alle 3 Wochen bis 2 Jahre.</w:t>
      </w:r>
    </w:p>
    <w:p>
      <w:r>
        <w:rPr>
          <w:b/>
        </w:rPr>
        <w:t xml:space="preserve">Ergebnis: </w:t>
      </w:r>
      <w:r>
        <w:t>Objektive Ansprechquote (zentrale Bewertung) 92,9% [95% CI 66,1%–99,8%]: 2 komplette, 11 partielle Remissionen, 1 Progression. Median-PFS 16,95 Monate [95% CI 5,75–n.e.]. Median-OS nicht erreicht. Grade-3-Nebenwirkungen in 42,9%, keine ≥4. Erste prospektive Evidenz für HER2-dirigierte ADC in dieser Entität.</w:t>
      </w:r>
    </w:p>
    <w:p>
      <w:r>
        <w:rPr>
          <w:b/>
          <w:sz w:val="19"/>
        </w:rPr>
        <w:t xml:space="preserve">Übertragbarkeit: </w:t>
      </w:r>
      <w:r>
        <w:rPr>
          <w:sz w:val="19"/>
        </w:rPr>
        <w:t>Japanische Studie, kleine Fallzahl (n=14); für Deutschland Übertragbarkeit HER2+ seltene Tumoren.</w:t>
      </w:r>
    </w:p>
    <w:p>
      <w:r>
        <w:rPr>
          <w:color w:val="5A7D3A"/>
          <w:sz w:val="18"/>
        </w:rPr>
        <w:t>https://pubmed.ncbi.nlm.nih.gov/42785912/</w:t>
      </w:r>
    </w:p>
    <w:p>
      <w:pPr>
        <w:pStyle w:val="Heading2"/>
      </w:pPr>
      <w:r>
        <w:t>Atezolizumab plus pertuzumab, trastuzumab, Chemotherapie – kein Vorteil für Gesamtüberleben</w:t>
      </w:r>
    </w:p>
    <w:p>
      <w:r>
        <w:rPr>
          <w:i/>
          <w:color w:val="666666"/>
          <w:sz w:val="18"/>
        </w:rPr>
        <w:t>Huober J et al.  ·  ESMO Open  ·  24.09.2026  ·  PMID 42785163</w:t>
      </w:r>
    </w:p>
    <w:p>
      <w:r>
        <w:t>Phase-III-Studie (IMpassion050): Neoadjuvante Atezolizumab-Addition zur Standard-Therapie bei HER2-positivem Frühbrustkrebs hohen Risikos – Intention-to-treat und PD-L1-positive Kohorte.</w:t>
      </w:r>
    </w:p>
    <w:p>
      <w:r>
        <w:rPr>
          <w:b/>
        </w:rPr>
        <w:t xml:space="preserve">Ergebnis: </w:t>
      </w:r>
      <w:r>
        <w:t>3-Jahres-Event-Free-Survival 91,4% (Atezolizumab) vs 89,0% (Placebo); Hazard Ratio 0,90 [95% CI 0,50–1,59]; 3-Jahres-Disease-Free-Survival 92,9% vs 88,5% (HR 0,71 [95% CI 0,38–1,32]). Keine signifikanten Unterschiede. Immuntherapie-assoziierte unerwünschte Ereignisse häufiger (59,4% vs 47,0%).</w:t>
      </w:r>
    </w:p>
    <w:p>
      <w:r>
        <w:rPr>
          <w:b/>
          <w:sz w:val="19"/>
        </w:rPr>
        <w:t xml:space="preserve">Übertragbarkeit: </w:t>
      </w:r>
      <w:r>
        <w:rPr>
          <w:sz w:val="19"/>
        </w:rPr>
        <w:t>Europäische Multicenterstudie, deutsche Beteiligung, direkt anwendbar.</w:t>
      </w:r>
    </w:p>
    <w:p>
      <w:r>
        <w:rPr>
          <w:color w:val="5A7D3A"/>
          <w:sz w:val="18"/>
        </w:rPr>
        <w:t>https://pubmed.ncbi.nlm.nih.gov/42785163/</w:t>
      </w:r>
    </w:p>
    <w:p>
      <w:pPr>
        <w:pStyle w:val="Heading2"/>
      </w:pPr>
      <w:r>
        <w:t>Retlirafusp alfa + Chemotherapie – Gesamtüberleben bei Magen-/GEJ-Karzinom um 6,4 Monate verlängert</w:t>
      </w:r>
    </w:p>
    <w:p>
      <w:r>
        <w:rPr>
          <w:i/>
          <w:color w:val="666666"/>
          <w:sz w:val="18"/>
        </w:rPr>
        <w:t>Peng Z et al.  ·  J Clin Oncol  ·  24.09.2026  ·  PMID 42784781</w:t>
      </w:r>
    </w:p>
    <w:p>
      <w:r>
        <w:t>Phase-III-Studie RELIGHT (731 Patienten): Retlirafusp alfa (Anti-PD-L1/TGF-β-Antikörper) + CAPOX versus Placebo + CAPOX als Firstline-Therapie für HER2-negatives lokal fortgeschrittenes/metastasiertes Magen-/Ösophagus-Karzinom.</w:t>
      </w:r>
    </w:p>
    <w:p>
      <w:r>
        <w:rPr>
          <w:b/>
        </w:rPr>
        <w:t xml:space="preserve">Ergebnis: </w:t>
      </w:r>
      <w:r>
        <w:t>PD-L1-CPS ≥5: Median-OS 16,8 vs 10,4 Monate (HR 0,53 [95% CI 0,40–0,68], p &lt; 0,0001). ITT-Analyse: 15,8 vs 11,2 Monate (HR 0,66 [95% CI 0,53–0,81], p &lt; 0,0001). Median-PFS 7,6 vs 5,5 Monate (HR 0,52). Toxizität vergleichbar (Grade ≥3: 62,6% vs 59,0%).</w:t>
      </w:r>
    </w:p>
    <w:p>
      <w:r>
        <w:rPr>
          <w:b/>
          <w:sz w:val="19"/>
        </w:rPr>
        <w:t xml:space="preserve">Übertragbarkeit: </w:t>
      </w:r>
      <w:r>
        <w:rPr>
          <w:sz w:val="19"/>
        </w:rPr>
        <w:t>China-Studie (Versicherungssystem unterschiedlich); in Deutschland Vergleich zu PD-1-Inhibitor+Chemotherapie erforderlich.</w:t>
      </w:r>
    </w:p>
    <w:p>
      <w:r>
        <w:rPr>
          <w:color w:val="5A7D3A"/>
          <w:sz w:val="18"/>
        </w:rPr>
        <w:t>https://pubmed.ncbi.nlm.nih.gov/42784781/</w:t>
      </w:r>
    </w:p>
    <w:p>
      <w:pPr>
        <w:pStyle w:val="Heading2"/>
      </w:pPr>
      <w:r>
        <w:t>PET/CT reduziert Planungszielvolumina in Ösophaguskarzinom-Strahlentherapie</w:t>
      </w:r>
    </w:p>
    <w:p>
      <w:r>
        <w:rPr>
          <w:i/>
          <w:color w:val="666666"/>
          <w:sz w:val="18"/>
        </w:rPr>
        <w:t>Ashykhmina V et al.  ·  Strahlenther Onkol  ·  24.09.2026  ·  PMID 42782290</w:t>
      </w:r>
    </w:p>
    <w:p>
      <w:r>
        <w:t>Retrospektive Analyse: 20 Patienten mit lokal fortgeschrittenem Ösophaguskarzinom – Vergleich PET/CT-gestützter versus CT-allein-Konturierung für Strahlenplanung.</w:t>
      </w:r>
    </w:p>
    <w:p>
      <w:r>
        <w:rPr>
          <w:b/>
        </w:rPr>
        <w:t xml:space="preserve">Ergebnis: </w:t>
      </w:r>
      <w:r>
        <w:t>PET/CT reduziert Zielvolumen signifikant (mittleres PTV 602,3 ± 267,4 cm³ auf 453,2 ± 237,4 cm³, p &lt; 0,001). Lungen-V20 sank von 10,39 ± 1,23% auf 7,85 ± 1,18% (p = 0,001). Geometrische Unterschiede &gt;100 cm³ in 20% der Fälle. Interobserver-Variabilität beim PET/CT-Targeting niedriger.</w:t>
      </w:r>
    </w:p>
    <w:p>
      <w:r>
        <w:rPr>
          <w:b/>
          <w:sz w:val="19"/>
        </w:rPr>
        <w:t xml:space="preserve">Übertragbarkeit: </w:t>
      </w:r>
      <w:r>
        <w:rPr>
          <w:sz w:val="19"/>
        </w:rPr>
        <w:t>Deutsche Klinik (Magdeburg), prospektive Validierung erforderlich.</w:t>
      </w:r>
    </w:p>
    <w:p>
      <w:r>
        <w:rPr>
          <w:color w:val="5A7D3A"/>
          <w:sz w:val="18"/>
        </w:rPr>
        <w:t>https://pubmed.ncbi.nlm.nih.gov/42782290/</w:t>
      </w:r>
    </w:p>
    <w:p>
      <w:pPr>
        <w:pStyle w:val="Heading2"/>
      </w:pPr>
      <w:r>
        <w:t>Re-Bestrahlung zentraler Lungenkarzinom-Rezidive – 1-Jahres-Überleben 61%</w:t>
      </w:r>
    </w:p>
    <w:p>
      <w:r>
        <w:rPr>
          <w:i/>
          <w:color w:val="666666"/>
          <w:sz w:val="18"/>
        </w:rPr>
        <w:t>Farnik F et al.  ·  Strahlenther Onkol  ·  24.09.2026  ·  PMID 42782288</w:t>
      </w:r>
    </w:p>
    <w:p>
      <w:r>
        <w:t>Monozentrische Analyse: 30 Patienten mit zentral gelegenem Lungenkarzinom-Rezidiv 2014–2024, Typ-2-Re-Bestrahlung mit individualisierter Dosierung.</w:t>
      </w:r>
    </w:p>
    <w:p>
      <w:r>
        <w:rPr>
          <w:b/>
        </w:rPr>
        <w:t xml:space="preserve">Ergebnis: </w:t>
      </w:r>
      <w:r>
        <w:t>1-Jahres-Gesamtüberleben 61%, 1-Jahres-Progression-Free-Survival 19,3%, 1-Jahres-Lokalkontrolle 80,1%. Mediane EQD2 49,5 Gy. Nur ein Fall Grade-3-Spätkomplikation (Ösophagusstenose), gute Verträglichkeit. Alter &gt;65 Jahre einziger unabhängiger Prognosefaktor für besseres PFS.</w:t>
      </w:r>
    </w:p>
    <w:p>
      <w:r>
        <w:rPr>
          <w:b/>
          <w:sz w:val="19"/>
        </w:rPr>
        <w:t xml:space="preserve">Übertragbarkeit: </w:t>
      </w:r>
      <w:r>
        <w:rPr>
          <w:sz w:val="19"/>
        </w:rPr>
        <w:t>Deutsche Monocenterstudie (Erlangen), begrenzte Fallzahl.</w:t>
      </w:r>
    </w:p>
    <w:p>
      <w:r>
        <w:rPr>
          <w:color w:val="5A7D3A"/>
          <w:sz w:val="18"/>
        </w:rPr>
        <w:t>https://pubmed.ncbi.nlm.nih.gov/42782288/</w:t>
      </w:r>
    </w:p>
    <w:p>
      <w:pPr>
        <w:pStyle w:val="Heading1"/>
      </w:pPr>
      <w:r>
        <w:t>Aufgenommen am 24.09.2026</w:t>
      </w:r>
    </w:p>
    <w:p>
      <w:pPr>
        <w:pStyle w:val="Heading2"/>
      </w:pPr>
      <w:r>
        <w:t>BCG plus Immune Checkpoint Inhibitor erhöht systemische Toxizität bei Blasenkrebs deutlich</w:t>
      </w:r>
    </w:p>
    <w:p>
      <w:r>
        <w:rPr>
          <w:i/>
          <w:color w:val="666666"/>
          <w:sz w:val="18"/>
        </w:rPr>
        <w:t>Ciccarese C et al.  ·  ESMO Open  ·  23.09.2026  ·  PMID 42777327</w:t>
      </w:r>
    </w:p>
    <w:p>
      <w:r>
        <w:t>Metaanalyse von drei Phase-III-Studien (1.895 Patienten) zur Sicherheit intravesikaler BCG-Immunchemotherapie gegenüber BCG allein bei nicht-muskelinvasivem Harnblasenkarzinom.</w:t>
      </w:r>
    </w:p>
    <w:p>
      <w:r>
        <w:rPr>
          <w:b/>
        </w:rPr>
        <w:t xml:space="preserve">Ergebnis: </w:t>
      </w:r>
      <w:r>
        <w:t>BCG plus Immune Checkpoint Inhibitor verdoppelte schwere Nebenwirkungen (Grad ≥3: RR 4,02; p&lt;0,00001) und erhöhte therapiebedingte schwere Ereignisse 4,5-fach (RR 4,54; p=0,0001), hauptsächlich durch systemische immunvermittelte Ereignisse (RR 15,18; p&lt;0,0001). Lokale Blasensymptome ähnlich zwischen Gruppen.</w:t>
      </w:r>
    </w:p>
    <w:p>
      <w:r>
        <w:rPr>
          <w:b/>
          <w:sz w:val="19"/>
        </w:rPr>
        <w:t xml:space="preserve">Übertragbarkeit: </w:t>
      </w:r>
      <w:r>
        <w:rPr>
          <w:sz w:val="19"/>
        </w:rPr>
        <w:t>Europa-Studie mit deutschen und österreichischen Zentren, direkt anwendbar</w:t>
      </w:r>
    </w:p>
    <w:p>
      <w:r>
        <w:rPr>
          <w:color w:val="5A7D3A"/>
          <w:sz w:val="18"/>
        </w:rPr>
        <w:t>https://pubmed.ncbi.nlm.nih.gov/42777327/</w:t>
      </w:r>
    </w:p>
    <w:p>
      <w:pPr>
        <w:pStyle w:val="Heading2"/>
      </w:pPr>
      <w:r>
        <w:t>FLOT plus Nivolumab bei Magenkrebse: Monocyten-Lymphozyten-Ratio identifiziert Profiteure</w:t>
      </w:r>
    </w:p>
    <w:p>
      <w:r>
        <w:rPr>
          <w:i/>
          <w:color w:val="666666"/>
          <w:sz w:val="18"/>
        </w:rPr>
        <w:t>Masetti M et al.  ·  Eur J Cancer  ·  10.09.2026  ·  PMID 42777290</w:t>
      </w:r>
    </w:p>
    <w:p>
      <w:r>
        <w:t>Extended Follow-up einer deutschen Multizenterstudie (Arm C: 52 Patienten mit mCRPC) zu FLOT-Chemotherapie plus Nivolumab mit Biomarker-Stratifizierung für Magenkarzinom.</w:t>
      </w:r>
    </w:p>
    <w:p>
      <w:r>
        <w:rPr>
          <w:b/>
        </w:rPr>
        <w:t xml:space="preserve">Ergebnis: </w:t>
      </w:r>
      <w:r>
        <w:t>Mediane OS 14,6 Monate; bei CPS≥1 plus niedriger MLR (Monocyten-Lymphozyten-Ratio) OS 32,3 vs. 7,4 Monate (p=0,044). NLR und MLR korrelierten mit Überleben; Schmerz verbesserte sich, Müdigkeit und körperliche Funktionsfähigkeit verschlechterten sich.</w:t>
      </w:r>
    </w:p>
    <w:p>
      <w:r>
        <w:rPr>
          <w:b/>
          <w:sz w:val="19"/>
        </w:rPr>
        <w:t xml:space="preserve">Übertragbarkeit: </w:t>
      </w:r>
      <w:r>
        <w:rPr>
          <w:sz w:val="19"/>
        </w:rPr>
        <w:t>Deutsche Klinikdaten aus 19 Zentren, vollständig übertragbar</w:t>
      </w:r>
    </w:p>
    <w:p>
      <w:r>
        <w:rPr>
          <w:color w:val="5A7D3A"/>
          <w:sz w:val="18"/>
        </w:rPr>
        <w:t>https://pubmed.ncbi.nlm.nih.gov/42777290/</w:t>
      </w:r>
    </w:p>
    <w:p>
      <w:pPr>
        <w:pStyle w:val="Heading2"/>
      </w:pPr>
      <w:r>
        <w:t>ODM-209 zeigt Aktivität bei kastrationsresistentem Prostatakarzinom mit AR-LBD-Mutationen</w:t>
      </w:r>
    </w:p>
    <w:p>
      <w:r>
        <w:rPr>
          <w:i/>
          <w:color w:val="666666"/>
          <w:sz w:val="18"/>
        </w:rPr>
        <w:t>Bernard-Tessier A et al.  ·  Eur J Cancer  ·  12.09.2026  ·  PMID 42777289</w:t>
      </w:r>
    </w:p>
    <w:p>
      <w:r>
        <w:t>Phase-I-Studie (STESIDES, 38 Patienten) zu ODM-209, einem CYP11A1-Inhibitor, der alle Steroidhormon-Synthese blockiert, bei metastasiertem kastrationsresistentem Prostatakarzinom und fortgeschrittenem Brustkrebs.</w:t>
      </w:r>
    </w:p>
    <w:p>
      <w:r>
        <w:rPr>
          <w:b/>
        </w:rPr>
        <w:t xml:space="preserve">Ergebnis: </w:t>
      </w:r>
      <w:r>
        <w:t>PSA-Abfall ≥50 % bei 29 % der mCRPC-Patienten (10/34); bei AR-LBD-Mutationen 47 % (9/19). Partielle klinische Remission bei 19 % (3/16). Häufigste Nebenwirkungen: Müdigkeit (53 %), periphere Ödeme (34 %); 8 % erlebten schwere Nebenwirkungen, 3 Fälle ernsthafte Nebenniereninsuffizienz (eine davon DLT).</w:t>
      </w:r>
    </w:p>
    <w:p>
      <w:r>
        <w:rPr>
          <w:b/>
          <w:sz w:val="19"/>
        </w:rPr>
        <w:t xml:space="preserve">Übertragbarkeit: </w:t>
      </w:r>
      <w:r>
        <w:rPr>
          <w:sz w:val="19"/>
        </w:rPr>
        <w:t>Europäisch-finländische Studie, toxikologisches Profil übertragbar auf Deutschland</w:t>
      </w:r>
    </w:p>
    <w:p>
      <w:r>
        <w:rPr>
          <w:color w:val="5A7D3A"/>
          <w:sz w:val="18"/>
        </w:rPr>
        <w:t>https://pubmed.ncbi.nlm.nih.gov/42777289/</w:t>
      </w:r>
    </w:p>
    <w:p>
      <w:pPr>
        <w:pStyle w:val="Heading2"/>
      </w:pPr>
      <w:r>
        <w:t>Anito-cel CAR-T-Therapie erreicht 100 % Ansprechrate bei therapierefraktärem Myelom</w:t>
      </w:r>
    </w:p>
    <w:p>
      <w:r>
        <w:rPr>
          <w:i/>
          <w:color w:val="666666"/>
          <w:sz w:val="18"/>
        </w:rPr>
        <w:t>Frigault MJ et al.  ·  N Engl J Med  ·  24.09.2026  ·  PMID 42777241</w:t>
      </w:r>
    </w:p>
    <w:p>
      <w:r>
        <w:t>Phase-1-Studie (40 Patienten, 38 erhielten Anito-cel) zu autologer CAR-T-Zelltherapie mit d-Domain-BCMA-Binder bei therapierefraktärem oder rezidiviertem multiplem Myelom nach ≥3 Therapielinien.</w:t>
      </w:r>
    </w:p>
    <w:p>
      <w:r>
        <w:rPr>
          <w:b/>
        </w:rPr>
        <w:t xml:space="preserve">Ergebnis: </w:t>
      </w:r>
      <w:r>
        <w:t>Objektives Ansprechrate 100 % (38/38), komplette Remission 79 % (30/38); mediane PFS 30,2 Monate (24-Monats-PFS 57 %), 36-Monats-OS 65 %. CRS Grad 1–2 bei 94 % (beim empfohlenen Dosis-Level), kein Grad-≥3-CRS. ICANS Grad 1–2 bei 16 %, Grad 3 bei 3 % (1 Patient). Keine Neurotoxizität oder Off-Target-Effekte.</w:t>
      </w:r>
    </w:p>
    <w:p>
      <w:r>
        <w:rPr>
          <w:b/>
          <w:sz w:val="19"/>
        </w:rPr>
        <w:t xml:space="preserve">Übertragbarkeit: </w:t>
      </w:r>
      <w:r>
        <w:rPr>
          <w:sz w:val="19"/>
        </w:rPr>
        <w:t>US-Zulassungsstudie, internationale Relevanz, Verfügbarkeit in Deutschland fraglich</w:t>
      </w:r>
    </w:p>
    <w:p>
      <w:r>
        <w:rPr>
          <w:color w:val="5A7D3A"/>
          <w:sz w:val="18"/>
        </w:rPr>
        <w:t>https://pubmed.ncbi.nlm.nih.gov/42777241/</w:t>
      </w:r>
    </w:p>
    <w:p>
      <w:pPr>
        <w:pStyle w:val="Heading2"/>
      </w:pPr>
      <w:r>
        <w:t>Adjuvantes S-1 verbessert 5-Jahres-Überleben nach Gallenwegskarzinom-Resektion auf 64 %</w:t>
      </w:r>
    </w:p>
    <w:p>
      <w:r>
        <w:rPr>
          <w:i/>
          <w:color w:val="666666"/>
          <w:sz w:val="18"/>
        </w:rPr>
        <w:t>Ikeda M et al.  ·  J Clin Oncol  ·  23.09.2026  ·  PMID 42777180</w:t>
      </w:r>
    </w:p>
    <w:p>
      <w:r>
        <w:t>Japanische Phase-III-Studie (ASCOT, 440 Patienten) zu adjuvantem S-1 nach Resektion von Gallenwegskarzinom mit 5-Jahres-Follow-up (mediane Nachbeobachtung 61,5 Monate).</w:t>
      </w:r>
    </w:p>
    <w:p>
      <w:r>
        <w:rPr>
          <w:b/>
        </w:rPr>
        <w:t xml:space="preserve">Ergebnis: </w:t>
      </w:r>
      <w:r>
        <w:t>5-Jahres-OS 64 % mit S-1 versus 52 % unter Beobachtung (HR 0,72; 95%-KI 0,55–0,95; p=0,01). Mediane OS 8,2 versus 5,9 Jahre. Mediane RFS 3,5 (S-1) versus 6,1 Jahre (Beobachtung). Behandlungseffekt über Subgruppen konsistent.</w:t>
      </w:r>
    </w:p>
    <w:p>
      <w:r>
        <w:rPr>
          <w:b/>
          <w:sz w:val="19"/>
        </w:rPr>
        <w:t xml:space="preserve">Übertragbarkeit: </w:t>
      </w:r>
      <w:r>
        <w:rPr>
          <w:sz w:val="19"/>
        </w:rPr>
        <w:t>Japanisches Gesundheitssystem, internationales Standard-Chemotherapieschema, AMNOG-Nutzen möglich</w:t>
      </w:r>
    </w:p>
    <w:p>
      <w:r>
        <w:rPr>
          <w:color w:val="5A7D3A"/>
          <w:sz w:val="18"/>
        </w:rPr>
        <w:t>https://pubmed.ncbi.nlm.nih.gov/42777180/</w:t>
      </w:r>
    </w:p>
    <w:p>
      <w:pPr>
        <w:pStyle w:val="Heading2"/>
      </w:pPr>
      <w:r>
        <w:t>GeNeo-Studie: Umfassendes Genomic Profiling verdoppelt Therapieempfehlungen</w:t>
      </w:r>
    </w:p>
    <w:p>
      <w:r>
        <w:rPr>
          <w:i/>
          <w:color w:val="666666"/>
          <w:sz w:val="18"/>
        </w:rPr>
        <w:t>Toungouz GR et al.  ·  Eur J Cancer  ·  03.06.2026  ·  PMID 42773586</w:t>
      </w:r>
    </w:p>
    <w:p>
      <w:r>
        <w:t>Belgische Studie an 1.000 metastasierten oder lokal fortgeschrittenen Krebspatienten, Vergleich umfassendes Genomic Profiling (CGP) versus beschränkte lokale NGS-Panels im Rahmen der belgischen Präzisionsmedizin-Initiative.</w:t>
      </w:r>
    </w:p>
    <w:p>
      <w:r>
        <w:rPr>
          <w:b/>
        </w:rPr>
        <w:t xml:space="preserve">Ergebnis: </w:t>
      </w:r>
      <w:r>
        <w:t>CGP erfolgreich bei 93 % der Patienten; 48 % erhielten mindestens eine zusätzliche Therapieempfehlung durch nationales Molekular-Tumorboard basierend auf CGP. 61 % aller Patienten erhielten CGP-basierte Empfehlungen; 23 % davon erhalten die empfohlene Therapie (Blockage: Nichtverfügbarkeit 25 %, klinische Verschlechterung 24 %, Patientenwahl 17 %).</w:t>
      </w:r>
    </w:p>
    <w:p>
      <w:r>
        <w:rPr>
          <w:b/>
          <w:sz w:val="19"/>
        </w:rPr>
        <w:t xml:space="preserve">Übertragbarkeit: </w:t>
      </w:r>
      <w:r>
        <w:rPr>
          <w:sz w:val="19"/>
        </w:rPr>
        <w:t>Belgisches Sozialversicherungssystem, ähnlich deutschem Struktur und Zulassungswegen</w:t>
      </w:r>
    </w:p>
    <w:p>
      <w:r>
        <w:rPr>
          <w:color w:val="5A7D3A"/>
          <w:sz w:val="18"/>
        </w:rPr>
        <w:t>https://pubmed.ncbi.nlm.nih.gov/42773586/</w:t>
      </w:r>
    </w:p>
    <w:p>
      <w:pPr>
        <w:pStyle w:val="Heading1"/>
      </w:pPr>
      <w:r>
        <w:t>Aufgenommen am 23.09.2026</w:t>
      </w:r>
    </w:p>
    <w:p>
      <w:pPr>
        <w:pStyle w:val="Heading2"/>
      </w:pPr>
      <w:r>
        <w:t>Chemotherapie und höheres Alter verschlechtern funktionelle Erholung bei älteren Brustkrebsüberlebenden</w:t>
      </w:r>
    </w:p>
    <w:p>
      <w:r>
        <w:rPr>
          <w:i/>
          <w:color w:val="666666"/>
          <w:sz w:val="18"/>
        </w:rPr>
        <w:t>Cespedes Feliciano EM et al.  ·  J Natl Cancer Inst  ·  23.09.2026  ·  PMID 42772761</w:t>
      </w:r>
    </w:p>
    <w:p>
      <w:r>
        <w:t>Vergleich wiederholter SF-36-Funktionswerte (Lebensqualität) von 6462 Patientinnen mit lokalisiertem und 1872 mit regionalem Brustkrebs vs. 37 196 krebsfreie altersgerechte Kontrollen über 15 Jahre aus der Women's Health Initiative.</w:t>
      </w:r>
    </w:p>
    <w:p>
      <w:r>
        <w:rPr>
          <w:b/>
        </w:rPr>
        <w:t xml:space="preserve">Ergebnis: </w:t>
      </w:r>
      <w:r>
        <w:t>Überlebende zeigten anhaltende funktionelle Defizite: Nach regionalem Krebs −6,8 Punkte (Jahr 1), −5,3 (Jahr 10) gegenüber Kontrollen. Chemotherapie verschärfte frühe Rückgänge (−7,1 Jahr 1). Frauen unter 70 Jahren zeigten bessere Erholung. Bessere Prediagnose-Lebensstiländerungen korrelierten mit größerer funktioneller Reserve und Erholungsfähigkeit.</w:t>
      </w:r>
    </w:p>
    <w:p>
      <w:r>
        <w:rPr>
          <w:b/>
          <w:sz w:val="19"/>
        </w:rPr>
        <w:t xml:space="preserve">Übertragbarkeit: </w:t>
      </w:r>
      <w:r>
        <w:rPr>
          <w:sz w:val="19"/>
        </w:rPr>
        <w:t>US-Daten mit großem Stichprobenumfang; Prinzipien der Unterstützung bei funktioneller Rehabilitation übertragbar.</w:t>
      </w:r>
    </w:p>
    <w:p>
      <w:r>
        <w:rPr>
          <w:color w:val="5A7D3A"/>
          <w:sz w:val="18"/>
        </w:rPr>
        <w:t>https://pubmed.ncbi.nlm.nih.gov/42772761/</w:t>
      </w:r>
    </w:p>
    <w:p>
      <w:pPr>
        <w:pStyle w:val="Heading2"/>
      </w:pPr>
      <w:r>
        <w:t>Molekulare Profiling-Lücke bei Medicaid-Patientinnen mit HR+/HER2−-Brustkrebs – weniger als 40 % erhalten Test</w:t>
      </w:r>
    </w:p>
    <w:p>
      <w:r>
        <w:rPr>
          <w:i/>
          <w:color w:val="666666"/>
          <w:sz w:val="18"/>
        </w:rPr>
        <w:t>Lal T et al.  ·  JCO Oncol Pract  ·  22.09.2026  ·  PMID 42771843</w:t>
      </w:r>
    </w:p>
    <w:p>
      <w:r>
        <w:t>Retrospektive Kohortenstudie mit verlinkten Krebs- und Medicaid-Claims-Daten aus Ohio: 1988 Patientinnen im Alter von 18–65 Jahren mit lokal fortgeschrittenem oder regionalem ER+/HER2−-Brustkrebs 2016–2020; Primärbefund: Erhalt von Oncotype DX oder MammaPrint innerhalb von 6 Monaten.</w:t>
      </w:r>
    </w:p>
    <w:p>
      <w:r>
        <w:rPr>
          <w:b/>
        </w:rPr>
        <w:t xml:space="preserve">Ergebnis: </w:t>
      </w:r>
      <w:r>
        <w:t>37,8 % (752 von 1988 Patientinnen) erhielten molekulares Profiling. Geringere Chancen bei regionalem gegenüber lokalisiertem Stadium (aOR 0,35, p&lt;0,001), Schwarze Frauen vs. Weiße (aOR 0,72), Einkommen über Armutsgrenze (aOR 0,73) und Medicaid-Langzeitpflege-Einschreiber (aOR 0,47). Verheiratet mit höherem Profiling (aOR 1,30).</w:t>
      </w:r>
    </w:p>
    <w:p>
      <w:r>
        <w:rPr>
          <w:b/>
          <w:sz w:val="19"/>
        </w:rPr>
        <w:t xml:space="preserve">Übertragbarkeit: </w:t>
      </w:r>
      <w:r>
        <w:rPr>
          <w:sz w:val="19"/>
        </w:rPr>
        <w:t>USA-Medicaid-Daten; Versorgungsungleichheiten ähnlich auch in Deutschland bei gesetzlicher Versicherung – Implementierungslücke bei Risikogruppen.</w:t>
      </w:r>
    </w:p>
    <w:p>
      <w:r>
        <w:rPr>
          <w:color w:val="5A7D3A"/>
          <w:sz w:val="18"/>
        </w:rPr>
        <w:t>https://pubmed.ncbi.nlm.nih.gov/42771843/</w:t>
      </w:r>
    </w:p>
    <w:p>
      <w:pPr>
        <w:pStyle w:val="Heading2"/>
      </w:pPr>
      <w:r>
        <w:t>Enfortumab Vedotin + Pembrolizumab beim Urothelkarzinom – praktisches Toxizitäts-Attributionsrahmenwerk zwischen ADC und Checkpoint-Inhibitor</w:t>
      </w:r>
    </w:p>
    <w:p>
      <w:r>
        <w:rPr>
          <w:i/>
          <w:color w:val="666666"/>
          <w:sz w:val="18"/>
        </w:rPr>
        <w:t>Zarka J et al.  ·  Oncologist  ·  21.09.2026  ·  PMID 42768457</w:t>
      </w:r>
    </w:p>
    <w:p>
      <w:r>
        <w:t>Mechanismus-informierte systematische Übersicht über Toxizitätsmuster bei Enfortumab Vedotin (EV), Pembrolizumab (P) und EV/P in fortgeschrittenem Urothelkarzinom anhand von Zulassungsstudien, Langzeitdaten und Real-World-Kohorten.</w:t>
      </w:r>
    </w:p>
    <w:p>
      <w:r>
        <w:rPr>
          <w:b/>
        </w:rPr>
        <w:t xml:space="preserve">Ergebnis: </w:t>
      </w:r>
      <w:r>
        <w:t>EV-Monotherapie: kutane Toxizität, periphere Neuropathie, Hyperglykämie, Dysgeuzie, okulare Ereignisse (frühe metabolische Events, kumulative Neuropathie). Pembrolizumab: niedrigere Hochgrad-Toxizität, aber Immune-Checkpoint-induzierte Endokrinopathien, Pneumonitis, Hepatitis, Kolitis, Nephritis. Kombination EV/P: vorhersehbare Überlappung dieser Toxizitätsdomänen; praktisches Attributionsrahmenwerk (EV-dominant, Immune-dominant, Überlappung, hohes Risiko mit Therapieunterbrechung).</w:t>
      </w:r>
    </w:p>
    <w:p>
      <w:r>
        <w:rPr>
          <w:b/>
          <w:sz w:val="19"/>
        </w:rPr>
        <w:t xml:space="preserve">Übertragbarkeit: </w:t>
      </w:r>
      <w:r>
        <w:rPr>
          <w:sz w:val="19"/>
        </w:rPr>
        <w:t>Mayo-Klinik-Kohorte; Toxizitäts-Management-Schemata und Attributionsrahmen für europäische/deutsche Urothelkarzinom-Praxen anwendbar.</w:t>
      </w:r>
    </w:p>
    <w:p>
      <w:r>
        <w:rPr>
          <w:color w:val="5A7D3A"/>
          <w:sz w:val="18"/>
        </w:rPr>
        <w:t>https://pubmed.ncbi.nlm.nih.gov/42768457/</w:t>
      </w:r>
    </w:p>
    <w:p>
      <w:pPr>
        <w:pStyle w:val="Heading2"/>
      </w:pPr>
      <w:r>
        <w:t>γδ-T-Zellen fördern Anti-Tumor-Immunität beim kleinzelligen Lungenkrebs – klinische Basis für BiTE-Therapie</w:t>
      </w:r>
    </w:p>
    <w:p>
      <w:r>
        <w:rPr>
          <w:i/>
          <w:color w:val="666666"/>
          <w:sz w:val="18"/>
        </w:rPr>
        <w:t>Ng J et al.  ·  Cancer Cell  ·  18.09.2026  ·  PMID 42759517</w:t>
      </w:r>
    </w:p>
    <w:p>
      <w:r>
        <w:t>Single-Cell-Transkriptomik in SCLC-Biopsien, kombiniert mit Analyse von zwei praxisverändernden klinischen Studien und Vormodellen, zur Rolle von γδ-T-Zellen bei Anti-PD-L1-Ansprechen und BiTE-Umleitung (Tarlatamab).</w:t>
      </w:r>
    </w:p>
    <w:p>
      <w:r>
        <w:rPr>
          <w:b/>
        </w:rPr>
        <w:t xml:space="preserve">Ergebnis: </w:t>
      </w:r>
      <w:r>
        <w:t>γδ-T-Zell-Infiltration in SCLC-Biospecimens nachgewiesen. Trotz PD-1-Expression behielten γδ-T-Zellen zytotoxisches Transkriptionsprofil. Hohe γδ-T-Zell-Infiltration sagte verbessertes Ansprechen auf Anti-PD-L1 in zwei Studien voraus. Vormodelle zeigten γδ-T-Zellen wirksam bei Tarlatamab-umgeleiteter SCLC-Abtötung; Zoledronsäure sensibilisierte SCLC-Zellen für γδ-T-Zell-vermittelte Tötung.</w:t>
      </w:r>
    </w:p>
    <w:p>
      <w:r>
        <w:rPr>
          <w:b/>
          <w:sz w:val="19"/>
        </w:rPr>
        <w:t xml:space="preserve">Übertragbarkeit: </w:t>
      </w:r>
      <w:r>
        <w:rPr>
          <w:sz w:val="19"/>
        </w:rPr>
        <w:t>Australisch-deutsche Kohorte; Grundlagenbefund mit erkennbarem Weg zu klinischen BiTE- und Kombinationsansätzen.</w:t>
      </w:r>
    </w:p>
    <w:p>
      <w:r>
        <w:rPr>
          <w:color w:val="5A7D3A"/>
          <w:sz w:val="18"/>
        </w:rPr>
        <w:t>https://pubmed.ncbi.nlm.nih.gov/42759517/</w:t>
      </w:r>
    </w:p>
    <w:p>
      <w:pPr>
        <w:pStyle w:val="Heading2"/>
      </w:pPr>
      <w:r>
        <w:t>Adjuvante Therapie der HR+/HER2−-Brustkrebse bei prämenopausalen Frauen: Klinischer Rahmen zu Endokrinologie, CDK4/6-Inhibitoren und Ovarialsuppression</w:t>
      </w:r>
    </w:p>
    <w:p>
      <w:r>
        <w:rPr>
          <w:i/>
          <w:color w:val="666666"/>
          <w:sz w:val="18"/>
        </w:rPr>
        <w:t>Licata L et al.  ·  Ann Oncol  ·  17.09.2026  ·  PMID 42754095</w:t>
      </w:r>
    </w:p>
    <w:p>
      <w:r>
        <w:t>Systematische Zusammenfassung und klinischer Orientierungsrahmen zu Unsicherheiten in der adjuvanten Therapie von prämenopausalen Frauen mit hormonrezeptorpositivem, HER2-negativem frühem Brustkrebs über Endokrinotherapie, CDK4/6-Inhibitoren, Ovarialsuppression und Toxizitätsmanagement.</w:t>
      </w:r>
    </w:p>
    <w:p>
      <w:r>
        <w:rPr>
          <w:b/>
        </w:rPr>
        <w:t xml:space="preserve">Ergebnis: </w:t>
      </w:r>
      <w:r>
        <w:t>Endokrinie mit CDK4/6-Inhibitoren in ausgewählten höheren Risiken bleibt Grundpfeiler. Offene Fragen: optimale Ovarialsuppression, Interpretation genomischer Assays für Chemotherapieentscheidungen, Auswahl für verlängerte Endokrinotherapie, Adhärenz und Schwangerschaftsprobleme. Der Rahmen soll individualisierte Strategien für diese Population unterstützen.</w:t>
      </w:r>
    </w:p>
    <w:p>
      <w:r>
        <w:rPr>
          <w:b/>
          <w:sz w:val="19"/>
        </w:rPr>
        <w:t xml:space="preserve">Übertragbarkeit: </w:t>
      </w:r>
      <w:r>
        <w:rPr>
          <w:sz w:val="19"/>
        </w:rPr>
        <w:t>Italienische und internationale Expertise; Strukturen übertragbar auf deutsches Zentrenmanagement.</w:t>
      </w:r>
    </w:p>
    <w:p>
      <w:r>
        <w:rPr>
          <w:color w:val="5A7D3A"/>
          <w:sz w:val="18"/>
        </w:rPr>
        <w:t>https://pubmed.ncbi.nlm.nih.gov/42754095/</w:t>
      </w:r>
    </w:p>
    <w:p>
      <w:pPr>
        <w:pStyle w:val="Heading2"/>
      </w:pPr>
      <w:r>
        <w:t>Arzneimittelinteraktionen beim Prostatakarzinom – digitale Tools häufig genutzt, Pharmakolog-Zugang unterentwickelt</w:t>
      </w:r>
    </w:p>
    <w:p>
      <w:r>
        <w:rPr>
          <w:i/>
          <w:color w:val="666666"/>
          <w:sz w:val="18"/>
        </w:rPr>
        <w:t>Valsecchi AA et al.  ·  Oncologist  ·  09.09.2026  ·  PMID 42747311</w:t>
      </w:r>
    </w:p>
    <w:p>
      <w:r>
        <w:t>Internationale Online-Umfrage bei 69 italienischen und 1064 weltweiten Gesundheitsberuflern zu Praktiken beim Management von Arzneimittelwechselwirkungen (DDI) beim Prostatakarzinom.</w:t>
      </w:r>
    </w:p>
    <w:p>
      <w:r>
        <w:rPr>
          <w:b/>
        </w:rPr>
        <w:t xml:space="preserve">Ergebnis: </w:t>
      </w:r>
      <w:r>
        <w:t>DDI wurden als klinisch relevant anerkannt. Digitale Werkzeuge (Online-Datenbanken, Apps) am häufigsten; KI-Tools selten. Italienische Onkologen berichteten begrenzte Vor-Ort-Pharmacolog-Unterstützung (29 %), weltweit 76 %. Hauptbarrieren: Zeitdruck, unsichere Quellenzuverlässigkeit, Mangel an Schulung. Italienische Ärzte forderten mehr Pharmacolog-Zugang; globale Kohorten: institutionelle Schulung.</w:t>
      </w:r>
    </w:p>
    <w:p>
      <w:r>
        <w:rPr>
          <w:b/>
          <w:sz w:val="19"/>
        </w:rPr>
        <w:t xml:space="preserve">Übertragbarkeit: </w:t>
      </w:r>
      <w:r>
        <w:rPr>
          <w:sz w:val="19"/>
        </w:rPr>
        <w:t>Deutsche Universitätskliniken haben oft Pharmakolog-Support; zentrale Erkenntnisse zur DDI-Managementlücke und Schulungsbedarf übertragbar.</w:t>
      </w:r>
    </w:p>
    <w:p>
      <w:r>
        <w:rPr>
          <w:color w:val="5A7D3A"/>
          <w:sz w:val="18"/>
        </w:rPr>
        <w:t>https://pubmed.ncbi.nlm.nih.gov/42747311/</w:t>
      </w:r>
    </w:p>
    <w:p>
      <w:pPr>
        <w:pStyle w:val="Heading2"/>
      </w:pPr>
      <w:r>
        <w:t>Nilotinib wirksam bei GIST-Patienten mit schwerer Imatinib-Toxizität – Therapiealternative ohne Kreuzreaktionen</w:t>
      </w:r>
    </w:p>
    <w:p>
      <w:r>
        <w:rPr>
          <w:i/>
          <w:color w:val="666666"/>
          <w:sz w:val="18"/>
        </w:rPr>
        <w:t>Falkenhorst J et al.  ·  Oncologist  ·  09.09.2026  ·  PMID 42691224</w:t>
      </w:r>
    </w:p>
    <w:p>
      <w:r>
        <w:t>Retrospektive Analyse von 20 GIST-Patienten mit schwerer Imatinib-Toxizität, die auf Nilotinib umgestellt wurden, inkl. In-vitro-Testung an Zelllinien mit KIT-Mutationen.</w:t>
      </w:r>
    </w:p>
    <w:p>
      <w:r>
        <w:rPr>
          <w:b/>
        </w:rPr>
        <w:t xml:space="preserve">Ergebnis: </w:t>
      </w:r>
      <w:r>
        <w:t>7,3 % der 1263 GIST-Patienten beendeten Imatinib wegen Toxizität. In 20 Patienten mit Nilotinib-Therapie zeigten sich keine Kreuzreaktivitäten mit Imatinib: Bei KIT-Exon-11-Mutationen wirksam, bei Exon-9- oder imatinib-resistenten Mutationen nicht. Nilotinib ist damit eine wichtige Alternative für imatinib-sensitive GIST.</w:t>
      </w:r>
    </w:p>
    <w:p>
      <w:r>
        <w:rPr>
          <w:b/>
          <w:sz w:val="19"/>
        </w:rPr>
        <w:t xml:space="preserve">Übertragbarkeit: </w:t>
      </w:r>
      <w:r>
        <w:rPr>
          <w:sz w:val="19"/>
        </w:rPr>
        <w:t>Deutsche GIST-Zentren können diese Therapieoption bei Imatinib-Unverträglichkeit einsetzen.</w:t>
      </w:r>
    </w:p>
    <w:p>
      <w:r>
        <w:rPr>
          <w:color w:val="5A7D3A"/>
          <w:sz w:val="18"/>
        </w:rPr>
        <w:t>https://pubmed.ncbi.nlm.nih.gov/42691224/</w:t>
      </w:r>
    </w:p>
    <w:p>
      <w:pPr>
        <w:pStyle w:val="Heading1"/>
      </w:pPr>
      <w:r>
        <w:t>Aufgenommen am 22.09.2026</w:t>
      </w:r>
    </w:p>
    <w:p>
      <w:pPr>
        <w:pStyle w:val="Heading2"/>
      </w:pPr>
      <w:r>
        <w:t>Symptom-Belastung während Behandlung: Starkes Prognosesignal für Überleben</w:t>
      </w:r>
    </w:p>
    <w:p>
      <w:r>
        <w:rPr>
          <w:i/>
          <w:color w:val="666666"/>
          <w:sz w:val="18"/>
        </w:rPr>
        <w:t>Hofsø K et al.  ·  ESMO Open  ·  21.09.2026  ·  PMID 42767083</w:t>
      </w:r>
    </w:p>
    <w:p>
      <w:r>
        <w:t>534 Patienten während Krebsbehandlung wurden nach Symptomen klassifiziert; die Assoziation zwischen Symptombelastung und langfristigem Überleben wurde 12–15 Jahre später gemessen.</w:t>
      </w:r>
    </w:p>
    <w:p>
      <w:r>
        <w:rPr>
          <w:b/>
        </w:rPr>
        <w:t xml:space="preserve">Ergebnis: </w:t>
      </w:r>
      <w:r>
        <w:t>Patienten mit durchgehend hoher Symptombelastung zeigten eine höhere Mortalität (HR 1,48; 95% KI 1,14–1,94) als andere Symptomgruppen. Symptomklassen könnten zur Risikoschichtung herangezogen werden.</w:t>
      </w:r>
    </w:p>
    <w:p>
      <w:r>
        <w:rPr>
          <w:b/>
          <w:sz w:val="19"/>
        </w:rPr>
        <w:t xml:space="preserve">Übertragbarkeit: </w:t>
      </w:r>
      <w:r>
        <w:rPr>
          <w:sz w:val="19"/>
        </w:rPr>
        <w:t>Norwegen, Versicherungssystem und Onkologieversorgung vergleichbar mit Deutschland.</w:t>
      </w:r>
    </w:p>
    <w:p>
      <w:r>
        <w:rPr>
          <w:color w:val="5A7D3A"/>
          <w:sz w:val="18"/>
        </w:rPr>
        <w:t>https://pubmed.ncbi.nlm.nih.gov/42767083/</w:t>
      </w:r>
    </w:p>
    <w:p>
      <w:pPr>
        <w:pStyle w:val="Heading2"/>
      </w:pPr>
      <w:r>
        <w:t>Dosisreduktion bei Ewing-Sarkom: Verzicht auf Therapie verschärft Prognose nicht</w:t>
      </w:r>
    </w:p>
    <w:p>
      <w:r>
        <w:rPr>
          <w:i/>
          <w:color w:val="666666"/>
          <w:sz w:val="18"/>
        </w:rPr>
        <w:t>Liu Y et al.  ·  Eur J Cancer  ·  16.09.2026  ·  PMID 42766959</w:t>
      </w:r>
    </w:p>
    <w:p>
      <w:r>
        <w:t>Euro Ewing 2012-Daten von 534 Patienten wurden analysiert, um die Auswirkung von Chemotherapie-Dosisanpassungen auf ereignisfreies Überleben zu quantifizieren.</w:t>
      </w:r>
    </w:p>
    <w:p>
      <w:r>
        <w:rPr>
          <w:b/>
        </w:rPr>
        <w:t xml:space="preserve">Ergebnis: </w:t>
      </w:r>
      <w:r>
        <w:t>Dosisreduktion war protektiv (HR 0,69; KI 0,39–1,24), Therapieverzögerung neutral (HR 1,02; KI 0,90–1,15); beide nicht signifikant. Toxizitätsmanagement durch Dosisanpassung beeinträchtigt Prognose nicht wesentlich.</w:t>
      </w:r>
    </w:p>
    <w:p>
      <w:r>
        <w:rPr>
          <w:b/>
          <w:sz w:val="19"/>
        </w:rPr>
        <w:t xml:space="preserve">Übertragbarkeit: </w:t>
      </w:r>
      <w:r>
        <w:rPr>
          <w:sz w:val="19"/>
        </w:rPr>
        <w:t>Europäische Studie, multinationale Kohorte, Ergebnisse übertragbar auf deutsches Versorgungssystem.</w:t>
      </w:r>
    </w:p>
    <w:p>
      <w:r>
        <w:rPr>
          <w:color w:val="5A7D3A"/>
          <w:sz w:val="18"/>
        </w:rPr>
        <w:t>https://pubmed.ncbi.nlm.nih.gov/42766959/</w:t>
      </w:r>
    </w:p>
    <w:p>
      <w:pPr>
        <w:pStyle w:val="Heading2"/>
      </w:pPr>
      <w:r>
        <w:t>Operationsrand bei Brustkrebs in situ: Unter 2 mm nicht automatisch ungünstiger</w:t>
      </w:r>
    </w:p>
    <w:p>
      <w:r>
        <w:rPr>
          <w:i/>
          <w:color w:val="666666"/>
          <w:sz w:val="18"/>
        </w:rPr>
        <w:t>Nash AL et al.  ·  J Clin Oncol  ·  21.09.2026  ·  PMID 42766806</w:t>
      </w:r>
    </w:p>
    <w:p>
      <w:r>
        <w:t>11.156 Frauen mit DCIS wurden nach Operationsrandbreite klassifiziert und lokales Rezidivrisiko gemessen; multivariables Cox-Modell nach klinischen Faktoren adjustiert.</w:t>
      </w:r>
    </w:p>
    <w:p>
      <w:r>
        <w:rPr>
          <w:b/>
        </w:rPr>
        <w:t xml:space="preserve">Ergebnis: </w:t>
      </w:r>
      <w:r>
        <w:t>Bei negativem Rand zeigt sich kein signifikanter Unterschied zwischen &lt;2 mm und ≥2 mm Randbreite in Rezidivrate. Nur in der Subgruppe &lt;50 Jahre war schmaler Rand ungünstiger. ORR Brusterhalt, Strahlentherapie, Alter, Hormonrezeptor und Tumor-Grade berücksichtigt.</w:t>
      </w:r>
    </w:p>
    <w:p>
      <w:r>
        <w:rPr>
          <w:b/>
          <w:sz w:val="19"/>
        </w:rPr>
        <w:t xml:space="preserve">Übertragbarkeit: </w:t>
      </w:r>
      <w:r>
        <w:rPr>
          <w:sz w:val="19"/>
        </w:rPr>
        <w:t>USA, Nationale Krebsdatenbank, vergleichbare Dokumentationsstandards zu deutschem Krebsregister.</w:t>
      </w:r>
    </w:p>
    <w:p>
      <w:r>
        <w:rPr>
          <w:color w:val="5A7D3A"/>
          <w:sz w:val="18"/>
        </w:rPr>
        <w:t>https://pubmed.ncbi.nlm.nih.gov/42766806/</w:t>
      </w:r>
    </w:p>
    <w:p>
      <w:pPr>
        <w:pStyle w:val="Heading2"/>
      </w:pPr>
      <w:r>
        <w:t>Krebsimpfstoffe: Überblick über Wirkmechanismen und klinische Erfolge</w:t>
      </w:r>
    </w:p>
    <w:p>
      <w:r>
        <w:rPr>
          <w:i/>
          <w:color w:val="666666"/>
          <w:sz w:val="18"/>
        </w:rPr>
        <w:t>Disis ML et al.  ·  JAMA  ·  21.09.2026  ·  PMID 42766303</w:t>
      </w:r>
    </w:p>
    <w:p>
      <w:r>
        <w:t>Systematische Übersicht der Translational-Science-Literatur zu Krebsvakzinen, deren Komponenten, Wirkungsweisen und bisherigen Zulassungserfolgen.</w:t>
      </w:r>
    </w:p>
    <w:p>
      <w:r>
        <w:rPr>
          <w:b/>
        </w:rPr>
        <w:t xml:space="preserve">Ergebnis: </w:t>
      </w:r>
      <w:r>
        <w:t>Sipuleucel-T reduzierte Mortalität um 22% vs. Placebo (HR 0,78; p=0,03). Talimogene laherparepvec erhöhte 6-Monats-Remissionsrate auf 16,3% vs. 2,1% (p&lt;0,001). mRNA-4157+Pembrolizumab verbesserte rezidivfreies Überleben bei Melanom (76,6% vs. 60%; HR 0,56; p=0,05). Nebenwirkungen überwiegend mild.</w:t>
      </w:r>
    </w:p>
    <w:p>
      <w:r>
        <w:rPr>
          <w:b/>
          <w:sz w:val="19"/>
        </w:rPr>
        <w:t xml:space="preserve">Übertragbarkeit: </w:t>
      </w:r>
      <w:r>
        <w:rPr>
          <w:sz w:val="19"/>
        </w:rPr>
        <w:t>USA-Literaturübersicht, Mechanismen und Sicherheitsprofil universell, Verfügbarkeit in Deutschland an Zulassung/Nutzenbewertung gekoppelt.</w:t>
      </w:r>
    </w:p>
    <w:p>
      <w:r>
        <w:rPr>
          <w:color w:val="5A7D3A"/>
          <w:sz w:val="18"/>
        </w:rPr>
        <w:t>https://pubmed.ncbi.nlm.nih.gov/42766303/</w:t>
      </w:r>
    </w:p>
    <w:p>
      <w:pPr>
        <w:pStyle w:val="Heading2"/>
      </w:pPr>
      <w:r>
        <w:t>Ceralasertib plus Olaparib bei HER2-negativem Triple-negativem Brustkrebs: ORR-Gewinn ohne PFS-Vorteil</w:t>
      </w:r>
    </w:p>
    <w:p>
      <w:r>
        <w:rPr>
          <w:i/>
          <w:color w:val="666666"/>
          <w:sz w:val="18"/>
        </w:rPr>
        <w:t>Tutt A et al.  ·  Clin Cancer Res  ·  21.09.2026  ·  PMID 42765908</w:t>
      </w:r>
    </w:p>
    <w:p>
      <w:r>
        <w:t>273 Patientinnen mit PARP-inhibitor-naiven, vorbehandelten triple-negativen Mammakarzinomen wurden in drei molekulare Schichten randomisiert: Olaparib allein gegen Kombinationen mit ATR- oder WEE1-Inhibitor.</w:t>
      </w:r>
    </w:p>
    <w:p>
      <w:r>
        <w:rPr>
          <w:b/>
        </w:rPr>
        <w:t xml:space="preserve">Ergebnis: </w:t>
      </w:r>
      <w:r>
        <w:t>Bei nicht-HRR-mutierten Tumoren: Ceralasertib+Olaparib erhöhte ORR auf 15,4% vs. 3,9% (p=0,0425); PFS-Mediane aber 3,6 vs. 3,6 Monate (nicht signifikant). Adavosertib+Olaparib wurde wegen Toxizität abgebrochen.</w:t>
      </w:r>
    </w:p>
    <w:p>
      <w:r>
        <w:rPr>
          <w:b/>
          <w:sz w:val="19"/>
        </w:rPr>
        <w:t xml:space="preserve">Übertragbarkeit: </w:t>
      </w:r>
      <w:r>
        <w:rPr>
          <w:sz w:val="19"/>
        </w:rPr>
        <w:t>Internationale Studie, einschl. Deutschland/Belgien, vergleichbare onkologische Versorgung, Ergebnis beschränkt: ORR-Gewinn ohne Überleben-Nutzen fraglich.</w:t>
      </w:r>
    </w:p>
    <w:p>
      <w:r>
        <w:rPr>
          <w:color w:val="5A7D3A"/>
          <w:sz w:val="18"/>
        </w:rPr>
        <w:t>https://pubmed.ncbi.nlm.nih.gov/42765908/</w:t>
      </w:r>
    </w:p>
    <w:p>
      <w:pPr>
        <w:pStyle w:val="Heading2"/>
      </w:pPr>
      <w:r>
        <w:t>Wirbelkörperfrakturen und Myelom-Risiko: Prospektive Kohortenstudie mit Incidental-Befunden</w:t>
      </w:r>
    </w:p>
    <w:p>
      <w:r>
        <w:rPr>
          <w:i/>
          <w:color w:val="666666"/>
          <w:sz w:val="18"/>
        </w:rPr>
        <w:t>Rønnemoes R et al.  ·  Leukemia  ·  18.09.2026  ·  PMID 42760387</w:t>
      </w:r>
    </w:p>
    <w:p>
      <w:r>
        <w:t>9.059 Personen aus bevölkerungsrepräsentativer dänischer Stichprobe erhielten CT-Scans; zufällig entdeckte Wirbelkörperfrakturen wurden als Myelom-Risikofaktor untersucht.</w:t>
      </w:r>
    </w:p>
    <w:p>
      <w:r>
        <w:rPr>
          <w:b/>
        </w:rPr>
        <w:t xml:space="preserve">Ergebnis: </w:t>
      </w:r>
      <w:r>
        <w:t>Inzidentelle Wirbelkörperfrakturen zeigten Assoziation mit erhöhtem Myelom-Risiko; Ergebnisse liegen noch in Publikation vor, konkrete Hazard-Ratio nicht im vorliegenden Abstract genannt.</w:t>
      </w:r>
    </w:p>
    <w:p>
      <w:r>
        <w:rPr>
          <w:b/>
          <w:sz w:val="19"/>
        </w:rPr>
        <w:t xml:space="preserve">Übertragbarkeit: </w:t>
      </w:r>
      <w:r>
        <w:rPr>
          <w:sz w:val="19"/>
        </w:rPr>
        <w:t>Dänemark, nationale Bevölkerungsstudie, Diagnostik durch Standardbildgebung deutschem Standard entsprechend.</w:t>
      </w:r>
    </w:p>
    <w:p>
      <w:r>
        <w:rPr>
          <w:color w:val="5A7D3A"/>
          <w:sz w:val="18"/>
        </w:rPr>
        <w:t>https://pubmed.ncbi.nlm.nih.gov/42760387/</w:t>
      </w:r>
    </w:p>
    <w:p>
      <w:pPr>
        <w:pStyle w:val="Heading1"/>
      </w:pPr>
      <w:r>
        <w:t>Aufgenommen am 21.09.2026</w:t>
      </w:r>
    </w:p>
    <w:p>
      <w:pPr>
        <w:pStyle w:val="Heading2"/>
      </w:pPr>
      <w:r>
        <w:t>SABR bei oligometastatischem Brustkrebs: Lokale Kontrolle 92,5% in 1 Jahr</w:t>
      </w:r>
    </w:p>
    <w:p>
      <w:r>
        <w:rPr>
          <w:i/>
          <w:color w:val="666666"/>
          <w:sz w:val="18"/>
        </w:rPr>
        <w:t>Viani GA et al.  ·  Radiother Oncol  ·  20.09.2026  ·  PMID 42764105</w:t>
      </w:r>
    </w:p>
    <w:p>
      <w:r>
        <w:t>Metaanalyse von 25 Studien (1.577 Patienten) zu stereotaktischer ablativer Radiotherapie bei oligometastatischem Brustkrebs.</w:t>
      </w:r>
    </w:p>
    <w:p>
      <w:r>
        <w:rPr>
          <w:b/>
        </w:rPr>
        <w:t xml:space="preserve">Ergebnis: </w:t>
      </w:r>
      <w:r>
        <w:t>Lokale Kontrolle nach 1 Jahr: 92,5 % (95% KI 90,4–94,2), nach 2 Jahren 84,6 % (81,1–87,6). De-novo-Oligometastasen zeigten bessere Ergebnisse als Oligoprogression (OS nach 2 Jahren 91,0 vs. 65,8 %; p=0,002). Grad ≥3-Nebenwirkungen in nur 1,5 % der Patienten.</w:t>
      </w:r>
    </w:p>
    <w:p>
      <w:r>
        <w:rPr>
          <w:b/>
          <w:sz w:val="19"/>
        </w:rPr>
        <w:t xml:space="preserve">Übertragbarkeit: </w:t>
      </w:r>
      <w:r>
        <w:rPr>
          <w:sz w:val="19"/>
        </w:rPr>
        <w:t>Europäische und internationale Studien, vergleichbare Versorgungsstandards</w:t>
      </w:r>
    </w:p>
    <w:p>
      <w:r>
        <w:rPr>
          <w:color w:val="5A7D3A"/>
          <w:sz w:val="18"/>
        </w:rPr>
        <w:t>https://pubmed.ncbi.nlm.nih.gov/42764105/</w:t>
      </w:r>
    </w:p>
    <w:p>
      <w:pPr>
        <w:pStyle w:val="Heading2"/>
      </w:pPr>
      <w:r>
        <w:t>Screening für Schmerz und Depression verbessert sich, aber nicht die Symptomlinderung</w:t>
      </w:r>
    </w:p>
    <w:p>
      <w:r>
        <w:rPr>
          <w:i/>
          <w:color w:val="666666"/>
          <w:sz w:val="18"/>
        </w:rPr>
        <w:t>Huang TQ et al.  ·  JCO Oncol Pract  ·  17.09.2026  ·  PMID 42753214</w:t>
      </w:r>
    </w:p>
    <w:p>
      <w:r>
        <w:t>Analyse von Patienten-Erfahrungsdaten aus dem Oncology Care Model (USA) 2017–2022: Trend von praxis-dokumentierten Screening-Raten vs. Patient-reported Outcomes.</w:t>
      </w:r>
    </w:p>
    <w:p>
      <w:r>
        <w:rPr>
          <w:b/>
        </w:rPr>
        <w:t xml:space="preserve">Ergebnis: </w:t>
      </w:r>
      <w:r>
        <w:t>Praxis-berichtete Schmerz-Screening/-Management-Raten stiegen von 76,5 % auf 92,6 % (2017–2022); Depression von 56,6 % auf 81,7 %. Aber patient-berichtete Schmerzen nahmen leicht ab (–0,2 Prozentpunkte/Quartal; p=0,002), Hilfe bei Symptomen stieg nicht (p&gt;0,20).</w:t>
      </w:r>
    </w:p>
    <w:p>
      <w:r>
        <w:rPr>
          <w:b/>
          <w:sz w:val="19"/>
        </w:rPr>
        <w:t xml:space="preserve">Übertragbarkeit: </w:t>
      </w:r>
      <w:r>
        <w:rPr>
          <w:sz w:val="19"/>
        </w:rPr>
        <w:t>USA, Qualitätsmessung im Versicherungssystem unterscheidet sich von Deutschland</w:t>
      </w:r>
    </w:p>
    <w:p>
      <w:r>
        <w:rPr>
          <w:color w:val="5A7D3A"/>
          <w:sz w:val="18"/>
        </w:rPr>
        <w:t>https://pubmed.ncbi.nlm.nih.gov/42753214/</w:t>
      </w:r>
    </w:p>
    <w:p>
      <w:pPr>
        <w:pStyle w:val="Heading2"/>
      </w:pPr>
      <w:r>
        <w:t>MET-Biomarker-Schwellenwerte bei Osimertinib-resistentem EGFR-mutiertem Lungenkarzinom</w:t>
      </w:r>
    </w:p>
    <w:p>
      <w:r>
        <w:rPr>
          <w:i/>
          <w:color w:val="666666"/>
          <w:sz w:val="18"/>
        </w:rPr>
        <w:t>Ahn MJ et al.  ·  Clin Cancer Res  ·  17.09.2026  ·  PMID 42752799</w:t>
      </w:r>
    </w:p>
    <w:p>
      <w:r>
        <w:t>Retrospektive Analyse aus Phase-II-SAVANNAH-Studie: Bestimmung optimaler MET-Cutoffs (IHC/FISH) für Savolitinib plus Osimertinib bei vorbehandeltem NSCLC.</w:t>
      </w:r>
    </w:p>
    <w:p>
      <w:r>
        <w:rPr>
          <w:b/>
        </w:rPr>
        <w:t xml:space="preserve">Ergebnis: </w:t>
      </w:r>
      <w:r>
        <w:t>ORR 49 % (MET IHC 3+/≥90 % und/oder FISH 10+) vs. 9 % (MET-negativ); 32 % (MET IHC 3+/≥50 % oder FISH 5+). Prävalenz MET 3+/≥90 % oder FISH 10+ betrug 34 %. Optimale Cutoffs identifiziert für Phase-III-SAFFRON-Studie.</w:t>
      </w:r>
    </w:p>
    <w:p>
      <w:r>
        <w:rPr>
          <w:b/>
          <w:sz w:val="19"/>
        </w:rPr>
        <w:t xml:space="preserve">Übertragbarkeit: </w:t>
      </w:r>
      <w:r>
        <w:rPr>
          <w:sz w:val="19"/>
        </w:rPr>
        <w:t>Internationale Studie, Biomarker-Definition für Zulassungspfade weltweit</w:t>
      </w:r>
    </w:p>
    <w:p>
      <w:r>
        <w:rPr>
          <w:color w:val="5A7D3A"/>
          <w:sz w:val="18"/>
        </w:rPr>
        <w:t>https://pubmed.ncbi.nlm.nih.gov/42752799/</w:t>
      </w:r>
    </w:p>
    <w:p>
      <w:pPr>
        <w:pStyle w:val="Heading2"/>
      </w:pPr>
      <w:r>
        <w:t>Immun-Checkpoint-Inhibitoren bei Kopf-Hals-Tumoren mit niedriger PD-L1: verschlechterte Überlebensergebnisse</w:t>
      </w:r>
    </w:p>
    <w:p>
      <w:r>
        <w:rPr>
          <w:i/>
          <w:color w:val="666666"/>
          <w:sz w:val="18"/>
        </w:rPr>
        <w:t>Jin M et al.  ·  JAMA Oncol  ·  17.09.2026  ·  PMID 42752536</w:t>
      </w:r>
    </w:p>
    <w:p>
      <w:r>
        <w:t>Bayessche Metaanalyse von 7 randomisierten Studien (630 Patienten mit PD-L1 CPS &lt;1) zum Overall Survival unter ICI-Therapie vs. Standard-Chemotherapie bei Kopf-Hals-Karzinomen.</w:t>
      </w:r>
    </w:p>
    <w:p>
      <w:r>
        <w:rPr>
          <w:b/>
        </w:rPr>
        <w:t xml:space="preserve">Ergebnis: </w:t>
      </w:r>
      <w:r>
        <w:t>Posterior-Wahrscheinlichkeit für schlechteres OS unter ICI: 95,6 %. Bayesscher HR 1,42 (95% KI 0,93–2,06); frequentistischer HR 1,46 (95% KI 1,17–1,83; p&lt;0,001). Empfehlung: Vorsicht bei ICI in dieser PD-L1-negativen Subgruppe.</w:t>
      </w:r>
    </w:p>
    <w:p>
      <w:r>
        <w:rPr>
          <w:b/>
          <w:sz w:val="19"/>
        </w:rPr>
        <w:t xml:space="preserve">Übertragbarkeit: </w:t>
      </w:r>
      <w:r>
        <w:rPr>
          <w:sz w:val="19"/>
        </w:rPr>
        <w:t>USA und internationale Studien, Befund ist allgemein anwendbar</w:t>
      </w:r>
    </w:p>
    <w:p>
      <w:r>
        <w:rPr>
          <w:color w:val="5A7D3A"/>
          <w:sz w:val="18"/>
        </w:rPr>
        <w:t>https://pubmed.ncbi.nlm.nih.gov/42752536/</w:t>
      </w:r>
    </w:p>
    <w:p>
      <w:pPr>
        <w:pStyle w:val="Heading2"/>
      </w:pPr>
      <w:r>
        <w:t>Tumorreaktion γδ T-Zell-Rezeptoren aus Myelom: Machine-Learning-Identifikation und universelle Therapie</w:t>
      </w:r>
    </w:p>
    <w:p>
      <w:r>
        <w:rPr>
          <w:i/>
          <w:color w:val="666666"/>
          <w:sz w:val="18"/>
        </w:rPr>
        <w:t>St Paul M et al.  ·  Nature  ·  16.09.2026  ·  PMID 42749802</w:t>
      </w:r>
    </w:p>
    <w:p>
      <w:r>
        <w:t>Grundlagenarbeit: PreGame-Algorithmus zur Identifikation tumorreaktiver γδ TCRs aus Single-Cell-Daten. Validierung in Patienten mit Multiplem Myelom; Expansion tumorreaktiver γδ T-Zellen als früher Biomarker für Therapieansprechen.</w:t>
      </w:r>
    </w:p>
    <w:p>
      <w:r>
        <w:rPr>
          <w:b/>
        </w:rPr>
        <w:t xml:space="preserve">Ergebnis: </w:t>
      </w:r>
      <w:r>
        <w:t>PreGame identifiziert tumorreaktion γδ T-Zellen zuverlässig. Expansion während Belantamab-Mafodotin-Therapie korrelierte mit Ansprechen. γδ TCR-Epitop in HLA-C gefunden; Potenzial für universelle γδ-TCR-Therapeutika.</w:t>
      </w:r>
    </w:p>
    <w:p>
      <w:r>
        <w:rPr>
          <w:b/>
          <w:sz w:val="19"/>
        </w:rPr>
        <w:t xml:space="preserve">Übertragbarkeit: </w:t>
      </w:r>
      <w:r>
        <w:rPr>
          <w:sz w:val="19"/>
        </w:rPr>
        <w:t>Kanada und international, Grundlagenergebnis mit Therapie-Translationspfad</w:t>
      </w:r>
    </w:p>
    <w:p>
      <w:r>
        <w:rPr>
          <w:color w:val="5A7D3A"/>
          <w:sz w:val="18"/>
        </w:rPr>
        <w:t>https://pubmed.ncbi.nlm.nih.gov/42749802/</w:t>
      </w:r>
    </w:p>
    <w:p>
      <w:pPr>
        <w:pStyle w:val="Heading2"/>
      </w:pPr>
      <w:r>
        <w:t>Sozioökonomische Disparitäten bei Sarkomdiagnose und Zentrumsanbindung</w:t>
      </w:r>
    </w:p>
    <w:p>
      <w:r>
        <w:rPr>
          <w:i/>
          <w:color w:val="666666"/>
          <w:sz w:val="18"/>
        </w:rPr>
        <w:t>Mascaró-Baselga P et al.  ·  Oncologist  ·  09.09.2026  ·  PMID 42704687</w:t>
      </w:r>
    </w:p>
    <w:p>
      <w:r>
        <w:t>Querschnittsstudie an 415 Sarkom-Patienten (365 Spanien, 50 Portugal) zu Einflussfaktoren auf Diagnostik, Überweisung und Patientengruppen-Awareness.</w:t>
      </w:r>
    </w:p>
    <w:p>
      <w:r>
        <w:rPr>
          <w:b/>
        </w:rPr>
        <w:t xml:space="preserve">Ergebnis: </w:t>
      </w:r>
      <w:r>
        <w:t>Niedrigeres Einkommen (OR 2,38) war mit längeren Diagnostik-Verzögerungen assoziiert; ländliches Wohnen (OR 3,48) mit weniger Überweisungen zu Spezialistzentren. Sarkoma-Spezifische Advocacy-Group-Awareness lag bei 20 % und war höher mit Universitätsabschluss (OR 4,27). Auch in universellen Gesundheitssystemen bestehen Ungleichheiten beim Zugang.</w:t>
      </w:r>
    </w:p>
    <w:p>
      <w:r>
        <w:rPr>
          <w:b/>
          <w:sz w:val="19"/>
        </w:rPr>
        <w:t xml:space="preserve">Übertragbarkeit: </w:t>
      </w:r>
      <w:r>
        <w:rPr>
          <w:sz w:val="19"/>
        </w:rPr>
        <w:t>Spanien und Portugal, europäische Versicherungssysteme, universale Gesundheitsversorgung</w:t>
      </w:r>
    </w:p>
    <w:p>
      <w:r>
        <w:rPr>
          <w:color w:val="5A7D3A"/>
          <w:sz w:val="18"/>
        </w:rPr>
        <w:t>https://pubmed.ncbi.nlm.nih.gov/42704687/</w:t>
      </w:r>
    </w:p>
    <w:p>
      <w:pPr>
        <w:pStyle w:val="Heading1"/>
      </w:pPr>
      <w:r>
        <w:t>Aufgenommen am 20.09.2026</w:t>
      </w:r>
    </w:p>
    <w:p>
      <w:pPr>
        <w:pStyle w:val="Heading2"/>
      </w:pPr>
      <w:r>
        <w:t>Omit-CTV in begrenzt-stadialem Kleinzellkarzinom: Gleiche Wirkung, weniger Toxizität</w:t>
      </w:r>
    </w:p>
    <w:p>
      <w:r>
        <w:rPr>
          <w:i/>
          <w:color w:val="666666"/>
          <w:sz w:val="18"/>
        </w:rPr>
        <w:t>Wang X et al.  ·  Radiother Oncol  ·  19.09.2026  ·  PMID 42763051</w:t>
      </w:r>
    </w:p>
    <w:p>
      <w:r>
        <w:t>Retrospektive Real-World-Studie an 946 Patienten mit begrenzt-stadialem Kleinzellkarzinom der Lunge zum Vergleich von Bestrahlungstechnik mit und ohne klinisches Zielvolumen.</w:t>
      </w:r>
    </w:p>
    <w:p>
      <w:r>
        <w:rPr>
          <w:b/>
        </w:rPr>
        <w:t xml:space="preserve">Ergebnis: </w:t>
      </w:r>
      <w:r>
        <w:t>Mediales PFS 11,8 vs. 11,6 Monate (HR 0,93; p=0,500), mediales OS 35,8 vs. 30,7 Monate (HR 0,85; p=0,220). Omit-CTV zeigte niedrigere Pneumonitis-Raten (Grad ≥3: 3,4 % vs. 8,3 %) und Ösophagitis (Grad ≥3: 5,7 % vs. 9,1 %). Bei Immuntherapie-Patienten: nicht erreichte PFS vs. 15,2 Monate (HR 0,48; p=0,033), nicht erreichte OS vs. 26,9 Monate (HR 0,31; p=0,018).</w:t>
      </w:r>
    </w:p>
    <w:p>
      <w:r>
        <w:rPr>
          <w:b/>
          <w:sz w:val="19"/>
        </w:rPr>
        <w:t xml:space="preserve">Übertragbarkeit: </w:t>
      </w:r>
      <w:r>
        <w:rPr>
          <w:sz w:val="19"/>
        </w:rPr>
        <w:t>China, nationale Klinikdaten; technische Replizierbarkeit international, aber Validierung erforderlich</w:t>
      </w:r>
    </w:p>
    <w:p>
      <w:r>
        <w:rPr>
          <w:color w:val="5A7D3A"/>
          <w:sz w:val="18"/>
        </w:rPr>
        <w:t>https://pubmed.ncbi.nlm.nih.gov/42763051/</w:t>
      </w:r>
    </w:p>
    <w:p>
      <w:pPr>
        <w:pStyle w:val="Heading2"/>
      </w:pPr>
      <w:r>
        <w:t>Dosisunterversorgung bei Protonentherapie: Kein Einfluss auf Ansprechen bei Ösophaguskarzinom</w:t>
      </w:r>
    </w:p>
    <w:p>
      <w:r>
        <w:rPr>
          <w:i/>
          <w:color w:val="666666"/>
          <w:sz w:val="18"/>
        </w:rPr>
        <w:t>van Keeken K et al.  ·  Radiother Oncol  ·  19.09.2026  ·  PMID 42763050</w:t>
      </w:r>
    </w:p>
    <w:p>
      <w:r>
        <w:t>Retrospektive niederländische Analyse von 135 Patienten mit distalem Ösophaguskarzinom unter neoadjuvanter Chemoradiotherapie und intensitätsmodulierter Protonentherapie zur Beziehung zwischen akkumulierter Targetdosis und Tumor-Response.</w:t>
      </w:r>
    </w:p>
    <w:p>
      <w:r>
        <w:rPr>
          <w:b/>
        </w:rPr>
        <w:t xml:space="preserve">Ergebnis: </w:t>
      </w:r>
      <w:r>
        <w:t>Dosisunterversorgung des Internal-Target-Volume (ITV D98 % &lt;94 %) trat bei 21 % auf, Gross-Tumor-Volume-Unterversorgung in 0 %. Persistierende klinische komplette Remission/pathologische komplette Remission: 30 % mit vs. 28 % ohne ITV-Unterversorgung (p=0,90). 2-Jahres-OS identisch (64 %). Zwerchfellbewegung &gt;2 cm war nicht mit Unterversorgung assoziiert.</w:t>
      </w:r>
    </w:p>
    <w:p>
      <w:r>
        <w:rPr>
          <w:b/>
          <w:sz w:val="19"/>
        </w:rPr>
        <w:t xml:space="preserve">Übertragbarkeit: </w:t>
      </w:r>
      <w:r>
        <w:rPr>
          <w:sz w:val="19"/>
        </w:rPr>
        <w:t>Niederländische Klinik, vergleichbares Versicherungssystem; Technische Parameter übertragbar</w:t>
      </w:r>
    </w:p>
    <w:p>
      <w:r>
        <w:rPr>
          <w:color w:val="5A7D3A"/>
          <w:sz w:val="18"/>
        </w:rPr>
        <w:t>https://pubmed.ncbi.nlm.nih.gov/42763050/</w:t>
      </w:r>
    </w:p>
    <w:p>
      <w:pPr>
        <w:pStyle w:val="Heading2"/>
      </w:pPr>
      <w:r>
        <w:t>MammaPrint im MINDACT: 70-Gen-Signatur bestätigt Prognosekraft bei hochrisiko-Brustkrebspatientinnen</w:t>
      </w:r>
    </w:p>
    <w:p>
      <w:r>
        <w:rPr>
          <w:i/>
          <w:color w:val="666666"/>
          <w:sz w:val="18"/>
        </w:rPr>
        <w:t>Gielen RCAM et al.  ·  Eur J Cancer  ·  11.09.2026  ·  PMID 42762561</w:t>
      </w:r>
    </w:p>
    <w:p>
      <w:r>
        <w:t>Exploratorische Subgruppen-Analyse des MINDACT-Trials zu prognostischer Performance des 70-Gen-Signatures in Patientinnen über 50 Jahren mit HR+/HER2- Brustkrebs und klinisch hohem, genomisch niedrigem Risiko, die auf Chemotherapie verzichteten.</w:t>
      </w:r>
    </w:p>
    <w:p>
      <w:r>
        <w:rPr>
          <w:b/>
        </w:rPr>
        <w:t xml:space="preserve">Ergebnis: </w:t>
      </w:r>
      <w:r>
        <w:t>Bei 490 Patientinnen mit Tumoren &gt;2 cm: 8-Jahres-DMFS 87,9 % ohne Chemotherapie (95%-KI 82,9–91,6 %), absoluter Benefit durch Chemotherapie 1,2 %. Bei Grad-3-Tumoren (n=232): DMFS 91,3 % ohne Chemotherapie, Benefit -2,2 %. Bei Lymphknoten-Befall (n=406): DMFS 89,6 %, Benefit 0,7 %. Der Signatur behält prognostische Validität in diesen Hochrisiko-Subgruppen.</w:t>
      </w:r>
    </w:p>
    <w:p>
      <w:r>
        <w:rPr>
          <w:b/>
          <w:sz w:val="19"/>
        </w:rPr>
        <w:t xml:space="preserve">Übertragbarkeit: </w:t>
      </w:r>
      <w:r>
        <w:rPr>
          <w:sz w:val="19"/>
        </w:rPr>
        <w:t>Europäischer Multizenterstudie (EORTC); GnP-Assessment, Leitlinien-relevant</w:t>
      </w:r>
    </w:p>
    <w:p>
      <w:r>
        <w:rPr>
          <w:color w:val="5A7D3A"/>
          <w:sz w:val="18"/>
        </w:rPr>
        <w:t>https://pubmed.ncbi.nlm.nih.gov/42762561/</w:t>
      </w:r>
    </w:p>
    <w:p>
      <w:pPr>
        <w:pStyle w:val="Heading2"/>
      </w:pPr>
      <w:r>
        <w:t>Zugang zu Phase-I-Studien: Barrieren und Chancen bei 26.000 Patienten</w:t>
      </w:r>
    </w:p>
    <w:p>
      <w:r>
        <w:rPr>
          <w:i/>
          <w:color w:val="666666"/>
          <w:sz w:val="18"/>
        </w:rPr>
        <w:t>Roulleaux Dugage M et al.  ·  Eur J Cancer  ·  17.09.2026  ·  PMID 42762559</w:t>
      </w:r>
    </w:p>
    <w:p>
      <w:r>
        <w:t>Französisches Einzelzentrum-Register (Gustave Roussy 2007–2023) zur Untersuchung von Überweisungs- und Einschluss-Mustern in Early-Phase-Trials sowie Dauer bis Therapie-Beginn und Behandlungs-Dauer.</w:t>
      </w:r>
    </w:p>
    <w:p>
      <w:r>
        <w:rPr>
          <w:b/>
        </w:rPr>
        <w:t xml:space="preserve">Ergebnis: </w:t>
      </w:r>
      <w:r>
        <w:t>Von 26.394 überweisenen Patienten wurden 13.713 (52 %) evaluiert, 5.847 (22 %) gaben Einwilligung ab, 4.769 (18 %) erhielten mindestens eine Dosis. Mediane Zeit von Uberweisung zu Trial-Inkl: variabel nach Tumortyp. Zugangsdisparitäten: Nicht-kleinzelliges Lungenkarzinom war häufigste Überweisung (n=5.025, 19 %), aber Brust-, Kolorektal- und Pankreaskarzinom hatten niedrige Behandlungsquoten trotz hoher Überweisungen. Therapeutische Landschaft: Anstieg von Antikörper-Wirkstoff-Konjugaten und T-Zell-Engagern, Rückgang konventioneller monoklonaler Antikörper.</w:t>
      </w:r>
    </w:p>
    <w:p>
      <w:r>
        <w:rPr>
          <w:b/>
          <w:sz w:val="19"/>
        </w:rPr>
        <w:t xml:space="preserve">Übertragbarkeit: </w:t>
      </w:r>
      <w:r>
        <w:rPr>
          <w:sz w:val="19"/>
        </w:rPr>
        <w:t>Frankreich, spezialisiertes Zentrum; begrenzte Übertragbarkeit auf Flächenversorgung, methodisch hochwertig</w:t>
      </w:r>
    </w:p>
    <w:p>
      <w:r>
        <w:rPr>
          <w:color w:val="5A7D3A"/>
          <w:sz w:val="18"/>
        </w:rPr>
        <w:t>https://pubmed.ncbi.nlm.nih.gov/42762559/</w:t>
      </w:r>
    </w:p>
    <w:p>
      <w:pPr>
        <w:pStyle w:val="Heading2"/>
      </w:pPr>
      <w:r>
        <w:t>Europäisches Netzwerk für Krebsversorgung bei Jugendlichen und jungen Erwachsenen</w:t>
      </w:r>
    </w:p>
    <w:p>
      <w:r>
        <w:rPr>
          <w:i/>
          <w:color w:val="666666"/>
          <w:sz w:val="18"/>
        </w:rPr>
        <w:t>Ferrari A et al.  ·  ESMO Open  ·  18.09.2026  ·  PMID 42759381</w:t>
      </w:r>
    </w:p>
    <w:p>
      <w:r>
        <w:t>Policy-Paper eines europäischen Expertise-Netzwerks zu Versorgung von Adoleszenten und jungen Erwachsenen (Alter 15–39 Jahre) mit Krebserkrankungen mit Fokus auf nationale Kooperation und strukturelle Maßnahmen.</w:t>
      </w:r>
    </w:p>
    <w:p>
      <w:r>
        <w:rPr>
          <w:b/>
        </w:rPr>
        <w:t xml:space="preserve">Ergebnis: </w:t>
      </w:r>
      <w:r>
        <w:t>Netzwerk empfiehlt: (1) Etablierung länderspezifischer AYA-Zentren, (2) Kooperation zwischen pädiatrischen und Erwachsenen-Onkologie-Diensten, (3) strukturierte Psychosozial-Unterstützung, (4) harmonisierte Datenerfassung für vergleichende Analyse. Hauptmerkmale: Unterschiedliche nationale Zugangsbarrieren und Versorgungsstrukturen in Europas Ländern erfordern lokale Anpassung bei gemeinsamen Standards.</w:t>
      </w:r>
    </w:p>
    <w:p>
      <w:r>
        <w:rPr>
          <w:b/>
          <w:sz w:val="19"/>
        </w:rPr>
        <w:t xml:space="preserve">Übertragbarkeit: </w:t>
      </w:r>
      <w:r>
        <w:rPr>
          <w:sz w:val="19"/>
        </w:rPr>
        <w:t>Europäischer Kontext, 14 Länder; Übertragbar auf deutsches System mit entsprechender Anpassung</w:t>
      </w:r>
    </w:p>
    <w:p>
      <w:r>
        <w:rPr>
          <w:color w:val="5A7D3A"/>
          <w:sz w:val="18"/>
        </w:rPr>
        <w:t>https://pubmed.ncbi.nlm.nih.gov/42759381/</w:t>
      </w:r>
    </w:p>
    <w:p>
      <w:pPr>
        <w:pStyle w:val="Heading2"/>
      </w:pPr>
      <w:r>
        <w:t>Internationale Konsens-Kriterien für T-Zell-Großgranulär-Lymphom-Diagnose und Therapie</w:t>
      </w:r>
    </w:p>
    <w:p>
      <w:r>
        <w:rPr>
          <w:i/>
          <w:color w:val="666666"/>
          <w:sz w:val="18"/>
        </w:rPr>
        <w:t>Brammer JE et al.  ·  Blood  ·  21.08.2026  ·  PMID 42640859</w:t>
      </w:r>
    </w:p>
    <w:p>
      <w:r>
        <w:t>Internationale Konsensus-Arbeit (LGLL Consortium) zur Etablierung einheitlicher Diagnose-, Behandlungs- und Response-Kriterien für die seltene T-Zell-Großgranulär-Leukämie zur Standardisierung klinischer und Forschungspraxis.</w:t>
      </w:r>
    </w:p>
    <w:p>
      <w:r>
        <w:rPr>
          <w:b/>
        </w:rPr>
        <w:t xml:space="preserve">Ergebnis: </w:t>
      </w:r>
      <w:r>
        <w:t>Konsens auf folgende Punkte: (1) Harmonisierte diagnostische Laborkriterien (Flow-Cytometrie, TCR-Molekularanalyse), (2) standardisierte Behandlungsinitiat-Indikatoren (Symptomatik, Organfunktion), (3) einheitliche Response-Assessment-Parameter (Hämatologie, funktionelle Marker). Empfehlungen zur Differenzialdiagnose autoimmunärer Phänomene. Kriterien adressieren zentrale Heterogenität bisheriger Studien, um zukünftige Trials und Klinik zu vereinheitlichen.</w:t>
      </w:r>
    </w:p>
    <w:p>
      <w:r>
        <w:rPr>
          <w:b/>
          <w:sz w:val="19"/>
        </w:rPr>
        <w:t xml:space="preserve">Übertragbarkeit: </w:t>
      </w:r>
      <w:r>
        <w:rPr>
          <w:sz w:val="19"/>
        </w:rPr>
        <w:t>International mit europäischen Zentren; Standards sind system-unabhängig, direkt übertragbar</w:t>
      </w:r>
    </w:p>
    <w:p>
      <w:r>
        <w:rPr>
          <w:color w:val="5A7D3A"/>
          <w:sz w:val="18"/>
        </w:rPr>
        <w:t>https://pubmed.ncbi.nlm.nih.gov/42640859/</w:t>
      </w:r>
    </w:p>
    <w:p>
      <w:pPr>
        <w:pStyle w:val="Heading1"/>
      </w:pPr>
      <w:r>
        <w:t>Aufgenommen am 19.09.2026</w:t>
      </w:r>
    </w:p>
    <w:p>
      <w:pPr>
        <w:pStyle w:val="Heading2"/>
      </w:pPr>
      <w:r>
        <w:t>Präzisions-Prävention und Früherkennung: Framework für neue Krebskontroll-Pfade</w:t>
      </w:r>
    </w:p>
    <w:p>
      <w:r>
        <w:rPr>
          <w:i/>
          <w:color w:val="666666"/>
          <w:sz w:val="18"/>
        </w:rPr>
        <w:t>Rebbeck TR  ·  Lancet  ·  18.09.2026  ·  PMID 42759527</w:t>
      </w:r>
    </w:p>
    <w:p>
      <w:r>
        <w:t>Editoriales Essay zu Precision Prevention and Early Detection (PPED) – ein Rahmenwerk, das fragt: Wer hat erhöhtes Krebsrisiko, welche Intervention wann, wie de-eskalieren in Niedrig-Risiko-Gruppen?</w:t>
      </w:r>
    </w:p>
    <w:p>
      <w:r>
        <w:rPr>
          <w:b/>
        </w:rPr>
        <w:t xml:space="preserve">Ergebnis: </w:t>
      </w:r>
      <w:r>
        <w:t>Nur 13% der Krebsfälle werden durch Screening entdeckt; 20–50% präsentieren sich notfallmäßig. PPED-Logik funktioniert bei erblichen Syndromen mit ausreichend angereichertem Risiko. Schlüssel: Gesundheitssystem-Infrastruktur und Arbeitskräfte für longitudinales Präventions-Planning; de-Eskalation in Niedrig-Risiko-Personen genauso wichtig wie Intensivierung in Hoch-Risiko. Größte Herausforderung der nächsten Dekade.</w:t>
      </w:r>
    </w:p>
    <w:p>
      <w:r>
        <w:rPr>
          <w:b/>
          <w:sz w:val="19"/>
        </w:rPr>
        <w:t xml:space="preserve">Übertragbarkeit: </w:t>
      </w:r>
      <w:r>
        <w:rPr>
          <w:sz w:val="19"/>
        </w:rPr>
        <w:t>Weltweit anwendbare Prinzipien; deutsche Früherkennung und Zentrenstruktur ermöglichen Umsetzung.</w:t>
      </w:r>
    </w:p>
    <w:p>
      <w:r>
        <w:rPr>
          <w:color w:val="5A7D3A"/>
          <w:sz w:val="18"/>
        </w:rPr>
        <w:t>https://pubmed.ncbi.nlm.nih.gov/42759527/</w:t>
      </w:r>
    </w:p>
    <w:p>
      <w:pPr>
        <w:pStyle w:val="Heading2"/>
      </w:pPr>
      <w:r>
        <w:t>Symptom-Belastung in Krebspatienten korreliert mit geringerer Therapie- und höherer Supportiv-Kostennutzung</w:t>
      </w:r>
    </w:p>
    <w:p>
      <w:r>
        <w:rPr>
          <w:i/>
          <w:color w:val="666666"/>
          <w:sz w:val="18"/>
        </w:rPr>
        <w:t>Hirpara DH et al.  ·  J Clin Oncol  ·  18.09.2026  ·  PMID 42758960</w:t>
      </w:r>
    </w:p>
    <w:p>
      <w:r>
        <w:t>Populationsbasierte Kohortenstudie aus Ontario, Kanada: 285.924 Krebspatienten mit 1.728.025 ESAS-Assessments (Edmonton Symptom Assessment) zur Assoziation zwischen Patient-Reported Outcomes und Gesundheitskosten.</w:t>
      </w:r>
    </w:p>
    <w:p>
      <w:r>
        <w:rPr>
          <w:b/>
        </w:rPr>
        <w:t xml:space="preserve">Ergebnis: </w:t>
      </w:r>
      <w:r>
        <w:t>Höchste Symptom-Belastung (Müdigkeit, Depression, Wohlbefinden) bei Atem-, HNO-Tumoren. Jede 10-Punkte-Zunahme ESAS-Score: 9,4% weniger Krebs-Therapiekosten (sinkende Therapie-Nutzung), aber 18% mehr Supportiv-Care-Kosten (mehr ED-Besuche, Hauscare). GI/Mamma/ZNS teuerste Entitäten (85–78k CAD/30 Tage). Aktives Symptom-Management könnte Krebs-Therapien fördern und unnötige Supportiv-Kosten senken.</w:t>
      </w:r>
    </w:p>
    <w:p>
      <w:r>
        <w:rPr>
          <w:b/>
          <w:sz w:val="19"/>
        </w:rPr>
        <w:t xml:space="preserve">Übertragbarkeit: </w:t>
      </w:r>
      <w:r>
        <w:rPr>
          <w:sz w:val="19"/>
        </w:rPr>
        <w:t>Kanada, ähnliches Versicherungssystem wie Deutschland; Symptom-Management-Evidenz direkt relevant.</w:t>
      </w:r>
    </w:p>
    <w:p>
      <w:r>
        <w:rPr>
          <w:color w:val="5A7D3A"/>
          <w:sz w:val="18"/>
        </w:rPr>
        <w:t>https://pubmed.ncbi.nlm.nih.gov/42758960/</w:t>
      </w:r>
    </w:p>
    <w:p>
      <w:pPr>
        <w:pStyle w:val="Heading2"/>
      </w:pPr>
      <w:r>
        <w:t>Tyrosinkinasehemmer verbessert Gesamtüberleben bei BCR::ABL1+ AML deutlich</w:t>
      </w:r>
    </w:p>
    <w:p>
      <w:r>
        <w:rPr>
          <w:i/>
          <w:color w:val="666666"/>
          <w:sz w:val="18"/>
        </w:rPr>
        <w:t>Bertoli S et al.  ·  Blood  ·  18.09.2026  ·  PMID 42758645</w:t>
      </w:r>
    </w:p>
    <w:p>
      <w:r>
        <w:t>Multizentrische europäische Studie: 212 Patienten mit de novo BCR::ABL1+ AML wurden retrospektiv analysiert – intensiveChemotherapie (IC) allein oder kombiniert mit Tyrosinkinasehemmer (TKI).</w:t>
      </w:r>
    </w:p>
    <w:p>
      <w:r>
        <w:rPr>
          <w:b/>
        </w:rPr>
        <w:t xml:space="preserve">Ergebnis: </w:t>
      </w:r>
      <w:r>
        <w:t>Mit IC+TKI erreichten 110/123 Patienten (89%) komplette Remission/CRi vs. 52/77 (68%) mit IC allein (p&lt;0,0001). 5-Jahres-Gesamtüberleben: 62,9% (IC+TKI) vs. 38,5% (IC; p&lt;0,0001). Im multivariaten Modell: Odds Ratio für CR/CRi 4,74 (95%-KI 2,17–10,35), Hazard Ratio für Überleben 0,40 (0,27–0,62; p&lt;0,001). TKI-Zusatz ist unabhängiger prognostischer Faktor.</w:t>
      </w:r>
    </w:p>
    <w:p>
      <w:r>
        <w:rPr>
          <w:b/>
          <w:sz w:val="19"/>
        </w:rPr>
        <w:t xml:space="preserve">Übertragbarkeit: </w:t>
      </w:r>
      <w:r>
        <w:rPr>
          <w:sz w:val="19"/>
        </w:rPr>
        <w:t>Französisch-deutsches Konsortium, europäische Versicherungssysteme, direkt übertragbar auf deutsche Kliniken.</w:t>
      </w:r>
    </w:p>
    <w:p>
      <w:r>
        <w:rPr>
          <w:color w:val="5A7D3A"/>
          <w:sz w:val="18"/>
        </w:rPr>
        <w:t>https://pubmed.ncbi.nlm.nih.gov/42758645/</w:t>
      </w:r>
    </w:p>
    <w:p>
      <w:pPr>
        <w:pStyle w:val="Heading2"/>
      </w:pPr>
      <w:r>
        <w:t>Intraoperative Radiotherapie zeigt Lokalrezidiv-Raten vergleichbar mit postoperativen Boost</w:t>
      </w:r>
    </w:p>
    <w:p>
      <w:r>
        <w:rPr>
          <w:i/>
          <w:color w:val="666666"/>
          <w:sz w:val="18"/>
        </w:rPr>
        <w:t>Sarria GR et al.  ·  Strahlenther Onkol  ·  17.09.2026  ·  PMID 42754764</w:t>
      </w:r>
    </w:p>
    <w:p>
      <w:r>
        <w:t>Matched-Pair-Analyse von 400 Brustkrebs-Patientinnen (je 200 mit intraoperativer oder postoperativer EBRT-Boost) mit frühen Hochrisikotumoreneach Brustkrebserhaltender Chirurgie.</w:t>
      </w:r>
    </w:p>
    <w:p>
      <w:r>
        <w:rPr>
          <w:b/>
        </w:rPr>
        <w:t xml:space="preserve">Ergebnis: </w:t>
      </w:r>
      <w:r>
        <w:t>Nach medianer 58-Monate-Nachsorge: Kumulative lokale Rezidiv-Inzidenz 3,5% (IORT) vs. 2,0% (EBRT); HR 1,80 (95%-KI 0,58–5,58; p=0,312, nicht signifikant). Keine Unterschiede bei Lymphknoten-, Fernmetastasen-freiem Überleben oder Gesamtüberleben (alle p&gt;0,6). IORT ist wirksame, gut verträgliche Alternative ohne Kompromisse im Langzeit-Onkologie.</w:t>
      </w:r>
    </w:p>
    <w:p>
      <w:r>
        <w:rPr>
          <w:b/>
          <w:sz w:val="19"/>
        </w:rPr>
        <w:t xml:space="preserve">Übertragbarkeit: </w:t>
      </w:r>
      <w:r>
        <w:rPr>
          <w:sz w:val="19"/>
        </w:rPr>
        <w:t>Deutsche und europäische Zentren, Versicherungssystem unabhängig, direkt übertragbar.</w:t>
      </w:r>
    </w:p>
    <w:p>
      <w:r>
        <w:rPr>
          <w:color w:val="5A7D3A"/>
          <w:sz w:val="18"/>
        </w:rPr>
        <w:t>https://pubmed.ncbi.nlm.nih.gov/42754764/</w:t>
      </w:r>
    </w:p>
    <w:p>
      <w:pPr>
        <w:pStyle w:val="Heading2"/>
      </w:pPr>
      <w:r>
        <w:t>Seltene EGFR-T790M-Keimbahn-Mutation mit Lungenkrebsrisiko in Southern Appalachia identifiziert</w:t>
      </w:r>
    </w:p>
    <w:p>
      <w:r>
        <w:rPr>
          <w:i/>
          <w:color w:val="666666"/>
          <w:sz w:val="18"/>
        </w:rPr>
        <w:t>LoPiccolo J et al.  ·  Science  ·  17.09.2026  ·  PMID 42752144</w:t>
      </w:r>
    </w:p>
    <w:p>
      <w:r>
        <w:t>Große bevölkerungsgenetische Studie (&gt;3,3 Mio. Personen) zur Assoziation der EGFR-T790M-Variante mit Lungenkrebsrisiko.</w:t>
      </w:r>
    </w:p>
    <w:p>
      <w:r>
        <w:rPr>
          <w:b/>
        </w:rPr>
        <w:t xml:space="preserve">Ergebnis: </w:t>
      </w:r>
      <w:r>
        <w:t>EGFR-T790M signifikant mit Lungenkrebsrisiko assoziiert, aber nicht mit 17 anderen Tumoren; Risiko übersteigt Raucher-Risiko, mehrfach höher in Never-Smokern. Geografisch/ancestral: höhere Prävalenz in USA (Southern-Appalachian-Founder-Event 200–225 Jahre ago, Herkunft britisch/irisch). Prävalenz regional deutlich erhöht, betrifft britische, irische und afrikanische Abstammung. Erkannte Hochrisiko-Träger ermöglichen gezielte genetische Tests und Screening-Strategien.</w:t>
      </w:r>
    </w:p>
    <w:p>
      <w:r>
        <w:rPr>
          <w:b/>
          <w:sz w:val="19"/>
        </w:rPr>
        <w:t xml:space="preserve">Übertragbarkeit: </w:t>
      </w:r>
      <w:r>
        <w:rPr>
          <w:sz w:val="19"/>
        </w:rPr>
        <w:t>Transatlantische Studie, Angloamerika-Fokus; für Deutschland gering: regionale Appalachian-Founder-Effekt USA-spezifisch.</w:t>
      </w:r>
    </w:p>
    <w:p>
      <w:r>
        <w:rPr>
          <w:color w:val="5A7D3A"/>
          <w:sz w:val="18"/>
        </w:rPr>
        <w:t>https://pubmed.ncbi.nlm.nih.gov/42752144/</w:t>
      </w:r>
    </w:p>
    <w:p>
      <w:pPr>
        <w:pStyle w:val="Heading2"/>
      </w:pPr>
      <w:r>
        <w:t>Elacestrant zeigt anhaltende Vorteile bei ESR1-mutiertem HR+/HER2– mBC</w:t>
      </w:r>
    </w:p>
    <w:p>
      <w:r>
        <w:rPr>
          <w:i/>
          <w:color w:val="666666"/>
          <w:sz w:val="18"/>
        </w:rPr>
        <w:t>Curigliano G et al.  ·  ESMO Open  ·  14.09.2026  ·  PMID 42735454</w:t>
      </w:r>
    </w:p>
    <w:p>
      <w:r>
        <w:t>Real-World-Analyse von 281 Patientinnen mit HR+/HER2-negativ ESR1-mutiertem metastasiertem Brustkrebs nach ≥1 Linie endokriner Therapie plus CDK4/6-Hemmer.</w:t>
      </w:r>
    </w:p>
    <w:p>
      <w:r>
        <w:rPr>
          <w:b/>
        </w:rPr>
        <w:t xml:space="preserve">Ergebnis: </w:t>
      </w:r>
      <w:r>
        <w:t>Medianer Zeitpunkt bis nächste Therapie: 8,2 Monate (95%-KI 6,0–12,2) in Gruppe mit 1–2 Linien ET+CDK4/6i (n=108); 9,0 Monate bei ≥12-monatiger Vortherapie (n=85; 95%-KI 7,7–13,7). Mit nur 1 Vorlinientherapie: 12,2 Monate (95%-KI 9,0-nicht erreicht; n=31). Leber-/Lungenmets: 6,9 Monate; Gehirnmets: 7,4 Monate. Koexistente ESR1+PI3K-Mutation: 6,1 Monate. Durable Vorteile unterstützen Elacestrant als Erst-Option für endokrin-sensitive HR+ ESR1-mutierte Tumoren.</w:t>
      </w:r>
    </w:p>
    <w:p>
      <w:r>
        <w:rPr>
          <w:b/>
          <w:sz w:val="19"/>
        </w:rPr>
        <w:t xml:space="preserve">Übertragbarkeit: </w:t>
      </w:r>
      <w:r>
        <w:rPr>
          <w:sz w:val="19"/>
        </w:rPr>
        <w:t>Europäische und kanadische Zentren, vergleichbares Versicherungssystem, breiter anwendbar.</w:t>
      </w:r>
    </w:p>
    <w:p>
      <w:r>
        <w:rPr>
          <w:color w:val="5A7D3A"/>
          <w:sz w:val="18"/>
        </w:rPr>
        <w:t>https://pubmed.ncbi.nlm.nih.gov/42735454/</w:t>
      </w:r>
    </w:p>
    <w:p>
      <w:pPr>
        <w:pStyle w:val="Heading2"/>
      </w:pPr>
      <w:r>
        <w:t>Thymusbestrahlung bei NSCLC mit höherem Metastasen- und Todesrisiko assoziiert</w:t>
      </w:r>
    </w:p>
    <w:p>
      <w:r>
        <w:rPr>
          <w:i/>
          <w:color w:val="666666"/>
          <w:sz w:val="18"/>
        </w:rPr>
        <w:t>Prudente V et al.  ·  Ann Oncol  ·  25.08.2026  ·  PMID 42641684</w:t>
      </w:r>
    </w:p>
    <w:p>
      <w:r>
        <w:t>Multikohorten-Analyse von 1.107 NSCLC-Patienten (RTOG-0617 und zwei Real-World-Kohorten) zur Auswirkung akzidenteller Thymusbestrahlung auf Outcome.</w:t>
      </w:r>
    </w:p>
    <w:p>
      <w:r>
        <w:rPr>
          <w:b/>
        </w:rPr>
        <w:t xml:space="preserve">Ergebnis: </w:t>
      </w:r>
      <w:r>
        <w:t>Mittlere Thymusdosis (MTD) von 1 Gy assoziiert mit 1,57–4,21% erhöhtem Distanzmetastasen-Risiko (RTOG: aHR 1,29, p=0,0028; Harvard-CRT: aHR 1,33, p=0,011; Harvard-Durva: aHR 1,95, p=0,007). Patienten mit erhaltenem Thymus vorher besonders gefährdet. Nach 1 Jahr: Dosis-abhängiger Thymusfunktions-Verlust und niedrigere Lymphozytenzahlen. Neuplanuung-Machbarkeitsstudie zeigte thymussparing möglich ohne Tumorüberdeckungs-Verlust.</w:t>
      </w:r>
    </w:p>
    <w:p>
      <w:r>
        <w:rPr>
          <w:b/>
          <w:sz w:val="19"/>
        </w:rPr>
        <w:t xml:space="preserve">Übertragbarkeit: </w:t>
      </w:r>
      <w:r>
        <w:rPr>
          <w:sz w:val="19"/>
        </w:rPr>
        <w:t>USA-Daten, aber biologischer Mechanismus universal; deutsche Zentren können Planung adaptieren.</w:t>
      </w:r>
    </w:p>
    <w:p>
      <w:r>
        <w:rPr>
          <w:color w:val="5A7D3A"/>
          <w:sz w:val="18"/>
        </w:rPr>
        <w:t>https://pubmed.ncbi.nlm.nih.gov/42641684/</w:t>
      </w:r>
    </w:p>
    <w:p>
      <w:pPr>
        <w:pStyle w:val="Heading1"/>
      </w:pPr>
      <w:r>
        <w:t>Aufgenommen am 18.09.2026</w:t>
      </w:r>
    </w:p>
    <w:p>
      <w:pPr>
        <w:pStyle w:val="Heading2"/>
      </w:pPr>
      <w:r>
        <w:t>Perfluorheptansäure (PFHpA) erhöht Leberkrebsrisiko: Fallkontrollstudie</w:t>
      </w:r>
    </w:p>
    <w:p>
      <w:r>
        <w:rPr>
          <w:i/>
          <w:color w:val="666666"/>
          <w:sz w:val="18"/>
        </w:rPr>
        <w:t>Watling CZ et al.  ·  J Natl Cancer Inst  ·  17.09.2026  ·  PMID 42752878</w:t>
      </w:r>
    </w:p>
    <w:p>
      <w:r>
        <w:t>Verschachtelte Fall-Kontroll-Studie in 12 prospektiven US-Kohorten (853 Fälle, 853 Kontrollen) zur Assoziation von Per- und Polyfluoralkylverbindungen (PFAS) ausser PFOS, PFOA, PFHxS mit Leberkrebs (Prävention).</w:t>
      </w:r>
    </w:p>
    <w:p>
      <w:r>
        <w:rPr>
          <w:b/>
        </w:rPr>
        <w:t xml:space="preserve">Ergebnis: </w:t>
      </w:r>
      <w:r>
        <w:t>Perfluorheptansäure (PFHpA) positiv mit Leberkrebsrisiko assoziiert: Odds Ratio 1,78 (95%-KI 1,26-2,52). Stärkere Assoziation bei Männern (OR 3,72), HCC (4,53), ≤10 Jahre nach Blutentnahme (3,17). Andere PFAS ohne Assoziation.</w:t>
      </w:r>
    </w:p>
    <w:p>
      <w:r>
        <w:rPr>
          <w:b/>
          <w:sz w:val="19"/>
        </w:rPr>
        <w:t xml:space="preserve">Übertragbarkeit: </w:t>
      </w:r>
      <w:r>
        <w:rPr>
          <w:sz w:val="19"/>
        </w:rPr>
        <w:t>USA-Bevölkerungsdaten; Kurzkettige-PFAS persistieren auch in Europrodukten.</w:t>
      </w:r>
    </w:p>
    <w:p>
      <w:r>
        <w:rPr>
          <w:color w:val="5A7D3A"/>
          <w:sz w:val="18"/>
        </w:rPr>
        <w:t>https://pubmed.ncbi.nlm.nih.gov/42752878/</w:t>
      </w:r>
    </w:p>
    <w:p>
      <w:pPr>
        <w:pStyle w:val="Heading2"/>
      </w:pPr>
      <w:r>
        <w:t>Zolbetuximab versus Immune Checkpoint Inhibitoren bei claudin-18.2-positivem Magenkrebs</w:t>
      </w:r>
    </w:p>
    <w:p>
      <w:r>
        <w:rPr>
          <w:i/>
          <w:color w:val="666666"/>
          <w:sz w:val="18"/>
        </w:rPr>
        <w:t>Shitara K et al.  ·  ESMO Open  ·  16.09.2026  ·  PMID 42748508</w:t>
      </w:r>
    </w:p>
    <w:p>
      <w:r>
        <w:t>Netzwerk-Metaanalyse vergleicht Zolbetuximab plus Chemotherapie mit ICI-basierter Therapie nach PD-L1-CPS-Subgruppen bei fortgeschrittenem Magen-/gastro-ösophagealem Adenokarzinom in ersten Therapielinie.</w:t>
      </w:r>
    </w:p>
    <w:p>
      <w:r>
        <w:rPr>
          <w:b/>
        </w:rPr>
        <w:t xml:space="preserve">Ergebnis: </w:t>
      </w:r>
      <w:r>
        <w:t>Bei PD-L1 CPS ≥1 bis &lt;10 ähnliche oder numerisch günstigere Effekte für Zolbetuximab auf Overall Survival und Progression-Free Survival versus ICIs. Bei CPS ≥10 numerisch vorteilhaft für ICIs, aber mit optimalisierter Zolbetuximab-Exposition vergleichbar.</w:t>
      </w:r>
    </w:p>
    <w:p>
      <w:r>
        <w:rPr>
          <w:b/>
          <w:sz w:val="19"/>
        </w:rPr>
        <w:t xml:space="preserve">Übertragbarkeit: </w:t>
      </w:r>
      <w:r>
        <w:rPr>
          <w:sz w:val="19"/>
        </w:rPr>
        <w:t>Indirekte Vergleiche; biomarker-informierter Ansatz unterstützt, Bestätigung durch prospektive Studien erforderlich.</w:t>
      </w:r>
    </w:p>
    <w:p>
      <w:r>
        <w:rPr>
          <w:color w:val="5A7D3A"/>
          <w:sz w:val="18"/>
        </w:rPr>
        <w:t>https://pubmed.ncbi.nlm.nih.gov/42748508/</w:t>
      </w:r>
    </w:p>
    <w:p>
      <w:pPr>
        <w:pStyle w:val="Heading2"/>
      </w:pPr>
      <w:r>
        <w:t>Achtsamkeit und Tai Chi verbessern Schlaf, Fatigue und Schmerz nach Krebsbehandlung</w:t>
      </w:r>
    </w:p>
    <w:p>
      <w:r>
        <w:rPr>
          <w:i/>
          <w:color w:val="666666"/>
          <w:sz w:val="18"/>
        </w:rPr>
        <w:t>Ma Y et al.  ·  J Clin Oncol  ·  16.09.2026  ·  PMID 42748380</w:t>
      </w:r>
    </w:p>
    <w:p>
      <w:r>
        <w:t>Teilweise randomisierte Patient-Choice-Studie (Mindfulness and Tai Chi for Cancer Health, MATCH) mit 587 Krebsüberlebenden (Durchschnittsalter 60,7 Jahre) zur Wirkung von Achtsamkeitsbasierter Krebsgenesungsgruppe (MBCR) oder Tai Chi/Qigong (TCQ) versus Warteliste auf Schlaf, Fatigue und Schmerz.</w:t>
      </w:r>
    </w:p>
    <w:p>
      <w:r>
        <w:rPr>
          <w:b/>
        </w:rPr>
        <w:t xml:space="preserve">Ergebnis: </w:t>
      </w:r>
      <w:r>
        <w:t>TCQ vs Warteliste: Schlafqualität 1,9 Punkte Verbesserung (p=0,004). MBCR und TCQ vs Warteliste: Fatigue jeweils 3,66 und 3,42 Punkte besser (MBCR p=0,036, TCQ p=0,043). Schmerzbeeinträchtigung &gt;1 Punkt Verbesserung (MBCR p=0,029, TCQ p=0,002). MBCR und TCQ unterschieden sich nicht.</w:t>
      </w:r>
    </w:p>
    <w:p>
      <w:r>
        <w:rPr>
          <w:b/>
          <w:sz w:val="19"/>
        </w:rPr>
        <w:t xml:space="preserve">Übertragbarkeit: </w:t>
      </w:r>
      <w:r>
        <w:rPr>
          <w:sz w:val="19"/>
        </w:rPr>
        <w:t>Kanadisch-amerikanische Studie; psychosoziale Nachsorge übertragbar auf deutsche Zentren.</w:t>
      </w:r>
    </w:p>
    <w:p>
      <w:r>
        <w:rPr>
          <w:color w:val="5A7D3A"/>
          <w:sz w:val="18"/>
        </w:rPr>
        <w:t>https://pubmed.ncbi.nlm.nih.gov/42748380/</w:t>
      </w:r>
    </w:p>
    <w:p>
      <w:pPr>
        <w:pStyle w:val="Heading2"/>
      </w:pPr>
      <w:r>
        <w:t>Wachsendes Krebsaufkommen in Afrika 2023: Kinder, Jugendliche, junge Erwachsene stark betroffen</w:t>
      </w:r>
    </w:p>
    <w:p>
      <w:r>
        <w:rPr>
          <w:i/>
          <w:color w:val="666666"/>
          <w:sz w:val="18"/>
        </w:rPr>
        <w:t>GBD 2023 Africa Cancer Risk Factors Collaborators  ·  Lancet Oncol  ·  15.09.2026  ·  PMID 42743938</w:t>
      </w:r>
    </w:p>
    <w:p>
      <w:r>
        <w:t>Global Burden of Disease Study 2023 zu Krebsinzidenz, -mortalität und Behinderungsbereinigten Lebensjahren (DALYs) in 54 afrikanischen Ländern, 1990-2023; Analyse von 48 Krebsentitäten und 88 Risikofaktoren.</w:t>
      </w:r>
    </w:p>
    <w:p>
      <w:r>
        <w:rPr>
          <w:b/>
        </w:rPr>
        <w:t xml:space="preserve">Ergebnis: </w:t>
      </w:r>
      <w:r>
        <w:t>2023: 1,54 Mio. neue Fälle (95%-UI 1,37-1,75), 923 000 Todesfälle (824 000-1 020 000), 33,9 Mio. DALYs in Afrika. Kinder 0-19 Jahre: 104 000 Fälle (27,7% global), 38,0% globaler Todesfälle. 31,6% DALYs attributiv modifiable Risikofaktoren.</w:t>
      </w:r>
    </w:p>
    <w:p>
      <w:r>
        <w:rPr>
          <w:b/>
          <w:sz w:val="19"/>
        </w:rPr>
        <w:t xml:space="preserve">Übertragbarkeit: </w:t>
      </w:r>
      <w:r>
        <w:rPr>
          <w:sz w:val="19"/>
        </w:rPr>
        <w:t>Bevölkerungsdaten aus 54 Ländern, primär für Gesundheitspolitik und Ressourcenplanung in Afrika relevant.</w:t>
      </w:r>
    </w:p>
    <w:p>
      <w:r>
        <w:rPr>
          <w:color w:val="5A7D3A"/>
          <w:sz w:val="18"/>
        </w:rPr>
        <w:t>https://pubmed.ncbi.nlm.nih.gov/42743938/</w:t>
      </w:r>
    </w:p>
    <w:p>
      <w:pPr>
        <w:pStyle w:val="Heading2"/>
      </w:pPr>
      <w:r>
        <w:t>Perioperatives Durvalumab plus FLOT verlängert Gesamtüberleben bei resektablem Magenkrebs</w:t>
      </w:r>
    </w:p>
    <w:p>
      <w:r>
        <w:rPr>
          <w:i/>
          <w:color w:val="666666"/>
          <w:sz w:val="18"/>
        </w:rPr>
        <w:t>Janjigian YY et al.  ·  Lancet  ·  19.09.2026  ·  PMID 42716074</w:t>
      </w:r>
    </w:p>
    <w:p>
      <w:r>
        <w:t>Randomisierte Phase-3-Studie zur Wirkung von Durvalumab (Immune Checkpoint Inhibitor) plus perioperativer Chemotherapie (FLOT) versus Placebo plus FLOT bei 948 Patienten mit resektablem Magenkarzinom (Stadium II-IVa).</w:t>
      </w:r>
    </w:p>
    <w:p>
      <w:r>
        <w:rPr>
          <w:b/>
        </w:rPr>
        <w:t xml:space="preserve">Ergebnis: </w:t>
      </w:r>
      <w:r>
        <w:t>Gesamtüberleben (Overall Survival) signifikant verbessert mit Durvalumab: Hazard Ratio 0,78 (95%-KI 0,63-0,96; p=0,021). Die Therapie ist neue Standardoption für resektables Magen- und gastro-ösophageales Adenokarzinom.</w:t>
      </w:r>
    </w:p>
    <w:p>
      <w:r>
        <w:rPr>
          <w:b/>
          <w:sz w:val="19"/>
        </w:rPr>
        <w:t xml:space="preserve">Übertragbarkeit: </w:t>
      </w:r>
      <w:r>
        <w:rPr>
          <w:sz w:val="19"/>
        </w:rPr>
        <w:t>Globale Studie in 147 Zentren, vergleichbare Studiendesign wie in deutschem System relevant.</w:t>
      </w:r>
    </w:p>
    <w:p>
      <w:r>
        <w:rPr>
          <w:color w:val="5A7D3A"/>
          <w:sz w:val="18"/>
        </w:rPr>
        <w:t>https://pubmed.ncbi.nlm.nih.gov/42716074/</w:t>
      </w:r>
    </w:p>
    <w:p>
      <w:pPr>
        <w:pStyle w:val="Heading2"/>
      </w:pPr>
      <w:r>
        <w:t>Zehnjahresüberleben nach Brustkrebs nach Stadium, molekularem Subtyp und Grad kombiniert</w:t>
      </w:r>
    </w:p>
    <w:p>
      <w:r>
        <w:rPr>
          <w:i/>
          <w:color w:val="666666"/>
          <w:sz w:val="18"/>
        </w:rPr>
        <w:t>Giudici F et al.  ·  Oncologist  ·  09.09.2026  ·  PMID 42640557</w:t>
      </w:r>
    </w:p>
    <w:p>
      <w:r>
        <w:t>Populationsbasierte Kohortenstudie aus der Friuli-Venezia-Giulia-Krebsregisters (Nordostitalien) mit 10 467 Frauen &lt;75 Jahre, diagnostiziert 2004-2014; Verfolgung bis 2023.</w:t>
      </w:r>
    </w:p>
    <w:p>
      <w:r>
        <w:rPr>
          <w:b/>
        </w:rPr>
        <w:t xml:space="preserve">Ergebnis: </w:t>
      </w:r>
      <w:r>
        <w:t>Höchstes Gesamtüberleben (10-Jahres-Nettoüberleben) bei Stadium I HR+/HER2-: 98,8%. Tiefste bei Stadium III Triple-Negativ: 35,1%. Stadium IV Triple-Negativ: 6,7% vs HR-/HER2+: 18,9%. Vergleich 2004-2009 vs 2010-2014: Verbesserung bei Stadium III HR-/HER2+ von 48,6% auf 87,9% (+39 Prozentpunkte), Stadium III Triple-Negativ 28,8% auf 42,3%.</w:t>
      </w:r>
    </w:p>
    <w:p>
      <w:r>
        <w:rPr>
          <w:b/>
          <w:sz w:val="19"/>
        </w:rPr>
        <w:t xml:space="preserve">Übertragbarkeit: </w:t>
      </w:r>
      <w:r>
        <w:rPr>
          <w:sz w:val="19"/>
        </w:rPr>
        <w:t>Italienisches (europäisches) Krebsregister, vergleichbar mit deutschem System und Dokumentation.</w:t>
      </w:r>
    </w:p>
    <w:p>
      <w:r>
        <w:rPr>
          <w:color w:val="5A7D3A"/>
          <w:sz w:val="18"/>
        </w:rPr>
        <w:t>https://pubmed.ncbi.nlm.nih.gov/42640557/</w:t>
      </w:r>
    </w:p>
    <w:p>
      <w:pPr>
        <w:pStyle w:val="Heading1"/>
      </w:pPr>
      <w:r>
        <w:t>Aufgenommen am 17.09.2026</w:t>
      </w:r>
    </w:p>
    <w:p>
      <w:pPr>
        <w:pStyle w:val="Heading2"/>
      </w:pPr>
      <w:r>
        <w:t>eHealth-Intervention (CUMACA-M) stabilisiert Lebensqualität von Brustkrebsüberlebenden über 9 Monate</w:t>
      </w:r>
    </w:p>
    <w:p>
      <w:r>
        <w:rPr>
          <w:i/>
          <w:color w:val="666666"/>
          <w:sz w:val="18"/>
        </w:rPr>
        <w:t>J Natl Cancer Inst  ·  2026  ·  PMID djag328</w:t>
      </w:r>
    </w:p>
    <w:p>
      <w:r>
        <w:t>Spanische randomisierte Kontrollstudie mit 201 krankheitsfreien Brustkrebsüberlebenden (≥5 Jahre nach Diagnose), 9-Monate-eHealth-Intervention vs. Standardcare.</w:t>
      </w:r>
    </w:p>
    <w:p>
      <w:r>
        <w:rPr>
          <w:b/>
        </w:rPr>
        <w:t xml:space="preserve">Ergebnis: </w:t>
      </w:r>
      <w:r>
        <w:t>Gesamtlebensqualität stabil in Interventionsgruppe (5,70→5,69), Rückgang in Kontrolle (5,83→5,57, Δ=-0,26), Differenz 0,24 Punkte (95% CI 0,03-0,44), p=0,024. Psychisches Wohlbefinden Cohen d=0,40, physisches d=0,28.</w:t>
      </w:r>
    </w:p>
    <w:p>
      <w:r>
        <w:rPr>
          <w:b/>
          <w:sz w:val="19"/>
        </w:rPr>
        <w:t xml:space="preserve">Übertragbarkeit: </w:t>
      </w:r>
      <w:r>
        <w:rPr>
          <w:sz w:val="19"/>
        </w:rPr>
        <w:t>Europäisches System (Spanien/öffentliche Versicherung), digitale Nachsorgeintervention für Flächeimplementierung geeignet.</w:t>
      </w:r>
    </w:p>
    <w:p>
      <w:r>
        <w:rPr>
          <w:color w:val="5A7D3A"/>
          <w:sz w:val="18"/>
        </w:rPr>
        <w:t>https://pubmed.ncbi.nlm.nih.gov/djag328/</w:t>
      </w:r>
    </w:p>
    <w:p>
      <w:pPr>
        <w:pStyle w:val="Heading2"/>
      </w:pPr>
      <w:r>
        <w:t>HRS-4642+Adebrelimab bei KRAS-G12D-Pankreas-Ca: 43% Ansprechrate ohne Chemotherapie</w:t>
      </w:r>
    </w:p>
    <w:p>
      <w:r>
        <w:rPr>
          <w:i/>
          <w:color w:val="666666"/>
          <w:sz w:val="18"/>
        </w:rPr>
        <w:t>Shi S et al.  ·  Cancer Cell  ·  16.09.2026  ·  PMID 42748921</w:t>
      </w:r>
    </w:p>
    <w:p>
      <w:r>
        <w:t>Phase-1/2-Studie mit 48 Patienten (davon 37 in der RP2D-Kohorte) mit metastasiertem KRAS-G12D-mutiertem Pankreaskarzinom, chemofrei mit KRAS-inhibitor+PD-L1-Blocker behandelt.</w:t>
      </w:r>
    </w:p>
    <w:p>
      <w:r>
        <w:rPr>
          <w:b/>
        </w:rPr>
        <w:t xml:space="preserve">Ergebnis: </w:t>
      </w:r>
      <w:r>
        <w:t>Bestätigte ORR 43,2% (95% CI 27,1-60,5), Krankheitskontrollrate 81,1%, mediane Progressionsfreihheit 5,7 Monate, medianes Gesamtüberleben 11,5 Monate. Häufigste Nebenwirkungen: Hypercholesterinämie und Anämie je 50%.</w:t>
      </w:r>
    </w:p>
    <w:p>
      <w:r>
        <w:rPr>
          <w:b/>
          <w:sz w:val="19"/>
        </w:rPr>
        <w:t xml:space="preserve">Übertragbarkeit: </w:t>
      </w:r>
      <w:r>
        <w:rPr>
          <w:sz w:val="19"/>
        </w:rPr>
        <w:t>China-Studie, KRAS-Inhibitor nicht europäisch zugelassen, Sicherheitsdaten übertragbar.</w:t>
      </w:r>
    </w:p>
    <w:p>
      <w:r>
        <w:rPr>
          <w:color w:val="5A7D3A"/>
          <w:sz w:val="18"/>
        </w:rPr>
        <w:t>https://pubmed.ncbi.nlm.nih.gov/42748921/</w:t>
      </w:r>
    </w:p>
    <w:p>
      <w:pPr>
        <w:pStyle w:val="Heading2"/>
      </w:pPr>
      <w:r>
        <w:t>Triplet-Chemotherapie bei fortgeschrittenem Pankreas-Ca: 63% Ansprechrate, 60% Konversion</w:t>
      </w:r>
    </w:p>
    <w:p>
      <w:r>
        <w:rPr>
          <w:i/>
          <w:color w:val="666666"/>
          <w:sz w:val="18"/>
        </w:rPr>
        <w:t>Nagatani Y et al.  ·  Eur J Cancer  ·  10.09.2026  ·  PMID 42748587</w:t>
      </w:r>
    </w:p>
    <w:p>
      <w:r>
        <w:t>Japanische Phase-II-Multicenterstudie mit 30 Patienten, gesamte Chemotherapie (Gemcitabin, nab-Paclitaxel) mit oralem S-1 kombiniert.</w:t>
      </w:r>
    </w:p>
    <w:p>
      <w:r>
        <w:rPr>
          <w:b/>
        </w:rPr>
        <w:t xml:space="preserve">Ergebnis: </w:t>
      </w:r>
      <w:r>
        <w:t>ORR 63,3% (primärer Endpunkt erreicht), Krankheitskontrollrate 86,7%, medianes progressionsfreies Überleben 9,0 Monate, medianes Gesamtüberleben 15,0 Monate. 60% der lokalfortgeschrittenen Patienten zur Resektabilität konvertiert.</w:t>
      </w:r>
    </w:p>
    <w:p>
      <w:r>
        <w:rPr>
          <w:b/>
          <w:sz w:val="19"/>
        </w:rPr>
        <w:t xml:space="preserve">Übertragbarkeit: </w:t>
      </w:r>
      <w:r>
        <w:rPr>
          <w:sz w:val="19"/>
        </w:rPr>
        <w:t>Japanische Daten, S-1 in Deutschland verfügbar, Triplet potenziell praxisrelevant.</w:t>
      </w:r>
    </w:p>
    <w:p>
      <w:r>
        <w:rPr>
          <w:color w:val="5A7D3A"/>
          <w:sz w:val="18"/>
        </w:rPr>
        <w:t>https://pubmed.ncbi.nlm.nih.gov/42748587/</w:t>
      </w:r>
    </w:p>
    <w:p>
      <w:pPr>
        <w:pStyle w:val="Heading2"/>
      </w:pPr>
      <w:r>
        <w:t>Pembrolizumab bei Magenkarzinom: Überlebensvorteil 12,9 vs. 11,5 Monate bestätigt</w:t>
      </w:r>
    </w:p>
    <w:p>
      <w:r>
        <w:rPr>
          <w:i/>
          <w:color w:val="666666"/>
          <w:sz w:val="18"/>
        </w:rPr>
        <w:t>Rha SY et al.  ·  ESMO Open  ·  16.09.2026  ·  PMID 42748509</w:t>
      </w:r>
    </w:p>
    <w:p>
      <w:r>
        <w:t>Randomisierte Phase-III-Studie (KEYNOTE-859) mit 1.579 Patienten mit HER2-negativem lokal fortgeschrittenem/metastasiertem Magen-GÖJ-Adenokarzinom; 4,5-Jahre-Follow-up.</w:t>
      </w:r>
    </w:p>
    <w:p>
      <w:r>
        <w:rPr>
          <w:b/>
        </w:rPr>
        <w:t xml:space="preserve">Ergebnis: </w:t>
      </w:r>
      <w:r>
        <w:t>Median Overall Survival 12,9 Monate (Pembrolizumab+Chemotherapie) vs. 11,5 Monate (Placebo+Chemotherapie), Hazard Ratio 0,78 (95% CI 0,70-0,86). Grade-3/4-Nebenwirkungen 58,3% vs. 49,3%.</w:t>
      </w:r>
    </w:p>
    <w:p>
      <w:r>
        <w:rPr>
          <w:b/>
          <w:sz w:val="19"/>
        </w:rPr>
        <w:t xml:space="preserve">Übertragbarkeit: </w:t>
      </w:r>
      <w:r>
        <w:rPr>
          <w:sz w:val="19"/>
        </w:rPr>
        <w:t>Globale Studie, europäische und asiatische Zentren, vergleichbare Versorgung.</w:t>
      </w:r>
    </w:p>
    <w:p>
      <w:r>
        <w:rPr>
          <w:color w:val="5A7D3A"/>
          <w:sz w:val="18"/>
        </w:rPr>
        <w:t>https://pubmed.ncbi.nlm.nih.gov/42748509/</w:t>
      </w:r>
    </w:p>
    <w:p>
      <w:pPr>
        <w:pStyle w:val="Heading2"/>
      </w:pPr>
      <w:r>
        <w:t>Blinatumomab ersetzt Chemotherapie in hochrisiko-ALL: 83% ereignisfreies Überleben</w:t>
      </w:r>
    </w:p>
    <w:p>
      <w:r>
        <w:rPr>
          <w:i/>
          <w:color w:val="666666"/>
          <w:sz w:val="18"/>
        </w:rPr>
        <w:t>Schrappe M et al.  ·  N Engl J Med  ·  17.09.2026  ·  PMID 42748428</w:t>
      </w:r>
    </w:p>
    <w:p>
      <w:r>
        <w:t>Randomisierte europäisch-internationale Studie bei 358 Kindern mit neu diagnostizierter B-ALL, die statt zwei Chemotherapie-Zyklen zwei Blinatumomab-Zyklen erhielten.</w:t>
      </w:r>
    </w:p>
    <w:p>
      <w:r>
        <w:rPr>
          <w:b/>
        </w:rPr>
        <w:t xml:space="preserve">Ergebnis: </w:t>
      </w:r>
      <w:r>
        <w:t>4-Jahres-Ereignisfreiheit 83,0% (Blinatumomab) vs. 70,3% (Kontrolle), Hazard Ratio 0,51, p=0,0002. Behandlungsbedingte Infektionen: 23,9% vs. 69,4%, lebensbedrohliche Ereignisse 0,5% vs. 4,7%.</w:t>
      </w:r>
    </w:p>
    <w:p>
      <w:r>
        <w:rPr>
          <w:b/>
          <w:sz w:val="19"/>
        </w:rPr>
        <w:t xml:space="preserve">Übertragbarkeit: </w:t>
      </w:r>
      <w:r>
        <w:rPr>
          <w:sz w:val="19"/>
        </w:rPr>
        <w:t>Deutsches/österreichisches Zentrumsprotokoll (BFM-ALL 2017), direkte Übertragung möglich.</w:t>
      </w:r>
    </w:p>
    <w:p>
      <w:r>
        <w:rPr>
          <w:color w:val="5A7D3A"/>
          <w:sz w:val="18"/>
        </w:rPr>
        <w:t>https://pubmed.ncbi.nlm.nih.gov/42748428/</w:t>
      </w:r>
    </w:p>
    <w:p>
      <w:pPr>
        <w:pStyle w:val="Heading2"/>
      </w:pPr>
      <w:r>
        <w:t>Fünfjährliche statt dreijährliche Koloskopie nach Adenomektomie: Nichtunterlegenheit bestätigt</w:t>
      </w:r>
    </w:p>
    <w:p>
      <w:r>
        <w:rPr>
          <w:i/>
          <w:color w:val="666666"/>
          <w:sz w:val="18"/>
        </w:rPr>
        <w:t>Jover R et al.  ·  N Engl J Med  ·  17.09.2026  ·  PMID 42748427</w:t>
      </w:r>
    </w:p>
    <w:p>
      <w:r>
        <w:t>Europäische Nichtunterlegenheitsstudie mit 10.799 Patienten nach Hochrisiko-Adenomektomie, randomisiert zu erste Surveillance nach 5 vs. 3 Jahren.</w:t>
      </w:r>
    </w:p>
    <w:p>
      <w:r>
        <w:rPr>
          <w:b/>
        </w:rPr>
        <w:t xml:space="preserve">Ergebnis: </w:t>
      </w:r>
      <w:r>
        <w:t>5-Jahres-Darmkrebsinzidenz 0,77% (5-jährig) vs. 0,82% (3-jährig), Nichtunterlegenheitsgrenze erreicht. Krebstodesfälle: 0,06% vs. 0,04%.</w:t>
      </w:r>
    </w:p>
    <w:p>
      <w:r>
        <w:rPr>
          <w:b/>
          <w:sz w:val="19"/>
        </w:rPr>
        <w:t xml:space="preserve">Übertragbarkeit: </w:t>
      </w:r>
      <w:r>
        <w:rPr>
          <w:sz w:val="19"/>
        </w:rPr>
        <w:t>Europäisches Studiendesign (Spanien, Norwegen, Polen, Dänemark), Nachsorgeleitlinien unmittelbar anwendbar.</w:t>
      </w:r>
    </w:p>
    <w:p>
      <w:r>
        <w:rPr>
          <w:color w:val="5A7D3A"/>
          <w:sz w:val="18"/>
        </w:rPr>
        <w:t>https://pubmed.ncbi.nlm.nih.gov/42748427/</w:t>
      </w:r>
    </w:p>
    <w:p>
      <w:pPr>
        <w:pStyle w:val="Heading1"/>
      </w:pPr>
      <w:r>
        <w:t>Aufgenommen am 16.09.2026</w:t>
      </w:r>
    </w:p>
    <w:p>
      <w:pPr>
        <w:pStyle w:val="Heading2"/>
      </w:pPr>
      <w:r>
        <w:t>Waldbrand-Feinstaub verstärkt Sterblichkeit von Lungenkrebspatienten um 78 % pro μg/m³</w:t>
      </w:r>
    </w:p>
    <w:p>
      <w:r>
        <w:rPr>
          <w:i/>
          <w:color w:val="666666"/>
          <w:sz w:val="18"/>
        </w:rPr>
        <w:t>Zhang M et al.  ·  Lancet Oncol  ·  15.09.2026  ·  PMID 42743939</w:t>
      </w:r>
    </w:p>
    <w:p>
      <w:r>
        <w:t>Retrospektive Kohortenstudie mit 414.016 älteren Lungenkrebspatienten aus SEER-Medicare (2006–2019) untersuchte die Auswirkung langfristiger Exposition gegenüber Waldbrand-assoziiertem PM2,5 vs. Nicht-Waldbrand-PM2,5 auf Overall Survival.</w:t>
      </w:r>
    </w:p>
    <w:p>
      <w:r>
        <w:rPr>
          <w:b/>
        </w:rPr>
        <w:t xml:space="preserve">Ergebnis: </w:t>
      </w:r>
      <w:r>
        <w:t>Jeder 1-μg/m³-Anstieg Waldbrand-PM2,5 war mit HR 1,0782 (95%-KI 1,0641–1,0924; p&lt;0,0001) für erhöhte Mortalität assoziiert, nicht-Waldbrand-PM2,5 mit HR 1,0171. Insgesamt 696 (95%-KI 576–814) durchschnittliche jährliche überschüssige Todesfälle waren der Waldbrand-Exposition zuzuordnen – pro Einheit toxischer als reguläre Luftverschmutzung.</w:t>
      </w:r>
    </w:p>
    <w:p>
      <w:r>
        <w:rPr>
          <w:b/>
          <w:sz w:val="19"/>
        </w:rPr>
        <w:t xml:space="preserve">Übertragbarkeit: </w:t>
      </w:r>
      <w:r>
        <w:rPr>
          <w:sz w:val="19"/>
        </w:rPr>
        <w:t>USA/SEER-Daten: Nur Sicherheitsbefund übertragbar, Feinstaub-Exposition in Deutschland gering</w:t>
      </w:r>
    </w:p>
    <w:p>
      <w:r>
        <w:rPr>
          <w:color w:val="5A7D3A"/>
          <w:sz w:val="18"/>
        </w:rPr>
        <w:t>https://pubmed.ncbi.nlm.nih.gov/42743939/</w:t>
      </w:r>
    </w:p>
    <w:p>
      <w:pPr>
        <w:pStyle w:val="Heading2"/>
      </w:pPr>
      <w:r>
        <w:t>Nach Neoadjuvant-Therapie mit Triplet: Adjuvante Chemotherapie hilft nur bei ypN+/CRT, nicht bei TNT</w:t>
      </w:r>
    </w:p>
    <w:p>
      <w:r>
        <w:rPr>
          <w:i/>
          <w:color w:val="666666"/>
          <w:sz w:val="18"/>
        </w:rPr>
        <w:t>Denost Q et al.  ·  Eur J Cancer  ·  11.09.2026  ·  PMID 42743888</w:t>
      </w:r>
    </w:p>
    <w:p>
      <w:r>
        <w:t>Post-hoc-Analyse von zwei französischen randomisierten Multizenterstudie (GRECCAR4, PRODIGE23) mit 489 Patienten mit lokal fortgeschrittenem Rektumkarzinom, die den Nutzen adjuvanter Chemotherapie (AC) nach TNT mit FOLFIRINOX vs. CRT bewertete.</w:t>
      </w:r>
    </w:p>
    <w:p>
      <w:r>
        <w:rPr>
          <w:b/>
        </w:rPr>
        <w:t xml:space="preserve">Ergebnis: </w:t>
      </w:r>
      <w:r>
        <w:t>Nach Neoadjuvant-TNT zeigte AC keinen Vorteil in 3-Jahre-DFS für ypN+ (TNT-Arm; p=0,33) oder ypN0/cN+ (p=0,45). Nach CRT profitierten nur ypN+-Patienten: 3-Jahre-DFS verbessert nach AC (TNT: keine; CRT: signifikant; p&lt;0,001), 3-Jahre-OS und -DMFS ebenfalls nur nach CRT signifikant. Diese Daten unterstützen Therapie-Deeskalation in der TNT-Ära.</w:t>
      </w:r>
    </w:p>
    <w:p>
      <w:r>
        <w:rPr>
          <w:b/>
          <w:sz w:val="19"/>
        </w:rPr>
        <w:t xml:space="preserve">Übertragbarkeit: </w:t>
      </w:r>
      <w:r>
        <w:rPr>
          <w:sz w:val="19"/>
        </w:rPr>
        <w:t>Deutschland/Frankreich: Europäische High-Volume-Zentren, deutsches Versicherungssystem vergleichbar</w:t>
      </w:r>
    </w:p>
    <w:p>
      <w:r>
        <w:rPr>
          <w:color w:val="5A7D3A"/>
          <w:sz w:val="18"/>
        </w:rPr>
        <w:t>https://pubmed.ncbi.nlm.nih.gov/42743888/</w:t>
      </w:r>
    </w:p>
    <w:p>
      <w:pPr>
        <w:pStyle w:val="Heading2"/>
      </w:pPr>
      <w:r>
        <w:t>Zirkufierende bakterielle DNA prognostiziert Therapieerfolg bei fortgeschrittenem Bauchspeicheldrüsenkrebs</w:t>
      </w:r>
    </w:p>
    <w:p>
      <w:r>
        <w:rPr>
          <w:i/>
          <w:color w:val="666666"/>
          <w:sz w:val="18"/>
        </w:rPr>
        <w:t>Surendran SA et al.  ·  Eur J Cancer  ·  10.09.2026  ·  PMID 42743886</w:t>
      </w:r>
    </w:p>
    <w:p>
      <w:r>
        <w:t>Studie von 13 + 47 Patienten mit fortgeschrittenem Pankreaskarzinom untersuchte, ob Veränderungen der zirkulierenden freien bakteriellen DNA (cfbDNA) im Serum unter Chemotherapie (FFX oder GnP) den Behandlungserfolg vorhersagen.</w:t>
      </w:r>
    </w:p>
    <w:p>
      <w:r>
        <w:rPr>
          <w:b/>
        </w:rPr>
        <w:t xml:space="preserve">Ergebnis: </w:t>
      </w:r>
      <w:r>
        <w:t>Patienten mit Abfall der cfbDNA unter FFX erreichten 14,3 vs. 2,9 Monate PFS (p&lt;0,001) und 23,2 vs. 8,4 Monate OS (p=0,006). Ein konstanter oder erhöhter cfbDNA-Wert war mit schlechterem OS assoziiert (HR 11,75; 95%-KI 1,87–73,85; p=0,009). Diese Marker-dynamik war aber regimen-abhängig: Bei GnP zeigte der cfbDNA-Rückgang gegenteilige Effekte.</w:t>
      </w:r>
    </w:p>
    <w:p>
      <w:r>
        <w:rPr>
          <w:b/>
          <w:sz w:val="19"/>
        </w:rPr>
        <w:t xml:space="preserve">Übertragbarkeit: </w:t>
      </w:r>
      <w:r>
        <w:rPr>
          <w:sz w:val="19"/>
        </w:rPr>
        <w:t>Deutschland/Österreich: Europäische Krankenhauskohorten mit vergleichbarer Dokumentation</w:t>
      </w:r>
    </w:p>
    <w:p>
      <w:r>
        <w:rPr>
          <w:color w:val="5A7D3A"/>
          <w:sz w:val="18"/>
        </w:rPr>
        <w:t>https://pubmed.ncbi.nlm.nih.gov/42743886/</w:t>
      </w:r>
    </w:p>
    <w:p>
      <w:pPr>
        <w:pStyle w:val="Heading2"/>
      </w:pPr>
      <w:r>
        <w:t>Triplet-Chemotherapie plus Panitumumab in RAS wild-typ mKRK erhält Lebensqualität</w:t>
      </w:r>
    </w:p>
    <w:p>
      <w:r>
        <w:rPr>
          <w:i/>
          <w:color w:val="666666"/>
          <w:sz w:val="18"/>
        </w:rPr>
        <w:t>Klingler TM et al.  ·  Eur J Cancer  ·  11.09.2026  ·  PMID 42743885</w:t>
      </w:r>
    </w:p>
    <w:p>
      <w:r>
        <w:t>Sekundäranalyse der deutschen Phase-II-Studie VOLFI (AIO-KRK 0109) mit 105 randomisierten Patienten, die den Effekt von mFOLFOXIRI + Panitumumab vs. FOLFOXIRI auf Lebensqualität (EORTC QLQ-C30) untersuchte.</w:t>
      </w:r>
    </w:p>
    <w:p>
      <w:r>
        <w:rPr>
          <w:b/>
        </w:rPr>
        <w:t xml:space="preserve">Ergebnis: </w:t>
      </w:r>
      <w:r>
        <w:t>77 Patienten (51 vs. 26) führten ≥1 Lebensqualitäts-Fragebogen aus. Nach 12 Wochen keine statistisch signifikanten Unterschiede in Gesamt-HRQoL oder spezifischen Dimensionen. Patienten mit mFOLFOXIRI + Panitumumab mit Hautotoxizität zeigten trotz Toxizität keine assoziierte Lebensqualitätsverschlechterung. mFOLFOXIRI + Panitumumab war nicht mit schlechterer HRQoL assoziiert.</w:t>
      </w:r>
    </w:p>
    <w:p>
      <w:r>
        <w:rPr>
          <w:b/>
          <w:sz w:val="19"/>
        </w:rPr>
        <w:t xml:space="preserve">Übertragbarkeit: </w:t>
      </w:r>
      <w:r>
        <w:rPr>
          <w:sz w:val="19"/>
        </w:rPr>
        <w:t>Deutschland: Alle Zentren Charité und LMU München – direkt übertragbar</w:t>
      </w:r>
    </w:p>
    <w:p>
      <w:r>
        <w:rPr>
          <w:color w:val="5A7D3A"/>
          <w:sz w:val="18"/>
        </w:rPr>
        <w:t>https://pubmed.ncbi.nlm.nih.gov/42743885/</w:t>
      </w:r>
    </w:p>
    <w:p>
      <w:pPr>
        <w:pStyle w:val="Heading2"/>
      </w:pPr>
      <w:r>
        <w:t>Ältere Brustkrebs-Patienten haben häufiger PIK3CA-Mutationen und höhere Tumorlast</w:t>
      </w:r>
    </w:p>
    <w:p>
      <w:r>
        <w:rPr>
          <w:i/>
          <w:color w:val="666666"/>
          <w:sz w:val="18"/>
        </w:rPr>
        <w:t>Gupta H et al.  ·  ESMO Open  ·  14.09.2026  ·  PMID 42735455</w:t>
      </w:r>
    </w:p>
    <w:p>
      <w:r>
        <w:t>Studie von 2.379 Patienten mit metastasiertem Brustkrebs (853 jung, 1.311 mittleres Alter, 215 älter ≥70 Jahre) verglich Tumor-Genomlandschaft mittels Zielsequenzierung (OncoPanel) nach Altersgruppe.</w:t>
      </w:r>
    </w:p>
    <w:p>
      <w:r>
        <w:rPr>
          <w:b/>
        </w:rPr>
        <w:t xml:space="preserve">Ergebnis: </w:t>
      </w:r>
      <w:r>
        <w:t>Ältere Patienten zeigten höhere Häufigkeit von SNVs in PIK3CA (44%), TP53 (33%), CDH1 (22%). Nach Adjustierung war hohes Alter assoziiert mit mehr PIK3CA-SNVs (OR 1,21; 95%-KI 1,11–1,31; q&lt;0,001), CDH1-SNVs (OR 1,43; 95%-KI 1,21–1,68) und 26% mit ≥10 Mutationen/Mb (vs. 17% bei Jüngsten). Diese Unterschiede waren unabhängig von Tumorsubtyp.</w:t>
      </w:r>
    </w:p>
    <w:p>
      <w:r>
        <w:rPr>
          <w:b/>
          <w:sz w:val="19"/>
        </w:rPr>
        <w:t xml:space="preserve">Übertragbarkeit: </w:t>
      </w:r>
      <w:r>
        <w:rPr>
          <w:sz w:val="19"/>
        </w:rPr>
        <w:t>USA-Klinik: Vergleichbare Versicherungssysteme bei Umsetzung, genomische Testung in Deutschland ebenfalls Standard</w:t>
      </w:r>
    </w:p>
    <w:p>
      <w:r>
        <w:rPr>
          <w:color w:val="5A7D3A"/>
          <w:sz w:val="18"/>
        </w:rPr>
        <w:t>https://pubmed.ncbi.nlm.nih.gov/42735455/</w:t>
      </w:r>
    </w:p>
    <w:p>
      <w:pPr>
        <w:pStyle w:val="Heading2"/>
      </w:pPr>
      <w:r>
        <w:t>Immuntyp-Transition vorhersagt Checkpoint-Inhibitor-Anspruch besser als Ausgangszustand</w:t>
      </w:r>
    </w:p>
    <w:p>
      <w:r>
        <w:rPr>
          <w:i/>
          <w:color w:val="666666"/>
          <w:sz w:val="18"/>
        </w:rPr>
        <w:t>Lin Z et al.  ·  Cancer Cell  ·  14.09.2026  ·  PMID 42679812</w:t>
      </w:r>
    </w:p>
    <w:p>
      <w:r>
        <w:t>Longitudinale Single-Cell-RNA-Sequenzierung von 441 Proben aus 241 Patienten mit zehn Krebsentitäten untersuchte die Umgestaltung der Tumor-Immunmikroumgebung (TIME) unter Checkpoint-Inhibitor-Therapie und entwickelte eine prädiktive Signatur.</w:t>
      </w:r>
    </w:p>
    <w:p>
      <w:r>
        <w:rPr>
          <w:b/>
        </w:rPr>
        <w:t xml:space="preserve">Ergebnis: </w:t>
      </w:r>
      <w:r>
        <w:t>~40% der Tumore wechselten während Therapie zwischen TIME-Subtypen. Der Übergang (nicht der Ausgangszustand) war prognostischer: Günstige Übergänge zu entzündetem oder B-Zell-angereichertem Subtyp korrelierten mit verbessertem Ansprechen und Überleben. Eine 59-Gen-Signatur sagte Ansprechen und Überleben in 1.383 Baseline-Tumoren über 19 unabhängige Kohorten vorher (HR 2,15; KI-range über Publikationen relevant).</w:t>
      </w:r>
    </w:p>
    <w:p>
      <w:r>
        <w:rPr>
          <w:b/>
          <w:sz w:val="19"/>
        </w:rPr>
        <w:t xml:space="preserve">Übertragbarkeit: </w:t>
      </w:r>
      <w:r>
        <w:rPr>
          <w:sz w:val="19"/>
        </w:rPr>
        <w:t>International/Multi-Entity: Prinzipien auf deutsche Zentren mit Liquid Biopsy/Tumorboard anwendbar</w:t>
      </w:r>
    </w:p>
    <w:p>
      <w:r>
        <w:rPr>
          <w:color w:val="5A7D3A"/>
          <w:sz w:val="18"/>
        </w:rPr>
        <w:t>https://pubmed.ncbi.nlm.nih.gov/42679812/</w:t>
      </w:r>
    </w:p>
    <w:p>
      <w:pPr>
        <w:pStyle w:val="Heading1"/>
      </w:pPr>
      <w:r>
        <w:t>Aufgenommen am 15.09.2026</w:t>
      </w:r>
    </w:p>
    <w:p>
      <w:pPr>
        <w:pStyle w:val="Heading2"/>
      </w:pPr>
      <w:r>
        <w:t>HDR-Brachytherapie nach Strahlentherapie bei älteren Rektumkarzinom-Patienten: lokale Kontrolle bei 80 %</w:t>
      </w:r>
    </w:p>
    <w:p>
      <w:r>
        <w:rPr>
          <w:i/>
          <w:color w:val="666666"/>
          <w:sz w:val="18"/>
        </w:rPr>
        <w:t>Kristen A et al.  ·  Strahlenther Onkol  ·  14.09.2026  ·  PMID 42734824</w:t>
      </w:r>
    </w:p>
    <w:p>
      <w:r>
        <w:t>15 ältere/infirme Patienten mit Rektumkarzinom erhielten kombiniert externe Strahlentherapie (30-39 Gy/10-13 Fraktionen) und endorektale Hochdosis-Brachytherapie (12-24 Gy/2-3 Fraktionen); eine organerhaltende Methode für Operationsunfähige.</w:t>
      </w:r>
    </w:p>
    <w:p>
      <w:r>
        <w:rPr>
          <w:b/>
        </w:rPr>
        <w:t xml:space="preserve">Ergebnis: </w:t>
      </w:r>
      <w:r>
        <w:t>Nach 21 Monaten Median-Follow-up erreichten 12 von 15 Patienten (80 %) klinische komplette (n=6) oder nahezu komplette Remission (n=6); 4 Patienten (33 %) entwickelten später lokales Rezidiv, 4 (27 %) Fernmetastasen. Grad-3-Toxizität: 67 % Proktitis, 20 % schwere Rektalblutung (3 Patienten). Sicherheits- und Dosisoptimierungsfragen bleiben, besonders bei Antikoagulation.</w:t>
      </w:r>
    </w:p>
    <w:p>
      <w:r>
        <w:rPr>
          <w:b/>
          <w:sz w:val="19"/>
        </w:rPr>
        <w:t xml:space="preserve">Übertragbarkeit: </w:t>
      </w:r>
      <w:r>
        <w:rPr>
          <w:sz w:val="19"/>
        </w:rPr>
        <w:t>Deutschland, einzelzentrisch; Ansatz für zertifizierte Zentren mit Brachytherapie-Expertise geeignet</w:t>
      </w:r>
    </w:p>
    <w:p>
      <w:r>
        <w:rPr>
          <w:color w:val="5A7D3A"/>
          <w:sz w:val="18"/>
        </w:rPr>
        <w:t>https://pubmed.ncbi.nlm.nih.gov/42734824/</w:t>
      </w:r>
    </w:p>
    <w:p>
      <w:pPr>
        <w:pStyle w:val="Heading2"/>
      </w:pPr>
      <w:r>
        <w:t>Tambotatug Pelitecan (B7-H3-ADC) bei kleinzelligem Lungenkarzinom nach Platin: OS-Vorteil gegenüber Topotekan</w:t>
      </w:r>
    </w:p>
    <w:p>
      <w:r>
        <w:rPr>
          <w:i/>
          <w:color w:val="666666"/>
          <w:sz w:val="18"/>
        </w:rPr>
        <w:t>Zhao Y et al.  ·  N Engl J Med  ·  12.09.2026  ·  PMID 42734213</w:t>
      </w:r>
    </w:p>
    <w:p>
      <w:r>
        <w:t>Phase-III-TAISHAN-302, China: 451 Patienten mit rezidivierendem SCLC nach Platin-basierter Erstlinien-Therapie, randomisiert 1:1 zu Tambotatug Pelitecan (neuer B7-H3-zielgerichteter Antikörper-Wirkstoff-Konjugat) versus Topotekan; Interim-Analyse.</w:t>
      </w:r>
    </w:p>
    <w:p>
      <w:r>
        <w:rPr>
          <w:b/>
        </w:rPr>
        <w:t xml:space="preserve">Ergebnis: </w:t>
      </w:r>
      <w:r>
        <w:t>Median-OS: 13,3 Monate (Tam-Peli) vs. 9,4 Monate (Topotekan), HR 0,46 (95% KI 0,35–0,62, p&lt;0,001). Median-PFS: 7,4 vs. 2,8 Monate, HR 0,29 (p&lt;0,001). ORR: 59,1% vs. 9,7% (p&lt;0,001). Grad-≥3-AE: 55,4% vs. 77,9% (Tam-Peli günstiger). Diese Ergebnisse könnten neuen Standard für rezidiviertes SCLC begründen.</w:t>
      </w:r>
    </w:p>
    <w:p>
      <w:r>
        <w:rPr>
          <w:b/>
          <w:sz w:val="19"/>
        </w:rPr>
        <w:t xml:space="preserve">Übertragbarkeit: </w:t>
      </w:r>
      <w:r>
        <w:rPr>
          <w:sz w:val="19"/>
        </w:rPr>
        <w:t>China-Studie, globales Design; Zulassungsantrag ausstehend, deutsche Verfügbarkeit unklar – USA nur mit Vorbehalt übertragbar</w:t>
      </w:r>
    </w:p>
    <w:p>
      <w:r>
        <w:rPr>
          <w:color w:val="5A7D3A"/>
          <w:sz w:val="18"/>
        </w:rPr>
        <w:t>https://pubmed.ncbi.nlm.nih.gov/42734213/</w:t>
      </w:r>
    </w:p>
    <w:p>
      <w:pPr>
        <w:pStyle w:val="Heading2"/>
      </w:pPr>
      <w:r>
        <w:t>Tumoren unterdrücken T-Zell-Immunität durch Antioxidanzien – PRDX1 als therapeutisches Target</w:t>
      </w:r>
    </w:p>
    <w:p>
      <w:r>
        <w:rPr>
          <w:i/>
          <w:color w:val="666666"/>
          <w:sz w:val="18"/>
        </w:rPr>
        <w:t>Wesolowski AJ et al.  ·  Science  ·  03.09.2026  ·  PMID 42691162</w:t>
      </w:r>
    </w:p>
    <w:p>
      <w:r>
        <w:t>Grundlagenwerk zur Immunsuppression durch tumorales Peroxiredoxin-1 (PRDX1): Forschung zeigt, dass Tumoren Antioxidanzien in ihre Umgebung freisetzen und T-Zellen damit ihrer reaktiven Sauerstoffspezies berauben, was deren Signalübertragung blockiert.</w:t>
      </w:r>
    </w:p>
    <w:p>
      <w:r>
        <w:rPr>
          <w:b/>
        </w:rPr>
        <w:t xml:space="preserve">Ergebnis: </w:t>
      </w:r>
      <w:r>
        <w:t>PRDX1-Mangel in Tumoren verstärkte Antitumor-Immunität und verbesserte Immuntherapie-Antworten in Mausmodellen; Liquid Biopsy könnte PRDX1-Spiegel messen. Der Befund eröffnet neuen therapeutischen Ansatz: PRDX1-Inhibition könnte Immuntherapie-Resistenz überwinden.</w:t>
      </w:r>
    </w:p>
    <w:p>
      <w:r>
        <w:rPr>
          <w:b/>
          <w:sz w:val="19"/>
        </w:rPr>
        <w:t xml:space="preserve">Übertragbarkeit: </w:t>
      </w:r>
      <w:r>
        <w:rPr>
          <w:sz w:val="19"/>
        </w:rPr>
        <w:t>Präklinisch; klinischer Weg unklar, aber identifiziertes Targetprotein (PRDX1) ist actionable für Therapeutika-Entwicklung</w:t>
      </w:r>
    </w:p>
    <w:p>
      <w:r>
        <w:rPr>
          <w:color w:val="5A7D3A"/>
          <w:sz w:val="18"/>
        </w:rPr>
        <w:t>https://pubmed.ncbi.nlm.nih.gov/42691162/</w:t>
      </w:r>
    </w:p>
    <w:p>
      <w:pPr>
        <w:pStyle w:val="Heading2"/>
      </w:pPr>
      <w:r>
        <w:t>Real-World-Evidence zur Zulassung von Krebsmedikamenten: 18 Anträge mit Single-Arm-Trials und RWE, 2022–2025</w:t>
      </w:r>
    </w:p>
    <w:p>
      <w:r>
        <w:rPr>
          <w:i/>
          <w:color w:val="666666"/>
          <w:sz w:val="18"/>
        </w:rPr>
        <w:t>Su L et al.  ·  Oncologist  ·  06.08.2026  ·  PMID 42664160</w:t>
      </w:r>
    </w:p>
    <w:p>
      <w:r>
        <w:t>Analyse von 200 Onkologie-Zulassungen (FDA 134, EMA 66) 2022–2025: 18 Anträge (7 FDA, 11 EMA) kombiniert Single-Arm-Trials mit Real-World-Evidence; meist für Hämatologika (53 %), Hälfte auf elektronischen Krankenhauspflichten basiert.</w:t>
      </w:r>
    </w:p>
    <w:p>
      <w:r>
        <w:rPr>
          <w:b/>
        </w:rPr>
        <w:t xml:space="preserve">Ergebnis: </w:t>
      </w:r>
      <w:r>
        <w:t>RWE diente in 2 Fällen als "substantive evidence", ansonsten als kontextuell/supportiv. Häufige Mängel: kleine Fallzahlen, Population-Heterogenität, fehlende Kovariaten, non-kontempore Vergleiche, Post-hoc-Design. Regulatoren bestätigen methodologische Grenzen; Harmonisierung regulatorischer Guidance ist notwendig.</w:t>
      </w:r>
    </w:p>
    <w:p>
      <w:r>
        <w:rPr>
          <w:b/>
          <w:sz w:val="19"/>
        </w:rPr>
        <w:t xml:space="preserve">Übertragbarkeit: </w:t>
      </w:r>
      <w:r>
        <w:rPr>
          <w:sz w:val="19"/>
        </w:rPr>
        <w:t>USA-Zulassungssystem und EMA; Übertrag auf deutsches AMNOG-Verfahren begrenzt – AMNOG verlangt höhere RCT-Standard</w:t>
      </w:r>
    </w:p>
    <w:p>
      <w:r>
        <w:rPr>
          <w:color w:val="5A7D3A"/>
          <w:sz w:val="18"/>
        </w:rPr>
        <w:t>https://pubmed.ncbi.nlm.nih.gov/42664160/</w:t>
      </w:r>
    </w:p>
    <w:p>
      <w:pPr>
        <w:pStyle w:val="Heading2"/>
      </w:pPr>
      <w:r>
        <w:t>Dosiseskalation (80 Gy) bei Hochrisiko-Prostatakarzinom erhöht 10-Jahres-PFS deutlich</w:t>
      </w:r>
    </w:p>
    <w:p>
      <w:r>
        <w:rPr>
          <w:i/>
          <w:color w:val="666666"/>
          <w:sz w:val="18"/>
        </w:rPr>
        <w:t>Hennequin C et al.  ·  Lancet Oncol  ·  Sept. 2026  ·  PMID 42636837</w:t>
      </w:r>
    </w:p>
    <w:p>
      <w:r>
        <w:t>Französische Phase-III-Studie (GETUG-AFU-18) mit 505 Patienten mit hochrisiko Prostatakarzinom: Vergleich externe Strahlentherapie 80 Gy versus 70 Gy, kombiniert mit Langzeit-Androgenentzug, über 9,5 Jahre Median-Follow-up.</w:t>
      </w:r>
    </w:p>
    <w:p>
      <w:r>
        <w:rPr>
          <w:b/>
        </w:rPr>
        <w:t xml:space="preserve">Ergebnis: </w:t>
      </w:r>
      <w:r>
        <w:t>10-Jahres-PFS: 83,6 % (80-Gy-Arm) vs. 72,2 % (70-Gy-Arm), Hazard Ratio 0,56 (95% KI 0,40–0,78, p&lt;0,0001). 5-Jahres-PFS: 91,4 % vs. 88,1 %. Grad-3-Toxizität akut 24–25 %, spät 7–8 % in beiden Gruppen. Sexuelle und urogenitale Nebenwirkungen waren frequent, aber nicht unterschiedlich.</w:t>
      </w:r>
    </w:p>
    <w:p>
      <w:r>
        <w:rPr>
          <w:b/>
          <w:sz w:val="19"/>
        </w:rPr>
        <w:t xml:space="preserve">Übertragbarkeit: </w:t>
      </w:r>
      <w:r>
        <w:rPr>
          <w:sz w:val="19"/>
        </w:rPr>
        <w:t>Frankreich, vergleichbare Versicherungsstruktur; deutsche S3-Leitlinien zu Hochrisiko-Prostata-Strahlentherapie sollten Dosiseskalation prüfen</w:t>
      </w:r>
    </w:p>
    <w:p>
      <w:r>
        <w:rPr>
          <w:color w:val="5A7D3A"/>
          <w:sz w:val="18"/>
        </w:rPr>
        <w:t>https://pubmed.ncbi.nlm.nih.gov/42636837/</w:t>
      </w:r>
    </w:p>
    <w:p>
      <w:pPr>
        <w:pStyle w:val="Heading2"/>
      </w:pPr>
      <w:r>
        <w:t>Adjuvant Alectinib (600 mg b.i.d. × 24 Monate) bei ALK-positivem NSCLC nach Resektion: verträglicher, Lebensqualität erhalten</w:t>
      </w:r>
    </w:p>
    <w:p>
      <w:r>
        <w:rPr>
          <w:i/>
          <w:color w:val="666666"/>
          <w:sz w:val="18"/>
        </w:rPr>
        <w:t>Dziadziuszko R et al.  ·  Lancet Oncol  ·  Sept. 2026  ·  PMID 42636834</w:t>
      </w:r>
    </w:p>
    <w:p>
      <w:r>
        <w:t>Phase-III-ALINA-Studie, 257 Patienten mit reseziertem ALK+NSCLC (Stadium IB–IIIA): Vergleich Adjuvant-Alectinib versus Platinum-basierte Chemotherapie; Nebenwirkungen und Lebensqualität (SF-36v2) werden berichtet; Disease-Free-Survival bereits publiziert.</w:t>
      </w:r>
    </w:p>
    <w:p>
      <w:r>
        <w:rPr>
          <w:b/>
        </w:rPr>
        <w:t xml:space="preserve">Ergebnis: </w:t>
      </w:r>
      <w:r>
        <w:t>Schwergrad 3–4-AE mit Alectinib: 6% (CPK-Anstieg), vs. Chemotherapie 10% (Neutropenie). Therapie-Abbrüche: 5% vs. 13% (signifikant weniger mit Alectinib). SF-36v2-Domänen (Körperschmerz, Rollenfunktion, psychische Gesundheit, soziale Funktion, Vitalität) zeigten klinisch bedeutsame Verbesserung ab Woche 12; Scores blieben über 2 Jahre stabil bei Populationsnorm (50).</w:t>
      </w:r>
    </w:p>
    <w:p>
      <w:r>
        <w:rPr>
          <w:b/>
          <w:sz w:val="19"/>
        </w:rPr>
        <w:t xml:space="preserve">Übertragbarkeit: </w:t>
      </w:r>
      <w:r>
        <w:rPr>
          <w:sz w:val="19"/>
        </w:rPr>
        <w:t>International; Alectinib bereits in Deutschland zugelassen, Verträglichkeitsdaten unterstützen adjuvante Standardisierung</w:t>
      </w:r>
    </w:p>
    <w:p>
      <w:r>
        <w:rPr>
          <w:color w:val="5A7D3A"/>
          <w:sz w:val="18"/>
        </w:rPr>
        <w:t>https://pubmed.ncbi.nlm.nih.gov/42636834/</w:t>
      </w:r>
    </w:p>
    <w:p>
      <w:pPr>
        <w:pStyle w:val="Heading2"/>
      </w:pPr>
      <w:r>
        <w:t>Durvalumab+Tremelimumab+Lenvatinib+TACE versus TACE allein bei Hepatozellulärem Karzinom: PFS-Vorteil</w:t>
      </w:r>
    </w:p>
    <w:p>
      <w:r>
        <w:rPr>
          <w:i/>
          <w:color w:val="666666"/>
          <w:sz w:val="18"/>
        </w:rPr>
        <w:t>Kudo M et al.  ·  Lancet Oncol  ·  Sept. 2026  ·  PMID 42636832</w:t>
      </w:r>
    </w:p>
    <w:p>
      <w:r>
        <w:t>Phase-III-Studie EMERALD-3 mit 760 Patienten (embolisierbar, Child-Pugh A): Vergleich STRIDE (Durvalumab+Tremelimumab) mit oder ohne Lenvatinib, kombiniert mit transarterieller Chemoembolisation (TACE), versus TACE allein.</w:t>
      </w:r>
    </w:p>
    <w:p>
      <w:r>
        <w:rPr>
          <w:b/>
        </w:rPr>
        <w:t xml:space="preserve">Ergebnis: </w:t>
      </w:r>
      <w:r>
        <w:t>Median-PFS (STRIDE+Lenvatinib vs. TACE): 13,0 vs. 9,8 Monate, HR 0,70 (95% KI 0,57–0,86, p=0,0007). Median-OS: 39,5 vs. 34,7 Monate, HR 0,84 (p=0,18, nicht signifikant). Grad-3/4-AE: Hypertonie 12% (STRIDE+Lenvatinib), post-embolization-Syndrom 6% (STRIDE+TACE). 7 Treatment-Related Deaths (2%). STRIDE-Regimen als neuer Standard empfohlen.</w:t>
      </w:r>
    </w:p>
    <w:p>
      <w:r>
        <w:rPr>
          <w:b/>
          <w:sz w:val="19"/>
        </w:rPr>
        <w:t xml:space="preserve">Übertragbarkeit: </w:t>
      </w:r>
      <w:r>
        <w:rPr>
          <w:sz w:val="19"/>
        </w:rPr>
        <w:t>Global, inklusive europäischer Zentren; Zulassung in Genehmigungsverfahren, AMNOG-Bewertung ausstehend</w:t>
      </w:r>
    </w:p>
    <w:p>
      <w:r>
        <w:rPr>
          <w:color w:val="5A7D3A"/>
          <w:sz w:val="18"/>
        </w:rPr>
        <w:t>https://pubmed.ncbi.nlm.nih.gov/42636832/</w:t>
      </w:r>
    </w:p>
    <w:p>
      <w:pPr>
        <w:pStyle w:val="Heading1"/>
      </w:pPr>
      <w:r>
        <w:t>Aufgenommen am 14.09.2026</w:t>
      </w:r>
    </w:p>
    <w:p>
      <w:pPr>
        <w:pStyle w:val="Heading2"/>
      </w:pPr>
      <w:r>
        <w:t>Teclistamab in smolderendem Myelom hocheffektiv: Phase-2-Trial</w:t>
      </w:r>
    </w:p>
    <w:p>
      <w:r>
        <w:rPr>
          <w:i/>
          <w:color w:val="666666"/>
          <w:sz w:val="18"/>
        </w:rPr>
        <w:t>Nadeem O et al.  ·  Nat Med  ·  11.09.2026  ·  PMID 42728379</w:t>
      </w:r>
    </w:p>
    <w:p>
      <w:r>
        <w:t>Randomisierte Phase-2-ImmunoPRISM-Studie verglich Teclistamab (BCMA-Bispecific Antibody, Fixdauer) mit Lenalidomid/Dexamethason bei 59 Patienten mit Hochrisiko-smolderendem multiplem Myelom.</w:t>
      </w:r>
    </w:p>
    <w:p>
      <w:r>
        <w:rPr>
          <w:b/>
        </w:rPr>
        <w:t xml:space="preserve">Ergebnis: </w:t>
      </w:r>
      <w:r>
        <w:t>Teclistamab: komplette Remission 77,8% vs. 0% (Rd); minimale Resterkrankung-Negativität (10-5) 82,2%; 2-Jahres-Progressionsfreies Überleben 92% vs. 49%; Grad 1–2 Zytokine-Freisetzung, kein Grade-3-Infektionsanstieg, keine Todesfälle.</w:t>
      </w:r>
    </w:p>
    <w:p>
      <w:r>
        <w:rPr>
          <w:b/>
          <w:sz w:val="19"/>
        </w:rPr>
        <w:t xml:space="preserve">Übertragbarkeit: </w:t>
      </w:r>
      <w:r>
        <w:rPr>
          <w:sz w:val="19"/>
        </w:rPr>
        <w:t>Phasen-2-Studie mit Potential für Frühintervention; internationale Prüfung, Übertragbarkeit begrenzt bis zur Phase-3-Validierung.</w:t>
      </w:r>
    </w:p>
    <w:p>
      <w:r>
        <w:rPr>
          <w:color w:val="5A7D3A"/>
          <w:sz w:val="18"/>
        </w:rPr>
        <w:t>https://pubmed.ncbi.nlm.nih.gov/42728379/</w:t>
      </w:r>
    </w:p>
    <w:p>
      <w:pPr>
        <w:pStyle w:val="Heading2"/>
      </w:pPr>
      <w:r>
        <w:t>HCC-Management in Asien nach europäischen Leitlinien adaptiert</w:t>
      </w:r>
    </w:p>
    <w:p>
      <w:r>
        <w:rPr>
          <w:i/>
          <w:color w:val="666666"/>
          <w:sz w:val="18"/>
        </w:rPr>
        <w:t>Tan CK et al.  ·  ESMO Open  ·  09.07.2026  ·  PMID 42660571</w:t>
      </w:r>
    </w:p>
    <w:p>
      <w:r>
        <w:t>Pan-asiatische Expertengruppe adaptierte ESMO-Leitlinien zu Diagnose, Therapie und Nachsorge des Hepatozellulären Karzinoms für zehn asiatische Länder.</w:t>
      </w:r>
    </w:p>
    <w:p>
      <w:r>
        <w:rPr>
          <w:b/>
        </w:rPr>
        <w:t xml:space="preserve">Ergebnis: </w:t>
      </w:r>
      <w:r>
        <w:t>Konsens-Richtlinie mit regionsspezifischen Empfehlungen verabschiedet; Fokus auf harmonisierte Behandlung und Zugang trotz regionaler Unterschiede in Arzneimittelzulassung und Erstattung.</w:t>
      </w:r>
    </w:p>
    <w:p>
      <w:r>
        <w:rPr>
          <w:b/>
          <w:sz w:val="19"/>
        </w:rPr>
        <w:t xml:space="preserve">Übertragbarkeit: </w:t>
      </w:r>
      <w:r>
        <w:rPr>
          <w:sz w:val="19"/>
        </w:rPr>
        <w:t>Internationale Leitlinie mit europäischen Standards, aber auch asiatischen Besonderheiten; teilweise auf deutsches System übertragbar.</w:t>
      </w:r>
    </w:p>
    <w:p>
      <w:r>
        <w:rPr>
          <w:color w:val="5A7D3A"/>
          <w:sz w:val="18"/>
        </w:rPr>
        <w:t>https://pubmed.ncbi.nlm.nih.gov/42660571/</w:t>
      </w:r>
    </w:p>
    <w:p>
      <w:pPr>
        <w:pStyle w:val="Heading2"/>
      </w:pPr>
      <w:r>
        <w:t>Epigenetisches Altern in Dickdarmgewebe zeigt Lebensstilfaktoren-Einfluss</w:t>
      </w:r>
    </w:p>
    <w:p>
      <w:r>
        <w:rPr>
          <w:i/>
          <w:color w:val="666666"/>
          <w:sz w:val="18"/>
        </w:rPr>
        <w:t>Hardikar S et al.  ·  J Natl Cancer Inst  ·  25.08.2026  ·  PMID 42640567</w:t>
      </w:r>
    </w:p>
    <w:p>
      <w:r>
        <w:t>Analyse von epigenetischen Alterungsmodellen (Horvath, Hannum, Zhang u.a.) in Kolonialgewebe von 554 Proben (96 normal, 245 angrenzend, 208 Tumore) zur Untersuchung von Zusammenhängen mit Lebensstilfaktoren und Krebsentwicklung.</w:t>
      </w:r>
    </w:p>
    <w:p>
      <w:r>
        <w:rPr>
          <w:b/>
        </w:rPr>
        <w:t xml:space="preserve">Ergebnis: </w:t>
      </w:r>
      <w:r>
        <w:t>Horvath-Modell zeigte beste Korrelation mit chronologischem Alter (r &gt;0,70) in normalem Gewebe; signifikante Alters-Beschleunigung in tumoren vs. normal/angrenzend bei allen Modellen; körperliche Aktivität (PhenoAge), Rauchen (GrimAge) und Alkoholkonsum (Horvath, Mitose-Uhren) assoziiert mit epigenetischem Altern in angrenzender Mukosa.</w:t>
      </w:r>
    </w:p>
    <w:p>
      <w:r>
        <w:rPr>
          <w:b/>
          <w:sz w:val="19"/>
        </w:rPr>
        <w:t xml:space="preserve">Übertragbarkeit: </w:t>
      </w:r>
      <w:r>
        <w:rPr>
          <w:sz w:val="19"/>
        </w:rPr>
        <w:t>USA/deutsche Zentren, diverse Populationen; Grundlagenforschung zu Risikostratifikation.</w:t>
      </w:r>
    </w:p>
    <w:p>
      <w:r>
        <w:rPr>
          <w:color w:val="5A7D3A"/>
          <w:sz w:val="18"/>
        </w:rPr>
        <w:t>https://pubmed.ncbi.nlm.nih.gov/42640567/</w:t>
      </w:r>
    </w:p>
    <w:p>
      <w:pPr>
        <w:pStyle w:val="Heading2"/>
      </w:pPr>
      <w:r>
        <w:t>Tebentafusp gegen Uveales Melanom im UK-Programm wirksam wie Phase-3-Daten</w:t>
      </w:r>
    </w:p>
    <w:p>
      <w:r>
        <w:rPr>
          <w:i/>
          <w:color w:val="666666"/>
          <w:sz w:val="18"/>
        </w:rPr>
        <w:t>Joseph M et al.  ·  Oncologist  ·  09.09.2026  ·  PMID 42640561</w:t>
      </w:r>
    </w:p>
    <w:p>
      <w:r>
        <w:t>Retrospektive Real-World-Effektivitäts- und Toxizitäts-Analyse der UK Expanded Access Programme (EAP) mit 88 Patienten mit metastasiertem uvealen Melanom, behandelt Juli 2021–Juni 2023.</w:t>
      </w:r>
    </w:p>
    <w:p>
      <w:r>
        <w:rPr>
          <w:b/>
        </w:rPr>
        <w:t xml:space="preserve">Ergebnis: </w:t>
      </w:r>
      <w:r>
        <w:t>Medianes Gesamtüberleben 21 Monate (95%-KI 17-NR); medianes progressionsfreies Überleben 2,76 Monate (95%-KI 2,53–3,22); 12-Monats-Überlebenrate 75% (95%-KI 66,1–85,6); niedrigere LDH und niedrigere Leberlastung tendierten zu besserem Überleben; LDH ≥2× obere Normgrenze zeigte sehr schlechte Prognose; keine Grade ≥3 Toxizität nach Dosis 5.</w:t>
      </w:r>
    </w:p>
    <w:p>
      <w:r>
        <w:rPr>
          <w:b/>
          <w:sz w:val="19"/>
        </w:rPr>
        <w:t xml:space="preserve">Übertragbarkeit: </w:t>
      </w:r>
      <w:r>
        <w:rPr>
          <w:sz w:val="19"/>
        </w:rPr>
        <w:t>Britisches NHS-System, vergleichbar mit deutschem, Real-World-Evidenz für Kostenträger relevant.</w:t>
      </w:r>
    </w:p>
    <w:p>
      <w:r>
        <w:rPr>
          <w:color w:val="5A7D3A"/>
          <w:sz w:val="18"/>
        </w:rPr>
        <w:t>https://pubmed.ncbi.nlm.nih.gov/42640561/</w:t>
      </w:r>
    </w:p>
    <w:p>
      <w:pPr>
        <w:pStyle w:val="Heading2"/>
      </w:pPr>
      <w:r>
        <w:t>Daratumumab+Lenalidomid verlängert Überleben im älteren Myelom dauerhaft</w:t>
      </w:r>
    </w:p>
    <w:p>
      <w:r>
        <w:rPr>
          <w:i/>
          <w:color w:val="666666"/>
          <w:sz w:val="18"/>
        </w:rPr>
        <w:t>Facon T et al.  ·  Leukemia  ·  24.08.2026  ·  PMID 42637879</w:t>
      </w:r>
    </w:p>
    <w:p>
      <w:r>
        <w:t>Finale Analyse der MAIA-Studie: Randomisierte Phase-III-Prüfung zu Daratumumab+Lenalidomid/Dexamethason (D-Rd) vs. Lenalidomid/Dexamethason (Rd) bei 737 nicht-transplant-fähigen Patienten mit neu diagnostiziertem multiplem Myelom.</w:t>
      </w:r>
    </w:p>
    <w:p>
      <w:r>
        <w:rPr>
          <w:b/>
        </w:rPr>
        <w:t xml:space="preserve">Ergebnis: </w:t>
      </w:r>
      <w:r>
        <w:t>Medianes Gesamtüberleben: 90,3 Monate (D-Rd) vs. 64,1 Monate (Rd), HR 0,67 (95%-KI 0,55–0,82); 7-Jahres-Überleben 53,1% vs. 39,3%; mediane Zeit bis Folgetherapie nicht erreicht vs. 42,4 Monate. Follow-up &gt;7 Jahre.</w:t>
      </w:r>
    </w:p>
    <w:p>
      <w:r>
        <w:rPr>
          <w:b/>
          <w:sz w:val="19"/>
        </w:rPr>
        <w:t xml:space="preserve">Übertragbarkeit: </w:t>
      </w:r>
      <w:r>
        <w:rPr>
          <w:sz w:val="19"/>
        </w:rPr>
        <w:t>Multinationale Studie; Basis für Leitlinienstandard bei älteren Patienten, in Deutschland anwendbar.</w:t>
      </w:r>
    </w:p>
    <w:p>
      <w:r>
        <w:rPr>
          <w:color w:val="5A7D3A"/>
          <w:sz w:val="18"/>
        </w:rPr>
        <w:t>https://pubmed.ncbi.nlm.nih.gov/42637879/</w:t>
      </w:r>
    </w:p>
    <w:p>
      <w:pPr>
        <w:pStyle w:val="Heading2"/>
      </w:pPr>
      <w:r>
        <w:t>Olaparib-Erhaltung bei BRCA-mutiertem Brustkrebs: 6-Jahres-Vorteile halten an</w:t>
      </w:r>
    </w:p>
    <w:p>
      <w:r>
        <w:rPr>
          <w:i/>
          <w:color w:val="666666"/>
          <w:sz w:val="18"/>
        </w:rPr>
        <w:t>Garber JE et al.  ·  Ann Oncol  ·  24.08.2026  ·  PMID 42636977</w:t>
      </w:r>
    </w:p>
    <w:p>
      <w:r>
        <w:t>Dritte geplante Zwischenanalyse der randomisierten Phase-III-OlympiA-Studie zu adjuvantem Olaparib (PARP-Inhibitor) versus Placebo nach Chemotherapie bei 1.836 Patientinnen mit Keimbahn-BRCA-Mutation und HER2-negativem Hochrisiko-Brustkrebs.</w:t>
      </w:r>
    </w:p>
    <w:p>
      <w:r>
        <w:rPr>
          <w:b/>
        </w:rPr>
        <w:t xml:space="preserve">Ergebnis: </w:t>
      </w:r>
      <w:r>
        <w:t>Bei 6,1 Jahren medianer Nachbeobachtung: Invasives rezidivfreies Überleben (HR 0,65; 95%-KI 0,53–0,78), Gesamtüberleben (HR 0,72; 95%-KI 0,56–0,93); 6-Jahres-Überleben 87,5% vs. 83,2%; keine neuen Sicherheitssignale, kein erhöhtes MDS/AML-Risiko (0,4% vs. 0,7%).</w:t>
      </w:r>
    </w:p>
    <w:p>
      <w:r>
        <w:rPr>
          <w:b/>
          <w:sz w:val="19"/>
        </w:rPr>
        <w:t xml:space="preserve">Übertragbarkeit: </w:t>
      </w:r>
      <w:r>
        <w:rPr>
          <w:sz w:val="19"/>
        </w:rPr>
        <w:t>Multinationale Studie mit europäischen und deutschen Zentren; Befund ändert Leitlinienempfehlungen.</w:t>
      </w:r>
    </w:p>
    <w:p>
      <w:r>
        <w:rPr>
          <w:color w:val="5A7D3A"/>
          <w:sz w:val="18"/>
        </w:rPr>
        <w:t>https://pubmed.ncbi.nlm.nih.gov/42636977/</w:t>
      </w:r>
    </w:p>
    <w:p>
      <w:pPr>
        <w:pStyle w:val="Heading1"/>
      </w:pPr>
      <w:r>
        <w:t>Aufgenommen am 13.09.2026</w:t>
      </w:r>
    </w:p>
    <w:p>
      <w:pPr>
        <w:pStyle w:val="Heading2"/>
      </w:pPr>
      <w:r>
        <w:t>Genomische Alterationen in Hirn-Metastasen von Brustkrebs: 76,8 % haben therapeutisch nutzbare Targets</w:t>
      </w:r>
    </w:p>
    <w:p>
      <w:r>
        <w:rPr>
          <w:i/>
          <w:color w:val="666666"/>
          <w:sz w:val="18"/>
        </w:rPr>
        <w:t>Griguolo G et al.  ·  ESMO Open  ·  11.09.2026  ·  PMID 42727421</w:t>
      </w:r>
    </w:p>
    <w:p>
      <w:r>
        <w:t>Whole-exome-Sequenzierung von 56 Hirn-Metastasen-Proben aus Brustkrebs-Patienten zur Identifikation klinisch umsetzbarer genomischer Alterationen nach ESCAT-Kriterien.</w:t>
      </w:r>
    </w:p>
    <w:p>
      <w:r>
        <w:rPr>
          <w:b/>
        </w:rPr>
        <w:t xml:space="preserve">Ergebnis: </w:t>
      </w:r>
      <w:r>
        <w:t>76,8 % zeigten ESCAT-I/II-Alterationen; häufigste waren DNA-Reparatur-Gene (BRCA1/2/PALB2: 53,6 %); biallele Inaktivierung bei 19,6 % (höher bei HER2-negativ: 26 % HR-neg/HER2-neg, 21 % HR-pos/HER2-neg); PIK3CA/AKT1/PTEN-Alterationen in 48,2 %; kein ESR1 in HR-positiven; hotspot PIK3CA bei HER2-positivem assoziiert mit schlechterer Prognose.</w:t>
      </w:r>
    </w:p>
    <w:p>
      <w:r>
        <w:rPr>
          <w:b/>
          <w:sz w:val="19"/>
        </w:rPr>
        <w:t xml:space="preserve">Übertragbarkeit: </w:t>
      </w:r>
      <w:r>
        <w:rPr>
          <w:sz w:val="19"/>
        </w:rPr>
        <w:t>Italienisch-französische Kooperation, ESCAT-Klassifikation europäisch – direkt auf deutsches Targeting-System übertragbar.</w:t>
      </w:r>
    </w:p>
    <w:p>
      <w:r>
        <w:rPr>
          <w:color w:val="5A7D3A"/>
          <w:sz w:val="18"/>
        </w:rPr>
        <w:t>https://pubmed.ncbi.nlm.nih.gov/42727421/</w:t>
      </w:r>
    </w:p>
    <w:p>
      <w:pPr>
        <w:pStyle w:val="Heading2"/>
      </w:pPr>
      <w:r>
        <w:t>Hautkrebs-Bestrahlungen um 79% gestiegen: Trends der Radioonkologie 2015–2022</w:t>
      </w:r>
    </w:p>
    <w:p>
      <w:r>
        <w:rPr>
          <w:i/>
          <w:color w:val="666666"/>
          <w:sz w:val="18"/>
        </w:rPr>
        <w:t>Diefenhardt M et al.  ·  Strahlenther Onkol  ·  11.09.2026  ·  PMID 42726226</w:t>
      </w:r>
    </w:p>
    <w:p>
      <w:r>
        <w:t>Retrospektive Analyse von 8.842 Patienten in einer deutschen Uniklinik-Radiotherapie zwischen 2015 und 2022 zu Trends in Tumorentitäten, Alter und Behandlungsabständen.</w:t>
      </w:r>
    </w:p>
    <w:p>
      <w:r>
        <w:rPr>
          <w:b/>
        </w:rPr>
        <w:t xml:space="preserve">Ergebnis: </w:t>
      </w:r>
      <w:r>
        <w:t>Hautkrebs-Bestrahlungen stiegen um 79 %, Prostata um 10 %, Medianalter von 62 auf 64 Jahre; 47 % der Patienten kamen aus 10-km-Radius; Pandemie 2020-2021 führte zu keinen signifikanten Veränderungen in Patientenzahlen oder Tumortyp-Verteilung.</w:t>
      </w:r>
    </w:p>
    <w:p>
      <w:r>
        <w:rPr>
          <w:b/>
          <w:sz w:val="19"/>
        </w:rPr>
        <w:t xml:space="preserve">Übertragbarkeit: </w:t>
      </w:r>
      <w:r>
        <w:rPr>
          <w:sz w:val="19"/>
        </w:rPr>
        <w:t>Deutsche Uniklinik-Daten, direkt auf deutsches Radiotherapie-Versorgungssystem übertragbar.</w:t>
      </w:r>
    </w:p>
    <w:p>
      <w:r>
        <w:rPr>
          <w:color w:val="5A7D3A"/>
          <w:sz w:val="18"/>
        </w:rPr>
        <w:t>https://pubmed.ncbi.nlm.nih.gov/42726226/</w:t>
      </w:r>
    </w:p>
    <w:p>
      <w:pPr>
        <w:pStyle w:val="Heading2"/>
      </w:pPr>
      <w:r>
        <w:t>Cell-free DNA in Großzelliger B-Zell-Lymphom: technische Anforderungen für Minimal-Residual-Disease-Monitoring</w:t>
      </w:r>
    </w:p>
    <w:p>
      <w:r>
        <w:rPr>
          <w:i/>
          <w:color w:val="666666"/>
          <w:sz w:val="18"/>
        </w:rPr>
        <w:t>Krupka JA et al.  ·  Blood  ·  03.09.2026  ·  PMID 42691013</w:t>
      </w:r>
    </w:p>
    <w:p>
      <w:r>
        <w:t>Narrative Übersichtsarbeit zu ctDNA-Einsatz im diffusen großzelligen B-Zell-Lymphom mit Fokus auf technische Herausforderungen, Assay-Design und klinische Implementierung.</w:t>
      </w:r>
    </w:p>
    <w:p>
      <w:r>
        <w:rPr>
          <w:b/>
        </w:rPr>
        <w:t xml:space="preserve">Ergebnis: </w:t>
      </w:r>
      <w:r>
        <w:t>Tumor-informierte Assays mit mehreren genetischen Markern verbessern Sensitivität des Monitoring substanziell; Standardisierung und prospektive Validierung sind notwendig für Routineimplementierung; niedrige ctDNA-Häufigkeit und Unterscheidung von niedrigen Allel-Fraktionen bleiben Hauptprobleme.</w:t>
      </w:r>
    </w:p>
    <w:p>
      <w:r>
        <w:rPr>
          <w:b/>
          <w:sz w:val="19"/>
        </w:rPr>
        <w:t xml:space="preserve">Übertragbarkeit: </w:t>
      </w:r>
      <w:r>
        <w:rPr>
          <w:sz w:val="19"/>
        </w:rPr>
        <w:t>Technisches Review ohne spezifische Zahlen, eher Empfehlungscharakter; europäische Kontributoren.</w:t>
      </w:r>
    </w:p>
    <w:p>
      <w:r>
        <w:rPr>
          <w:color w:val="5A7D3A"/>
          <w:sz w:val="18"/>
        </w:rPr>
        <w:t>https://pubmed.ncbi.nlm.nih.gov/42691013/</w:t>
      </w:r>
    </w:p>
    <w:p>
      <w:pPr>
        <w:pStyle w:val="Heading2"/>
      </w:pPr>
      <w:r>
        <w:t>Tumor-Protein ADAMTSL4 treibt Kachexie durch TGFβ-Aktivierung – therapeutisches Ziel identifiziert</w:t>
      </w:r>
    </w:p>
    <w:p>
      <w:r>
        <w:rPr>
          <w:i/>
          <w:color w:val="666666"/>
          <w:sz w:val="18"/>
        </w:rPr>
        <w:t>Machado J et al.  ·  Cancer Discov  ·  01.09.2026  ·  PMID 42678278</w:t>
      </w:r>
    </w:p>
    <w:p>
      <w:r>
        <w:t>Mechanistische Studie in Modellen und Patienten mit kolorektalem und Lungenkarzinom zur Rolle von Tumor-Sekretion von ADAMTSL4 in der Pathogenese von Krebs-Kachexie.</w:t>
      </w:r>
    </w:p>
    <w:p>
      <w:r>
        <w:rPr>
          <w:b/>
        </w:rPr>
        <w:t xml:space="preserve">Ergebnis: </w:t>
      </w:r>
      <w:r>
        <w:t>ADAMTSL4-Überexpression machte nicht-kachektische Tumoren zu kachektischen; ADAMTSL4-Knockout reduzierte Muskelatrophie-Signaturen und Kachexie-Schweregrad; erhöhte zirkulierende ADAMTSL4-Level waren mit TGFβ-getriebener Muskelatrophie in Kachexie-Patienten assoziiert; ADAMTSL4-Blockade könnte selektive Therapie ohne systemische TGFβ-Blockade ermöglichen.</w:t>
      </w:r>
    </w:p>
    <w:p>
      <w:r>
        <w:rPr>
          <w:b/>
          <w:sz w:val="19"/>
        </w:rPr>
        <w:t xml:space="preserve">Übertragbarkeit: </w:t>
      </w:r>
      <w:r>
        <w:rPr>
          <w:sz w:val="19"/>
        </w:rPr>
        <w:t>USA-Studie mit deutschen und internationalen Zentren; präklinisches Modell mit klinischer Validierung – Weg zur Therapeutik erkennbar.</w:t>
      </w:r>
    </w:p>
    <w:p>
      <w:r>
        <w:rPr>
          <w:color w:val="5A7D3A"/>
          <w:sz w:val="18"/>
        </w:rPr>
        <w:t>https://pubmed.ncbi.nlm.nih.gov/42678278/</w:t>
      </w:r>
    </w:p>
    <w:p>
      <w:pPr>
        <w:pStyle w:val="Heading2"/>
      </w:pPr>
      <w:r>
        <w:t>Durvalumab perioperativ bei resektablem NSCLC: AEGEAN-Phase-III-Studie verbessert ereignisfreies Überleben</w:t>
      </w:r>
    </w:p>
    <w:p>
      <w:r>
        <w:rPr>
          <w:i/>
          <w:color w:val="666666"/>
          <w:sz w:val="18"/>
        </w:rPr>
        <w:t>Heymach JV et al.  ·  J Clin Oncol  ·  28.08.2026  ·  PMID 42664473</w:t>
      </w:r>
    </w:p>
    <w:p>
      <w:r>
        <w:t>Phase-III-Studie mit 740 Patienten zu neoadjuvanter Chemotherapie plus Durvalumab oder Placebo vor Operation und anschließender adjuvanter Durvalumab/Placebo-Therapie beim resektablen NSCLC Stadium II-IIIB.</w:t>
      </w:r>
    </w:p>
    <w:p>
      <w:r>
        <w:rPr>
          <w:b/>
        </w:rPr>
        <w:t xml:space="preserve">Ergebnis: </w:t>
      </w:r>
      <w:r>
        <w:t>Durvalumab reduzierte ereignisfreies Überleben (HR 0,69; 95%-KI 0,55–0,88), Zahlentrend für progressionsfreies Überleben (HR 0,66) und Gesamtüberleben (HR 0,89); Grad-3/4-Nebenwirkungen unter adjuvanter Therapie: 15,4 % vs. 10,6 % Placebo; Sicherheitsprofil konsistent mit Einzelsubstanzen.</w:t>
      </w:r>
    </w:p>
    <w:p>
      <w:r>
        <w:rPr>
          <w:b/>
          <w:sz w:val="19"/>
        </w:rPr>
        <w:t xml:space="preserve">Übertragbarkeit: </w:t>
      </w:r>
      <w:r>
        <w:rPr>
          <w:sz w:val="19"/>
        </w:rPr>
        <w:t>Internationale Phase-III-Studie mit europäischen Zentren; praxisverändernd bei AMNOG und Zulassung.</w:t>
      </w:r>
    </w:p>
    <w:p>
      <w:r>
        <w:rPr>
          <w:color w:val="5A7D3A"/>
          <w:sz w:val="18"/>
        </w:rPr>
        <w:t>https://pubmed.ncbi.nlm.nih.gov/42664473/</w:t>
      </w:r>
    </w:p>
    <w:p>
      <w:pPr>
        <w:pStyle w:val="Heading2"/>
      </w:pPr>
      <w:r>
        <w:t>Dynamisches Prognose-Modell CIRI2-CLL für Rezidivrisiko nach limitierter Therapie verbessert Vorhersage um bis zu 37 %</w:t>
      </w:r>
    </w:p>
    <w:p>
      <w:r>
        <w:rPr>
          <w:i/>
          <w:color w:val="666666"/>
          <w:sz w:val="18"/>
        </w:rPr>
        <w:t>Al-Sawaf O et al.  ·  J Clin Oncol  ·  27.08.2026  ·  PMID 42659576</w:t>
      </w:r>
    </w:p>
    <w:p>
      <w:r>
        <w:t>Validierungsstudie eines verfeinerten kontinuierlichen Risikoindex (CIRI2-CLL) zur Prognosebestimmung nach limitierter Behandlung der chronischen lymphatischen Leukämie mit Minimal-Residual-Disease-Status.</w:t>
      </w:r>
    </w:p>
    <w:p>
      <w:r>
        <w:rPr>
          <w:b/>
        </w:rPr>
        <w:t xml:space="preserve">Ergebnis: </w:t>
      </w:r>
      <w:r>
        <w:t>CIRI2-CLL zeigte gute Kalibrierung (ca. 5 % Differenz zwischen beobachteter und vorhergesagter Ereigniswahrscheinlichkeit); C-Statistik 0,82–0,98 an allen Zeitpunkten; 14–37 % Verbesserung der PFS-Vorhersage gegenüber MRD und CLL-IPI; 3-Jahres-PFS: 100,0 % (niedrig), 70,2 % (mittel), 10,8 % (hoch); Modell frei verfügbar auf Stanford-Plattform für individualisierte Therapieentscheidung.</w:t>
      </w:r>
    </w:p>
    <w:p>
      <w:r>
        <w:rPr>
          <w:b/>
          <w:sz w:val="19"/>
        </w:rPr>
        <w:t xml:space="preserve">Übertragbarkeit: </w:t>
      </w:r>
      <w:r>
        <w:rPr>
          <w:sz w:val="19"/>
        </w:rPr>
        <w:t>Deutsche CLL-Studiengruppe führend; validiert in europäischen und internationalen Kohorten.</w:t>
      </w:r>
    </w:p>
    <w:p>
      <w:r>
        <w:rPr>
          <w:color w:val="5A7D3A"/>
          <w:sz w:val="18"/>
        </w:rPr>
        <w:t>https://pubmed.ncbi.nlm.nih.gov/42659576/</w:t>
      </w:r>
    </w:p>
    <w:p>
      <w:pPr>
        <w:pStyle w:val="Heading1"/>
      </w:pPr>
      <w:r>
        <w:t>Aufgenommen am 12.09.2026</w:t>
      </w:r>
    </w:p>
    <w:p>
      <w:pPr>
        <w:pStyle w:val="Heading2"/>
      </w:pPr>
      <w:r>
        <w:t>PRO-Symptommonitoring bei Lungenkrebspatienten verlängert Gesamtüberleben um 5 Monate</w:t>
      </w:r>
    </w:p>
    <w:p>
      <w:r>
        <w:rPr>
          <w:i/>
          <w:color w:val="666666"/>
          <w:sz w:val="18"/>
        </w:rPr>
        <w:t>Hassing MJ et al.  ·  Lancet Oncol  ·  11.09.2026  ·  PMID 42727592</w:t>
      </w:r>
    </w:p>
    <w:p>
      <w:r>
        <w:t>Randomisierte niederländische Studie (14 medizinische Zentren, Stepped-Wedge-Design) zur Wirkung wöchentlicher Online-Symptomselbstberichte auf Überleben bei Patienten mit Lung Cancer im Stadium I-IV unter Behandlung.</w:t>
      </w:r>
    </w:p>
    <w:p>
      <w:r>
        <w:rPr>
          <w:b/>
        </w:rPr>
        <w:t xml:space="preserve">Ergebnis: </w:t>
      </w:r>
      <w:r>
        <w:t>Bei 446 Patienten (median 50 Monate Follow-up): Median Overall Survival in der Intervention 26 Monate versus Kontrolle 21 Monate (Hazard Ratio 0,80; 95%-CI 0,63–1,00; p=0,049). Progression-Free Survival zeigte keinen signifikanten Unterschied (HR 0,86; p=0,18). Praxisrelevant: strukturierte Patient-Reported Outcomes ermöglichen 5-Monate-Gewinn bei aktuellen Therapien.</w:t>
      </w:r>
    </w:p>
    <w:p>
      <w:r>
        <w:rPr>
          <w:b/>
          <w:sz w:val="19"/>
        </w:rPr>
        <w:t xml:space="preserve">Übertragbarkeit: </w:t>
      </w:r>
      <w:r>
        <w:rPr>
          <w:sz w:val="19"/>
        </w:rPr>
        <w:t>Niederländische Klinikdaten mit Versorgungsauftrag ähnlich Deutschland</w:t>
      </w:r>
    </w:p>
    <w:p>
      <w:r>
        <w:rPr>
          <w:color w:val="5A7D3A"/>
          <w:sz w:val="18"/>
        </w:rPr>
        <w:t>https://pubmed.ncbi.nlm.nih.gov/42727592/</w:t>
      </w:r>
    </w:p>
    <w:p>
      <w:pPr>
        <w:pStyle w:val="Heading2"/>
      </w:pPr>
      <w:r>
        <w:t>Trastuzumab Botidotin gegenüber Trastuzumab Emtansine: 11,1 vs. 4,4 Monate progressionsfreies Überleben</w:t>
      </w:r>
    </w:p>
    <w:p>
      <w:r>
        <w:rPr>
          <w:i/>
          <w:color w:val="666666"/>
          <w:sz w:val="18"/>
        </w:rPr>
        <w:t>Zhang J et al.  ·  J Clin Oncol  ·  11.09.2026  ·  PMID 42727044</w:t>
      </w:r>
    </w:p>
    <w:p>
      <w:r>
        <w:t>Phase-III-Studie (365 Patienten, China, 57 Zentren) mit randomisierter Direktvergleich zweier HER2-gerichteter Antikörper-Wirkstoff-Konjugate bei vorbehandeltem HER2-positivem metastasiertem Brustkrebs.</w:t>
      </w:r>
    </w:p>
    <w:p>
      <w:r>
        <w:rPr>
          <w:b/>
        </w:rPr>
        <w:t xml:space="preserve">Ergebnis: </w:t>
      </w:r>
      <w:r>
        <w:t>Trastuzumab Botidotin vs. Trastuzumab Emtansine: medianes Progression-Free Survival 11,1 vs. 4,4 Monate (HR 0,39; p&lt;0,0001); Objective Response Rate 76,9% vs. 53,0%. Grade ≥3 unerwünschte Ereignisse 69,8% vs. 63,7%, höchste Inzidenz bei Augenoberflächen-Toxizität (47,7%), aber meist reversibel.</w:t>
      </w:r>
    </w:p>
    <w:p>
      <w:r>
        <w:rPr>
          <w:b/>
          <w:sz w:val="19"/>
        </w:rPr>
        <w:t xml:space="preserve">Übertragbarkeit: </w:t>
      </w:r>
      <w:r>
        <w:rPr>
          <w:sz w:val="19"/>
        </w:rPr>
        <w:t>China-Studie, Botidotin hat EU-Zulassung; Übertragbarkeit für deutsche Zentren gegeben</w:t>
      </w:r>
    </w:p>
    <w:p>
      <w:r>
        <w:rPr>
          <w:color w:val="5A7D3A"/>
          <w:sz w:val="18"/>
        </w:rPr>
        <w:t>https://pubmed.ncbi.nlm.nih.gov/42727044/</w:t>
      </w:r>
    </w:p>
    <w:p>
      <w:pPr>
        <w:pStyle w:val="Heading2"/>
      </w:pPr>
      <w:r>
        <w:t>Lokale Therapie + Immune Checkpoint Inhibitor bei rezidiviertem/metastasiertem Nasopharynxkarzinom: 30,5 vs. 16,8 Monate PFS</w:t>
      </w:r>
    </w:p>
    <w:p>
      <w:r>
        <w:rPr>
          <w:i/>
          <w:color w:val="666666"/>
          <w:sz w:val="18"/>
        </w:rPr>
        <w:t>Chen X et al.  ·  Eur J Cancer  ·  27.08.2026  ·  PMID 42721861</w:t>
      </w:r>
    </w:p>
    <w:p>
      <w:r>
        <w:t>Retrospektive chinesische Studie (223 Patienten, Fudan University Shanghai) zum Vergleich von ICI allein versus lokale Therapie kombiniert mit ICI (LOCI) bei rezidiviertem oder metastasiertem Nasopharynxkarzinom; IPTW und Propensity-Score-Matching zur Confounding-Kontrolle.</w:t>
      </w:r>
    </w:p>
    <w:p>
      <w:r>
        <w:rPr>
          <w:b/>
        </w:rPr>
        <w:t xml:space="preserve">Ergebnis: </w:t>
      </w:r>
      <w:r>
        <w:t>Median Progression-Free Survival mit LOCI 30,53 Monate vs. ICI allein 16,77 Monate (HR 0,524; 95%-CI 0,339–0,785; log-rank p=0,0014). Benefit nach PSM und IPTW-Adjustment bestätigt. Bei lokalem Rezidiv oder Nodusbefall (LRR-NPC): verbessertes Distant-Metastasis-Free-Survival (HR 0,437). Bei Oligometastasen (≤3 Läsionen) ebenfalls PFS-Vorteil (HR 0,458; p=0,0416).</w:t>
      </w:r>
    </w:p>
    <w:p>
      <w:r>
        <w:rPr>
          <w:b/>
          <w:sz w:val="19"/>
        </w:rPr>
        <w:t xml:space="preserve">Übertragbarkeit: </w:t>
      </w:r>
      <w:r>
        <w:rPr>
          <w:sz w:val="19"/>
        </w:rPr>
        <w:t>China, Strahlentherapie mit ICI-Standard auch europäisch; Real-World-Ansatz übertragbar</w:t>
      </w:r>
    </w:p>
    <w:p>
      <w:r>
        <w:rPr>
          <w:color w:val="5A7D3A"/>
          <w:sz w:val="18"/>
        </w:rPr>
        <w:t>https://pubmed.ncbi.nlm.nih.gov/42721861/</w:t>
      </w:r>
    </w:p>
    <w:p>
      <w:pPr>
        <w:pStyle w:val="Heading2"/>
      </w:pPr>
      <w:r>
        <w:t>EORTC QLQ-CHI: erste Lebensqualitätsskala speziell für Kinder mit Krebs (8–14 Jahre)</w:t>
      </w:r>
    </w:p>
    <w:p>
      <w:r>
        <w:rPr>
          <w:i/>
          <w:color w:val="666666"/>
          <w:sz w:val="18"/>
        </w:rPr>
        <w:t>Vetrano C et al.  ·  Eur J Cancer  ·  05.10.2026  ·  PMID 42685381</w:t>
      </w:r>
    </w:p>
    <w:p>
      <w:r>
        <w:t>Mixed-Methods-Studie (Phasen I/II) zur Entwicklung eines EORTC-Fragebogenmoduls; 47 Kinder, 45 Eltern, 22 Fachleute aus 6 Ländern; Leitlinien der EORTC Quality-of-Life Group.</w:t>
      </w:r>
    </w:p>
    <w:p>
      <w:r>
        <w:rPr>
          <w:b/>
        </w:rPr>
        <w:t xml:space="preserve">Ergebnis: </w:t>
      </w:r>
      <w:r>
        <w:t>57 Schlüsselprobleme identifiziert aus 1.200+ initial bewerteten Aspekten (Vergleich Kinder-, Eltern- und Fachperspektive). Kinder präferierten 4 Antwortoptionen (70,0%) und kürzere Recall-Periode (43,3%). Fragebogen mit 50 Items in zwei Skalenbereiche eingeteilt: symptomorientiert und psychosozial. Nächste Schritte: Pilottestung (Phase III/IV), Validierung.</w:t>
      </w:r>
    </w:p>
    <w:p>
      <w:r>
        <w:rPr>
          <w:b/>
          <w:sz w:val="19"/>
        </w:rPr>
        <w:t xml:space="preserve">Übertragbarkeit: </w:t>
      </w:r>
      <w:r>
        <w:rPr>
          <w:sz w:val="19"/>
        </w:rPr>
        <w:t>Europäisches Netzwerk (EORTC), Grundlage für standardisierte Erfassung in Zentren</w:t>
      </w:r>
    </w:p>
    <w:p>
      <w:r>
        <w:rPr>
          <w:color w:val="5A7D3A"/>
          <w:sz w:val="18"/>
        </w:rPr>
        <w:t>https://pubmed.ncbi.nlm.nih.gov/42685381/</w:t>
      </w:r>
    </w:p>
    <w:p>
      <w:pPr>
        <w:pStyle w:val="Heading2"/>
      </w:pPr>
      <w:r>
        <w:t>Tislelizumab + Chemotherapie bei Ösophaguskarzinom: 45-Monate-Überleben</w:t>
      </w:r>
    </w:p>
    <w:p>
      <w:r>
        <w:rPr>
          <w:i/>
          <w:color w:val="666666"/>
          <w:sz w:val="18"/>
        </w:rPr>
        <w:t>Tougeron D et al.  ·  ESMO Open  ·  27.08.2026  ·  PMID 42659894</w:t>
      </w:r>
    </w:p>
    <w:p>
      <w:r>
        <w:t>Randomisierte Phase-III-Studie (RATIONALE-306) mit 649 Patienten weltweit; Analyse der Subgruppe mit PD-L1 Tumor Area Positivity ≥5% im Langzeit-Follow-up.</w:t>
      </w:r>
    </w:p>
    <w:p>
      <w:r>
        <w:rPr>
          <w:b/>
        </w:rPr>
        <w:t xml:space="preserve">Ergebnis: </w:t>
      </w:r>
      <w:r>
        <w:t>Bei 358 Patienten mit PD-L1 TAP ≥5% (Tislelizumab+CT n=172, Placebo+CT n=186): Median Overall Survival 19,1 vs. 10,0 Monate (HR 0,61); Progression-Free Survival 8,2 vs. 5,5 Monate (HR 0,50); Objektive Ansprechrate 71,5% vs. 41,4%. Haltbarkeit über 45 Monate bestätigt; Sicherheitsprofil unverändert.</w:t>
      </w:r>
    </w:p>
    <w:p>
      <w:r>
        <w:rPr>
          <w:b/>
          <w:sz w:val="19"/>
        </w:rPr>
        <w:t xml:space="preserve">Übertragbarkeit: </w:t>
      </w:r>
      <w:r>
        <w:rPr>
          <w:sz w:val="19"/>
        </w:rPr>
        <w:t>Internationale Studie, Therapie europäisch zugelassen (EMA-Empfehlung PD-L1-Stratifizierung)</w:t>
      </w:r>
    </w:p>
    <w:p>
      <w:r>
        <w:rPr>
          <w:color w:val="5A7D3A"/>
          <w:sz w:val="18"/>
        </w:rPr>
        <w:t>https://pubmed.ncbi.nlm.nih.gov/42659894/</w:t>
      </w:r>
    </w:p>
    <w:p>
      <w:pPr>
        <w:pStyle w:val="Heading2"/>
      </w:pPr>
      <w:r>
        <w:t>Hypomethylierende Mittel + Venetoclax bei älteren AML-Patienten: 69% komplette Remissionen, 19,1 Monate Überleben</w:t>
      </w:r>
    </w:p>
    <w:p>
      <w:r>
        <w:rPr>
          <w:i/>
          <w:color w:val="666666"/>
          <w:sz w:val="18"/>
        </w:rPr>
        <w:t>Diekmann B et al.  ·  Eur J Cancer  ·  05.10.2026  ·  PMID 42659837</w:t>
      </w:r>
    </w:p>
    <w:p>
      <w:r>
        <w:t>Niederländische Real-World-Studie in 15 Krankenhäusern mit 209 älteren Patienten (≥65 Jahre) mit neu diagnostizierter AML, die nicht für intensive Chemotherapie geeignet waren; Nachbeobachtung median 25,9 Monate.</w:t>
      </w:r>
    </w:p>
    <w:p>
      <w:r>
        <w:rPr>
          <w:b/>
        </w:rPr>
        <w:t xml:space="preserve">Ergebnis: </w:t>
      </w:r>
      <w:r>
        <w:t>Composite Complete Remission in 69%; 3-Monats-Mortalität 15%; medianes Gesamtüberleben 19,1 Monate (ELN2024 High-Benefit-Gruppe 22,1, Intermediate 10,9, Lower-Benefit 6,8 Monate). Allogene Stammzelltransplantation (37 Patienten, 18%) verbesserungsfähig mit HR 0,24 für Tod (p&lt;0,001). Antifungale Agenten in 72% der ersten Zyklen assoziiert mit reduzierter Mortalität (HR 0,605; p=0,010).</w:t>
      </w:r>
    </w:p>
    <w:p>
      <w:r>
        <w:rPr>
          <w:b/>
          <w:sz w:val="19"/>
        </w:rPr>
        <w:t xml:space="preserve">Übertragbarkeit: </w:t>
      </w:r>
      <w:r>
        <w:rPr>
          <w:sz w:val="19"/>
        </w:rPr>
        <w:t>Niederländisches Versicherungssystem, vergleichbar Deutschland; Dosierungsoptimierung und Wechselwirkungen reduzieren Kosten</w:t>
      </w:r>
    </w:p>
    <w:p>
      <w:r>
        <w:rPr>
          <w:color w:val="5A7D3A"/>
          <w:sz w:val="18"/>
        </w:rPr>
        <w:t>https://pubmed.ncbi.nlm.nih.gov/42659837/</w:t>
      </w:r>
    </w:p>
    <w:p>
      <w:pPr>
        <w:pStyle w:val="Heading1"/>
      </w:pPr>
      <w:r>
        <w:t>Aufgenommen am 11.09.2026</w:t>
      </w:r>
    </w:p>
    <w:p>
      <w:pPr>
        <w:pStyle w:val="Heading2"/>
      </w:pPr>
      <w:r>
        <w:t>Acht Mutationsmuster definieren Prostatakrebs-Subtypen mit unterschiedlichem Metastasierungs- und Therapierisiko</w:t>
      </w:r>
    </w:p>
    <w:p>
      <w:r>
        <w:rPr>
          <w:i/>
          <w:color w:val="666666"/>
          <w:sz w:val="18"/>
        </w:rPr>
        <w:t>Gruber AJ et al.  ·  Nature  ·  09.09.2026  ·  PMID 42717097</w:t>
      </w:r>
    </w:p>
    <w:p>
      <w:r>
        <w:t>Internationale Kohorte von 959 Patienten mit 959 Prostatakrebstumoren wurde mittels Mutationssignatur-Analyse charakterisiert, um klinisch relevante Subtypen zu identifizieren.</w:t>
      </w:r>
    </w:p>
    <w:p>
      <w:r>
        <w:rPr>
          <w:b/>
        </w:rPr>
        <w:t xml:space="preserve">Ergebnis: </w:t>
      </w:r>
      <w:r>
        <w:t>Acht integrierte Mutationsfuß­abdrücke (IMF) erklären 85% der Pri­märtumoren; vier IMF (in 37% vorhanden) assoziierten mit verkürzter Zeit bis Metastasierung; Biomarker sagten Ansprechen auf Androgen-Rezeptor-Inhibitoren voraus.</w:t>
      </w:r>
    </w:p>
    <w:p>
      <w:r>
        <w:rPr>
          <w:b/>
          <w:sz w:val="19"/>
        </w:rPr>
        <w:t xml:space="preserve">Übertragbarkeit: </w:t>
      </w:r>
      <w:r>
        <w:rPr>
          <w:sz w:val="19"/>
        </w:rPr>
        <w:t>Europäische Zentren, deutsche DKFZ-Beteiligung; Grundlage für zukünftige Risikoschichtung im deutschen Versorgungssystem.</w:t>
      </w:r>
    </w:p>
    <w:p>
      <w:r>
        <w:rPr>
          <w:color w:val="5A7D3A"/>
          <w:sz w:val="18"/>
        </w:rPr>
        <w:t>https://pubmed.ncbi.nlm.nih.gov/42717097/</w:t>
      </w:r>
    </w:p>
    <w:p>
      <w:pPr>
        <w:pStyle w:val="Heading2"/>
      </w:pPr>
      <w:r>
        <w:t>DEGRO-Leitlinien-Update: Proton­therapie vs. Photonen-Radiotherapie bei Oropharynxkarzinom – keine klare Überlegenheit trotz Phase-III-Daten</w:t>
      </w:r>
    </w:p>
    <w:p>
      <w:r>
        <w:rPr>
          <w:i/>
          <w:color w:val="666666"/>
          <w:sz w:val="18"/>
        </w:rPr>
        <w:t>Reichl S et al.  ·  Strahlenther Onkol  ·  07.09.2026  ·  PMID 42706355</w:t>
      </w:r>
    </w:p>
    <w:p>
      <w:r>
        <w:t>Stellungnahme der DEGRO-Arbeitsgruppe Kopf-Hals-Tumoren zur Interpretation widersprüchlicher Phase-III-Evidenz zwischen Proton- und Photonen-Strahlentherapie beim Oropharynxkarzinom.</w:t>
      </w:r>
    </w:p>
    <w:p>
      <w:r>
        <w:rPr>
          <w:b/>
        </w:rPr>
        <w:t xml:space="preserve">Ergebnis: </w:t>
      </w:r>
      <w:r>
        <w:t>Panel-Konsens: Protontherapie zeigt in einzelnen Studien Vorteile bei Reduktion von Nebenwirkungen, aber keine konsistente Überlegenheit beim Gesamt­überleben; Empfehlung für Risk-adaptive Anwendung und Zentrumskonzentration; kein Wechsel der Leitlinie zu Routineprotontherapie.</w:t>
      </w:r>
    </w:p>
    <w:p>
      <w:r>
        <w:rPr>
          <w:b/>
          <w:sz w:val="19"/>
        </w:rPr>
        <w:t xml:space="preserve">Übertragbarkeit: </w:t>
      </w:r>
      <w:r>
        <w:rPr>
          <w:sz w:val="19"/>
        </w:rPr>
        <w:t>Deutsche Fachgesellschaft (DEGRO), deutschsprachiger Raum; direkte Auswirkung auf Zertifizierungskriterien und Versorgungsvergütung im deutschen System.</w:t>
      </w:r>
    </w:p>
    <w:p>
      <w:r>
        <w:rPr>
          <w:color w:val="5A7D3A"/>
          <w:sz w:val="18"/>
        </w:rPr>
        <w:t>https://pubmed.ncbi.nlm.nih.gov/42706355/</w:t>
      </w:r>
    </w:p>
    <w:p>
      <w:pPr>
        <w:pStyle w:val="Heading2"/>
      </w:pPr>
      <w:r>
        <w:t>Atezolizumab neoadjuvant in dreifach-negativem Brustkrebs: NSABP-B-59/Gepar­Douze Phase-III-Trial senkt nicht signifikant EFS</w:t>
      </w:r>
    </w:p>
    <w:p>
      <w:r>
        <w:rPr>
          <w:i/>
          <w:color w:val="666666"/>
          <w:sz w:val="18"/>
        </w:rPr>
        <w:t>Loibl S et al.  ·  Nat Med  ·  01.09.2026  ·  PMID 42680950</w:t>
      </w:r>
    </w:p>
    <w:p>
      <w:r>
        <w:t>Randomisiert 1.550 Patientinnen mit Stadium II–III Brustkrebs ohne HR, HER2; Atezolizumab oder Placebo zusätzlich zu Taxan-Carboplatin-Anthrazyklin-Chemotherapie neoadjuvant.</w:t>
      </w:r>
    </w:p>
    <w:p>
      <w:r>
        <w:rPr>
          <w:b/>
        </w:rPr>
        <w:t xml:space="preserve">Ergebnis: </w:t>
      </w:r>
      <w:r>
        <w:t>Hazard Ratio für ereignisfreies Überleben 0,80 (95%-CI 0,62–1,03; p = 0,083), 4-Jahres-EFS-Differenz 3,3%; Subgruppe mit lymphonodalen Metastasen möglicherweise profitierend; Immunnebenwirkungen in Atezolizumab-Arm 27,6% versus 11,4%.</w:t>
      </w:r>
    </w:p>
    <w:p>
      <w:r>
        <w:rPr>
          <w:b/>
          <w:sz w:val="19"/>
        </w:rPr>
        <w:t xml:space="preserve">Übertragbarkeit: </w:t>
      </w:r>
      <w:r>
        <w:rPr>
          <w:sz w:val="19"/>
        </w:rPr>
        <w:t>Deutschland und USA (GBG/NSABP-Netzwerk), europäische Zentren führend; keine Änderung deutschen Leitlinien zu erwarten.</w:t>
      </w:r>
    </w:p>
    <w:p>
      <w:r>
        <w:rPr>
          <w:color w:val="5A7D3A"/>
          <w:sz w:val="18"/>
        </w:rPr>
        <w:t>https://pubmed.ncbi.nlm.nih.gov/42680950/</w:t>
      </w:r>
    </w:p>
    <w:p>
      <w:pPr>
        <w:pStyle w:val="Heading2"/>
      </w:pPr>
      <w:r>
        <w:t>Tisagenlecleucel bei Post-HSCT-Relaps in pädiatrischer ALL: europäische Real-World-Daten nennen Risikofaktoren für CAR-T-Versagen</w:t>
      </w:r>
    </w:p>
    <w:p>
      <w:r>
        <w:rPr>
          <w:i/>
          <w:color w:val="666666"/>
          <w:sz w:val="18"/>
        </w:rPr>
        <w:t>Moser LM et al.  ·  Leukemia  ·  31.08.2026  ·  PMID 42675139</w:t>
      </w:r>
    </w:p>
    <w:p>
      <w:r>
        <w:t>Europäisches Multizenter-Register 220 Kindern/jungen Erwachsenen mit B-ALL nach Stammzelltransplantation und Rezidiv, behandelt mit CAR-T; Median-Follow-up 30 Monate.</w:t>
      </w:r>
    </w:p>
    <w:p>
      <w:r>
        <w:rPr>
          <w:b/>
        </w:rPr>
        <w:t xml:space="preserve">Ergebnis: </w:t>
      </w:r>
      <w:r>
        <w:t>2-Jahres-EFS 43,6%, OS 67,2%, CAR-T-Versagensrate 57,1%; niedriges OS bei MSD-Vorbehandlung (59,1% vs. Alternative-Donor 80,2%, p = 0,046); frühes Relaps (&lt;6 Mo post-HSCT) führte zu 2J-EFS 23,7% vs. 49,8% bei spätem Relaps (p = 0,001); Krankheitslast bei Lymphodeplation war signifikanter Outcome-Prädiktor.</w:t>
      </w:r>
    </w:p>
    <w:p>
      <w:r>
        <w:rPr>
          <w:b/>
          <w:sz w:val="19"/>
        </w:rPr>
        <w:t xml:space="preserve">Übertragbarkeit: </w:t>
      </w:r>
      <w:r>
        <w:rPr>
          <w:sz w:val="19"/>
        </w:rPr>
        <w:t>Zentren aus Deutschland, Österreich, Italien, Skandinavien; identifiziert hochrisiko-Kandidaten für verbesserte Nachbetreuung in deutschem System.</w:t>
      </w:r>
    </w:p>
    <w:p>
      <w:r>
        <w:rPr>
          <w:color w:val="5A7D3A"/>
          <w:sz w:val="18"/>
        </w:rPr>
        <w:t>https://pubmed.ncbi.nlm.nih.gov/42675139/</w:t>
      </w:r>
    </w:p>
    <w:p>
      <w:pPr>
        <w:pStyle w:val="Heading2"/>
      </w:pPr>
      <w:r>
        <w:t>Ältere Patienten (≥70J) mit resektablem Magenkrebs: Verträglichkeit perioperativer Therapie in TOPGEAR-Subanalyse vergleichbar mit Jüngeren trotz Dosisreduktionen</w:t>
      </w:r>
    </w:p>
    <w:p>
      <w:r>
        <w:rPr>
          <w:i/>
          <w:color w:val="666666"/>
          <w:sz w:val="18"/>
        </w:rPr>
        <w:t>Rühle A et al.  ·  Eur J Cancer  ·  05.10.2026  ·  PMID 42673704</w:t>
      </w:r>
    </w:p>
    <w:p>
      <w:r>
        <w:t>Sekundäranalyse Phase-III-Trial TOPGEAR mit 135 älteren (≥70J) und 439 jüngeren Patienten mit resektablem Magen­/Ösophageal-Karzinom; randomisiert zu Perioperativ-Chemotherapie oder zusätzlich präoperativer Chemoradiotherapie.</w:t>
      </w:r>
    </w:p>
    <w:p>
      <w:r>
        <w:rPr>
          <w:b/>
        </w:rPr>
        <w:t xml:space="preserve">Ergebnis: </w:t>
      </w:r>
      <w:r>
        <w:t>Ältere Patienten häufiger Chemotherapie-Dosismodifikationen (Chemoradiotherapie: 55% vs. 35%, p = 0,004); Grad-≥3-Nebenwirkungen vergleichbar (Chemoradiotherapie 66% vs. 67%); OS und PFS numerisch günstiger bei älteren (HR 0,86; HR 0,75); Operationsraten, chirurgische Komplikationen und 30/90-Tage-Mortalität ähnlich.</w:t>
      </w:r>
    </w:p>
    <w:p>
      <w:r>
        <w:rPr>
          <w:b/>
          <w:sz w:val="19"/>
        </w:rPr>
        <w:t xml:space="preserve">Übertragbarkeit: </w:t>
      </w:r>
      <w:r>
        <w:rPr>
          <w:sz w:val="19"/>
        </w:rPr>
        <w:t>Australisches/internationales Zentren-Netzwerk, aber Dosierungsschemen und ECOG-Kriterien Standard in Deutschland; liefert Evidenz für Machbarkeit im älteren Setting.</w:t>
      </w:r>
    </w:p>
    <w:p>
      <w:r>
        <w:rPr>
          <w:color w:val="5A7D3A"/>
          <w:sz w:val="18"/>
        </w:rPr>
        <w:t>https://pubmed.ncbi.nlm.nih.gov/42673704/</w:t>
      </w:r>
    </w:p>
    <w:p>
      <w:pPr>
        <w:pStyle w:val="Heading2"/>
      </w:pPr>
      <w:r>
        <w:t>Diagnostische Zulassungs­pfade als unterschätzter Engpass: Real-World-Daten zeigen 129-Tage-Genehmigung für Biomarker-Tests überschreitet klinische Prüfungsanträge</w:t>
      </w:r>
    </w:p>
    <w:p>
      <w:r>
        <w:rPr>
          <w:i/>
          <w:color w:val="666666"/>
          <w:sz w:val="18"/>
        </w:rPr>
        <w:t>Hersey S et al.  ·  Eur J Cancer  ·  05.10.2026  ·  PMID 42664749</w:t>
      </w:r>
    </w:p>
    <w:p>
      <w:r>
        <w:t>Analyse 132 europäischer IVDR-2017/746-Anträge (PSA, Ethics-Committee) aus 18 EU-Ländern + 2 Nicht-EU-Ländern zu Genehmigungszeiten für Biomarker-Tests in Precision-Oncology-Trials.</w:t>
      </w:r>
    </w:p>
    <w:p>
      <w:r>
        <w:rPr>
          <w:b/>
        </w:rPr>
        <w:t xml:space="preserve">Ergebnis: </w:t>
      </w:r>
      <w:r>
        <w:t>Mittlere kombinierte Genehmigungszeit 129,4 Tage (Median 116,5); sequenziell eingereichte Anträge dauerten 139,97 Tage, parallele 121,11 Tage (15,6% länger, p = 0,041); Länder-Range 75,66–175 Tage; 24% der Studien zeigten signifikanten PFS-Benefit ohne OS-Vorteil; substantielle Länder-Variabilität in IVDR-Umsetzung.</w:t>
      </w:r>
    </w:p>
    <w:p>
      <w:r>
        <w:rPr>
          <w:b/>
          <w:sz w:val="19"/>
        </w:rPr>
        <w:t xml:space="preserve">Übertragbarkeit: </w:t>
      </w:r>
      <w:r>
        <w:rPr>
          <w:sz w:val="19"/>
        </w:rPr>
        <w:t>Europäischer Datensatz, 18 EU-Mitgliedstaaten; direktes Policy-Hindernis für deutsche Precision-Oncology-Trials.</w:t>
      </w:r>
    </w:p>
    <w:p>
      <w:r>
        <w:rPr>
          <w:color w:val="5A7D3A"/>
          <w:sz w:val="18"/>
        </w:rPr>
        <w:t>https://pubmed.ncbi.nlm.nih.gov/42664749/</w:t>
      </w:r>
    </w:p>
    <w:p>
      <w:pPr>
        <w:pStyle w:val="Heading1"/>
      </w:pPr>
      <w:r>
        <w:t>Aufgenommen am 10.09.2026</w:t>
      </w:r>
    </w:p>
    <w:p>
      <w:pPr>
        <w:pStyle w:val="Heading2"/>
      </w:pPr>
      <w:r>
        <w:t>LGsig-Klassifikation verbessert Therapievorhersage beim Diffusen großzelligen B-Zell-Lymphom</w:t>
      </w:r>
    </w:p>
    <w:p>
      <w:r>
        <w:rPr>
          <w:i/>
          <w:color w:val="666666"/>
          <w:sz w:val="18"/>
        </w:rPr>
        <w:t>Tumuluru S et al.  ·  J Clin Oncol  ·  09.09.2026  ·  PMID 42715516</w:t>
      </w:r>
    </w:p>
    <w:p>
      <w:r>
        <w:t>Eine neue Klassifikationsmethode (LGsig) integriert genetische und Genexpressions-Profile, um Patienten mit diffusem großzelligem B-Zell-Lymphom in biologisch relevante Subtypen einzuordnen und deren Ansprechen auf gezielte Therapien besser vorherzusagen.</w:t>
      </w:r>
    </w:p>
    <w:p>
      <w:r>
        <w:rPr>
          <w:b/>
        </w:rPr>
        <w:t xml:space="preserve">Ergebnis: </w:t>
      </w:r>
      <w:r>
        <w:t>LGsig klassifizierte alle DLBCL-Fälle, einschließlich zuvor unklassifizierbarer Tumoren. In der POLARIX-Studie zeigte sich ein signifikanter Überlebensvorteil für Patienten mit bestimmten LGsig-Subtypen unter Polatuzumab vedotin-R-CHP versus R-CHOP in sowohl genetisch klassifizierten als auch unklassifizierten Fällen.</w:t>
      </w:r>
    </w:p>
    <w:p>
      <w:r>
        <w:rPr>
          <w:b/>
          <w:sz w:val="19"/>
        </w:rPr>
        <w:t xml:space="preserve">Übertragbarkeit: </w:t>
      </w:r>
      <w:r>
        <w:rPr>
          <w:sz w:val="19"/>
        </w:rPr>
        <w:t>Plattformübergreifend einsetzbare Genexpressions-Technik; Anwendbarkeit auf archivale Proben erleichtert klinische Integration in deutschen Tumorzentren.</w:t>
      </w:r>
    </w:p>
    <w:p>
      <w:r>
        <w:rPr>
          <w:color w:val="5A7D3A"/>
          <w:sz w:val="18"/>
        </w:rPr>
        <w:t>https://pubmed.ncbi.nlm.nih.gov/42715516/</w:t>
      </w:r>
    </w:p>
    <w:p>
      <w:pPr>
        <w:pStyle w:val="Heading2"/>
      </w:pPr>
      <w:r>
        <w:t>NECTIN4-Scoring-System und Amplifikation vorhersagen Ansprechen auf Enfortumab vedotin beim Urothelkarzinom</w:t>
      </w:r>
    </w:p>
    <w:p>
      <w:r>
        <w:rPr>
          <w:i/>
          <w:color w:val="666666"/>
          <w:sz w:val="18"/>
        </w:rPr>
        <w:t>Klümper N et al.  ·  Clin Cancer Res  ·  09.09.2026  ·  PMID 42714834</w:t>
      </w:r>
    </w:p>
    <w:p>
      <w:r>
        <w:t>Eine deutsche und internationale Studie entwickelte ein kombiniertes Scoring-System, das NECTIN4-Gen-Amplifikation und membranöse Proteinexpression integriert, um Patienten mit metastasiertem Urothelkarzinom zu identifizieren, die von Enfortumab vedotin profitieren werden.</w:t>
      </w:r>
    </w:p>
    <w:p>
      <w:r>
        <w:rPr>
          <w:b/>
        </w:rPr>
        <w:t xml:space="preserve">Ergebnis: </w:t>
      </w:r>
      <w:r>
        <w:t>Das integrierte Drei-Strata-Modell (amplifiziert, nicht-amplifiziert/hohe membranöse Expression, nicht-amplifiziert/niedrige membranöse Expression) erreichte Ansprechquoten von 77,2%, 42,9% und 26,1% (p&lt;0,001). NECTIN4-amplierte Tumoren zeigten besonders günstige Ergebnisse (Progression-Free Survival 12,2 Monate, Overall Survival 30,1 Monate).</w:t>
      </w:r>
    </w:p>
    <w:p>
      <w:r>
        <w:rPr>
          <w:b/>
          <w:sz w:val="19"/>
        </w:rPr>
        <w:t xml:space="preserve">Übertragbarkeit: </w:t>
      </w:r>
      <w:r>
        <w:rPr>
          <w:sz w:val="19"/>
        </w:rPr>
        <w:t>Deutschlandweite Multizenterstudie mit 39 Zentren; direkt transferierbar auf Zertifizierungsanforderungen und Tumorboard-Entscheidungen.</w:t>
      </w:r>
    </w:p>
    <w:p>
      <w:r>
        <w:rPr>
          <w:color w:val="5A7D3A"/>
          <w:sz w:val="18"/>
        </w:rPr>
        <w:t>https://pubmed.ncbi.nlm.nih.gov/42714834/</w:t>
      </w:r>
    </w:p>
    <w:p>
      <w:pPr>
        <w:pStyle w:val="Heading2"/>
      </w:pPr>
      <w:r>
        <w:t>DEGRO-Empfehlungen zur Strahlentherapie des Merkelzellkarzinoms mit Fokus auf Hypofraktionierung</w:t>
      </w:r>
    </w:p>
    <w:p>
      <w:r>
        <w:rPr>
          <w:i/>
          <w:color w:val="666666"/>
          <w:sz w:val="18"/>
        </w:rPr>
        <w:t>Elsayad K et al.  ·  Strahlenther Onkol  ·  09.09.2026  ·  PMID 42714572</w:t>
      </w:r>
    </w:p>
    <w:p>
      <w:r>
        <w:t>Eine Arbeitsgruppe der Deutschen Gesellschaft für Radioonkologie (DEGRO) formulierte evidenzbasierte Empfehlungen zur Strahlentherapie von Merkelzellkarzinomen, einschließlich Optionen für moderate und ultrahypofraktionierte Regime.</w:t>
      </w:r>
    </w:p>
    <w:p>
      <w:r>
        <w:rPr>
          <w:b/>
        </w:rPr>
        <w:t xml:space="preserve">Ergebnis: </w:t>
      </w:r>
      <w:r>
        <w:t>Adjuvante Strahlentherapie nach Chirurgie sollte idealerweise innerhalb von 8 Wochen eingeleitet werden. Für Patienten mit Gebrechlichkeit oder Komorbiditäten sind kürzere, moderat-hypofraktionierte oder ultrahypofraktionierte Schemata wirksame Alternativen zur klassischen Fraktionierung. Die Kombination von Immuntherapie mit Strahlung wird als Schwerpunkt zukünftiger Forschung identifiziert.</w:t>
      </w:r>
    </w:p>
    <w:p>
      <w:r>
        <w:rPr>
          <w:b/>
          <w:sz w:val="19"/>
        </w:rPr>
        <w:t xml:space="preserve">Übertragbarkeit: </w:t>
      </w:r>
      <w:r>
        <w:rPr>
          <w:sz w:val="19"/>
        </w:rPr>
        <w:t>Deutsche Fachgesellschafts-Leitlinie; direkte Implementierbarkeit in Zertifizierungsprozesse und klinische Routine.</w:t>
      </w:r>
    </w:p>
    <w:p>
      <w:r>
        <w:rPr>
          <w:color w:val="5A7D3A"/>
          <w:sz w:val="18"/>
        </w:rPr>
        <w:t>https://pubmed.ncbi.nlm.nih.gov/42714572/</w:t>
      </w:r>
    </w:p>
    <w:p>
      <w:pPr>
        <w:pStyle w:val="Heading2"/>
      </w:pPr>
      <w:r>
        <w:t>Pembrolizumab-Olaparib verbessert Progression-Free Survival bei BRCA-wildtyp-Ovarialkarzinom um 29%</w:t>
      </w:r>
    </w:p>
    <w:p>
      <w:r>
        <w:rPr>
          <w:i/>
          <w:color w:val="666666"/>
          <w:sz w:val="18"/>
        </w:rPr>
        <w:t>Vergote I et al.  ·  Lancet Oncol  ·  07.09.2026  ·  PMID 42705254</w:t>
      </w:r>
    </w:p>
    <w:p>
      <w:r>
        <w:t>Eine internationale Phase-3-Studie (ENGOT-OV43) untersuchte Pembrolizumab plus Chemotherapie gefolgt von Pembrolizumab-Olaparib-Erhaltungstherapie versus Chemotherapie allein bei BRCA-wildtyp-fortgeschrittenem Ovarialkarzinom.</w:t>
      </w:r>
    </w:p>
    <w:p>
      <w:r>
        <w:rPr>
          <w:b/>
        </w:rPr>
        <w:t xml:space="preserve">Ergebnis: </w:t>
      </w:r>
      <w:r>
        <w:t>Pembrolizumab-Olaparib zeigte signifikante Verbesserung der Progression-Free Survival gegenüber Kontrolle in der CPS≥10-Population (Hazard Ratio 0,63; p&lt;0,0001) und in der Intention-to-treat-Population (HR 0,68; p&lt;0,0001), mit Erhaltung der Effekte beim finalen Follow-up nach median 49,6 Monaten (HR 0,71). Grade ≥3 Nebenwirkungen traten bei 66% der Pembrolizumab-Olaparib-Gruppe auf.</w:t>
      </w:r>
    </w:p>
    <w:p>
      <w:r>
        <w:rPr>
          <w:b/>
          <w:sz w:val="19"/>
        </w:rPr>
        <w:t xml:space="preserve">Übertragbarkeit: </w:t>
      </w:r>
      <w:r>
        <w:rPr>
          <w:sz w:val="19"/>
        </w:rPr>
        <w:t>Europäische und globale Studie mit vergleichbarer Patientenselektion; Registerzulassung und AMNOG-Bewertung folgen regulärem Prozess in Deutschland.</w:t>
      </w:r>
    </w:p>
    <w:p>
      <w:r>
        <w:rPr>
          <w:color w:val="5A7D3A"/>
          <w:sz w:val="18"/>
        </w:rPr>
        <w:t>https://pubmed.ncbi.nlm.nih.gov/42705254/</w:t>
      </w:r>
    </w:p>
    <w:p>
      <w:pPr>
        <w:pStyle w:val="Heading2"/>
      </w:pPr>
      <w:r>
        <w:t>snoRNA-abgeleitete RNAs steuern Stress-Resilienz in AML und erlauben Risikoschichtung</w:t>
      </w:r>
    </w:p>
    <w:p>
      <w:r>
        <w:rPr>
          <w:i/>
          <w:color w:val="666666"/>
          <w:sz w:val="18"/>
        </w:rPr>
        <w:t>Zinz R et al.  ·  Leukemia  ·  04.09.2026  ·  PMID 42697931</w:t>
      </w:r>
    </w:p>
    <w:p>
      <w:r>
        <w:t>Eine mechanistische Grundlagenstudie identifiziert snoRNA-abgeleitete RNAs (sdRNAs) als regulatorische Moleküle in akuter myeloischer Leukämie; hohe sd3'-RNA/snoRNA-Verhältnisse prognostizieren ungünstige Outcomes und könnten therapeutische Angriffspunkte darstellen.</w:t>
      </w:r>
    </w:p>
    <w:p>
      <w:r>
        <w:rPr>
          <w:b/>
        </w:rPr>
        <w:t xml:space="preserve">Ergebnis: </w:t>
      </w:r>
      <w:r>
        <w:t>Hochgradig sd3'-RNA-Verhältnisse waren mit inversem Patientenoutcome assoziiert. Insbesondere bei NPM1-mutierten Patienten mit günstiger Risikoklassifikation identifizierte ein hohes sd3'-RNA-Verhältnis eine Subgruppe mit inferiorem Ergebnis. Erzwungene Expression einzelner sdRNAs (sd3'-SNORD78, sd3'-SNORD76, sd5'-SNORD93) verstärkte die klonogene Potenz in AML-Zelllinien und primären HSPCs. NUDT21 wurde als nachgelagertes Ziel von sd3'-SNORD78 charakterisiert.</w:t>
      </w:r>
    </w:p>
    <w:p>
      <w:r>
        <w:rPr>
          <w:b/>
          <w:sz w:val="19"/>
        </w:rPr>
        <w:t xml:space="preserve">Übertragbarkeit: </w:t>
      </w:r>
      <w:r>
        <w:rPr>
          <w:sz w:val="19"/>
        </w:rPr>
        <w:t>Deutsche Multizenterstudie (Heidelberg, Kiel, Dresden, Frankfurt); Mechanismus öffnet Wege zu klinischen Interventionen in der AML-Stratifikation.</w:t>
      </w:r>
    </w:p>
    <w:p>
      <w:r>
        <w:rPr>
          <w:color w:val="5A7D3A"/>
          <w:sz w:val="18"/>
        </w:rPr>
        <w:t>https://pubmed.ncbi.nlm.nih.gov/42697931/</w:t>
      </w:r>
    </w:p>
    <w:p>
      <w:pPr>
        <w:pStyle w:val="Heading2"/>
      </w:pPr>
      <w:r>
        <w:t>Genomische Profilierung erhöht Progression-Free Survival beim Karzinom unbekannten Primärtumors um 38%</w:t>
      </w:r>
    </w:p>
    <w:p>
      <w:r>
        <w:rPr>
          <w:i/>
          <w:color w:val="666666"/>
          <w:sz w:val="18"/>
        </w:rPr>
        <w:t>Krämer A et al.  ·  J Clin Oncol  ·  03.09.2026  ·  PMID 42691436</w:t>
      </w:r>
    </w:p>
    <w:p>
      <w:r>
        <w:t>Die CUPISCO-Studie vergleicht molekular geführte Therapie basierend auf umfassender genomischer Profilierung mit Standardchemotherapie bei Patienten mit ungünstigem Karzinom unbekannten Primärtumors nach Initial-Chemotherapie-Ansprechen.</w:t>
      </w:r>
    </w:p>
    <w:p>
      <w:r>
        <w:rPr>
          <w:b/>
        </w:rPr>
        <w:t xml:space="preserve">Ergebnis: </w:t>
      </w:r>
      <w:r>
        <w:t>Molekular geführte Therapie (n=326) versus fortgesetzte Chemotherapie (n=110): mediane Progression-Free Survival 6,1 Monate (95%-KI 4,7–6,5) versus 4,4 Monate (KI 4,2–6,4; HR 0,75; p=0,017). Medianes Gesamtüberleben 15,2 Monate (KI 13,9–18,4) versus 12,8 Monate (KI 9,8–15,4; HR 0,79; p=0,069) nach &gt;3 Jahren Follow-up.</w:t>
      </w:r>
    </w:p>
    <w:p>
      <w:r>
        <w:rPr>
          <w:b/>
          <w:sz w:val="19"/>
        </w:rPr>
        <w:t xml:space="preserve">Übertragbarkeit: </w:t>
      </w:r>
      <w:r>
        <w:rPr>
          <w:sz w:val="19"/>
        </w:rPr>
        <w:t>Deutschlandweite Zentren beteiligt; Molekular-Tumorboard-Ansatz etabliert in deutschen Krebszentren.</w:t>
      </w:r>
    </w:p>
    <w:p>
      <w:r>
        <w:rPr>
          <w:color w:val="5A7D3A"/>
          <w:sz w:val="18"/>
        </w:rPr>
        <w:t>https://pubmed.ncbi.nlm.nih.gov/42691436/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Onkologie</dc:title>
  <dc:subject/>
  <dc:creator>Monitor Versorgungsforschung</dc:creator>
  <cp:keywords/>
  <dc:description>generated by python-docx</dc:description>
  <cp:lastModifiedBy/>
  <cp:revision>1</cp:revision>
  <dcterms:created xsi:type="dcterms:W3CDTF">2026-10-03T06:00:00Z</dcterms:created>
  <dcterms:modified xsi:type="dcterms:W3CDTF">2026-10-03T06:00:00Z</dcterms:modified>
  <cp:category/>
</cp:coreProperties>
</file>