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28.10.2026  |  6 Studien  |  onkologie.m-vf.de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Sacituzumab Tirumotecan zeigt nachhaltigen OS-Vorteil beim triple-negativen Mammakarzinom</w:t>
      </w:r>
    </w:p>
    <w:p>
      <w:r>
        <w:rPr>
          <w:i/>
          <w:color w:val="666666"/>
          <w:sz w:val="18"/>
        </w:rPr>
        <w:t>Xu B et al.  ·  Ann Oncol  ·  31.12.2026  ·  PMID 42933638</w:t>
      </w:r>
    </w:p>
    <w:p>
      <w:r>
        <w:t>Phase-3-Studie OptiTROP-Breast01 zu Sacituzumab Tirumotecan versus Chemotherapie bei vorbehandeltem lokal rezidiviertem oder metastasiertem triple-negativem Mammakarzinom mit finaler OS-Analyse nach 29,4 Monaten Nachbeobachtung.</w:t>
      </w:r>
    </w:p>
    <w:p>
      <w:r>
        <w:rPr>
          <w:b/>
        </w:rPr>
        <w:t xml:space="preserve">Ergebnis: </w:t>
      </w:r>
      <w:r>
        <w:t>Median OS 14,7 Monate (Sacituzumab) versus 9,9 Monate (Chemotherapie; HR 0,60; p&lt;0,001). 30-Monats-OS-Rate 26,8% versus 13,2%. Größte Grade-3+ Nebenwirkungen: Neutropenie, WBC-Abfall, Anämie.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europäische und chinesische Zentren, vergleichbare Standards</w:t>
      </w:r>
    </w:p>
    <w:p>
      <w:r>
        <w:rPr>
          <w:color w:val="5A7D3A"/>
          <w:sz w:val="18"/>
        </w:rPr>
        <w:t>https://pubmed.ncbi.nlm.nih.gov/42933638/</w:t>
      </w:r>
    </w:p>
    <w:p>
      <w:pPr>
        <w:pStyle w:val="Heading2"/>
      </w:pPr>
      <w:r>
        <w:t>Sacituzumab Tirumotecan verbessert Überleben bei vorbehandeltem Endometriumkarzinom</w:t>
      </w:r>
    </w:p>
    <w:p>
      <w:r>
        <w:rPr>
          <w:i/>
          <w:color w:val="666666"/>
          <w:sz w:val="18"/>
        </w:rPr>
        <w:t>Lorusso D et al.  ·  Lancet  ·  26.10.2026  ·  PMID 42933460</w:t>
      </w:r>
    </w:p>
    <w:p>
      <w:r>
        <w:t>Phase-3-Studie zu Sacituzumab Tirumotecan (TROP2-gerichtetes Antibody-Drug Conjugate) versus Chemotherapie nach Platin und Immuntherapie bei fortgeschrittenem/rezidiviertem Endometriumkarzinom.</w:t>
      </w:r>
    </w:p>
    <w:p>
      <w:r>
        <w:rPr>
          <w:b/>
        </w:rPr>
        <w:t xml:space="preserve">Ergebnis: </w:t>
      </w:r>
      <w:r>
        <w:t>Median PFS 7,2 Monate (Sacituzumab) versus 3,9 Monate (Kontrollgruppe; HR 0,59; p&lt;0,0001). Median OS 19,0 Monate versus 12,1 Monate (HR 0,68; p=0,0001). Grade 3+ Nebenwirkungen 69% versus 57%. Behandlungsbedingte Todesfälle &lt;1% in beiden Armen.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europäische Zentren beteiligt, vergleichbare Versorgungsstrukturen</w:t>
      </w:r>
    </w:p>
    <w:p>
      <w:r>
        <w:rPr>
          <w:color w:val="5A7D3A"/>
          <w:sz w:val="18"/>
        </w:rPr>
        <w:t>https://pubmed.ncbi.nlm.nih.gov/42933460/</w:t>
      </w:r>
    </w:p>
    <w:p>
      <w:pPr>
        <w:pStyle w:val="Heading2"/>
      </w:pPr>
      <w:r>
        <w:t>Pembrolizumab allein überlegen gegenüber Chemotherapie bei MMR-defizientem Endometriumkarzinom</w:t>
      </w:r>
    </w:p>
    <w:p>
      <w:r>
        <w:rPr>
          <w:i/>
          <w:color w:val="666666"/>
          <w:sz w:val="18"/>
        </w:rPr>
        <w:t>Slomovitz BM et al.  ·  Lancet  ·  26.10.2026  ·  PMID 42933458</w:t>
      </w:r>
    </w:p>
    <w:p>
      <w:r>
        <w:t>Phase-3-Studie KEYNOTE-C93 zu First-Line-Pembrolizumab versus Carboplatin+Paclitaxel bei MMR-defizienten fortgeschrittenen oder rezidiviertem Endometriumkarzinom (Zwischenanalyse April 2026).</w:t>
      </w:r>
    </w:p>
    <w:p>
      <w:r>
        <w:rPr>
          <w:b/>
        </w:rPr>
        <w:t xml:space="preserve">Ergebnis: </w:t>
      </w:r>
      <w:r>
        <w:t>Median PFS 38,2 Monate (Pembrolizumab) versus 8,4 Monate (Chemotherapie; HR 0,57; p=0,0002). 12-Monats-PFS 67% versus 40%. Kriterium für OS-Signifikanz nicht erreicht in Zwischenanalyse. Grade 3+ Nebenwirkungen 18% versus 51%.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Multizenterstudie, europäische und deutsche Zentren, vergleichbare Standards</w:t>
      </w:r>
    </w:p>
    <w:p>
      <w:r>
        <w:rPr>
          <w:color w:val="5A7D3A"/>
          <w:sz w:val="18"/>
        </w:rPr>
        <w:t>https://pubmed.ncbi.nlm.nih.gov/42933458/</w:t>
      </w:r>
    </w:p>
    <w:p>
      <w:pPr>
        <w:pStyle w:val="Heading2"/>
      </w:pPr>
      <w:r>
        <w:t>Tarlatamab plus Durvalumab verlängert Gesamtüberleben bei kleinzelligem Lungenkarzinom</w:t>
      </w:r>
    </w:p>
    <w:p>
      <w:r>
        <w:rPr>
          <w:i/>
          <w:color w:val="666666"/>
          <w:sz w:val="18"/>
        </w:rPr>
        <w:t>Pérol M et al.  ·  N Engl J Med  ·  24.10.2026  ·  PMID 42929702</w:t>
      </w:r>
    </w:p>
    <w:p>
      <w:r>
        <w:t>Phase-3-Studie zu Tarlatamab (DLL3-gerichteter Bispecific T-Cell Engager) plus Durvalumab versus Durvalumab allein als Erhaltungstherapie nach Erstlinien-Chemoimmunotherapie bei extensivem kleinzelligem Lungenkarzinom.</w:t>
      </w:r>
    </w:p>
    <w:p>
      <w:r>
        <w:rPr>
          <w:b/>
        </w:rPr>
        <w:t xml:space="preserve">Ergebnis: </w:t>
      </w:r>
      <w:r>
        <w:t>Median Overall Survival (OS) 21,1 Monate (Tarlatamab-Durvalumab) versus 12,7 Monate (Durvalumab; HR 0,42; p&lt;0,001). Median Progression-Free Survival (PFS) 7,4 versus 1,9 Monate (HR 0,34; p&lt;0,001). Grade 3/4 Nebenwirkungen 46,8% versus 40,6%, Zytokinfreisetzungssyndrom in etwa der Hälfte der Tarlatamab-Durvalumab-Gruppe, überwiegend Grad 1/2.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Zulassung in Deutschland möglich, aber von AMNOG-Bewertung abhängig</w:t>
      </w:r>
    </w:p>
    <w:p>
      <w:r>
        <w:rPr>
          <w:color w:val="5A7D3A"/>
          <w:sz w:val="18"/>
        </w:rPr>
        <w:t>https://pubmed.ncbi.nlm.nih.gov/42929702/</w:t>
      </w:r>
    </w:p>
    <w:p>
      <w:pPr>
        <w:pStyle w:val="Heading2"/>
      </w:pPr>
      <w:r>
        <w:t>Durvalumab+Enfortumab Vedotin verbessert Event-Free Survival bei Muskelinvasivem Urothelkarzinom</w:t>
      </w:r>
    </w:p>
    <w:p>
      <w:r>
        <w:rPr>
          <w:i/>
          <w:color w:val="666666"/>
          <w:sz w:val="18"/>
        </w:rPr>
        <w:t>Powles T et al.  ·  N Engl J Med  ·  24.10.2026  ·  PMID 42929692</w:t>
      </w:r>
    </w:p>
    <w:p>
      <w:r>
        <w:t>Phase-3-Studie VOLGA zu Durvalumab mit/ohne Tremelimumab plus Enfortumab Vedotin neoadjuvant gefolgt von Zystektomie und adjuvanter Durvalumab versus Chirurgie allein bei Patienten mit Muskelinvasivem Urothelkarzinom.</w:t>
      </w:r>
    </w:p>
    <w:p>
      <w:r>
        <w:rPr>
          <w:b/>
        </w:rPr>
        <w:t xml:space="preserve">Ergebnis: </w:t>
      </w:r>
      <w:r>
        <w:t>24-Monats-Event-Free-Survival (EFS) 63,5% (Durvalumab-Enfortumab) versus 45,1% (Kontrolle; HR 0,51; p&lt;0,001). 24-Monats-OS 78,4% versus 69,4% (HR 0,58; p=0,003). Grade 3+ Nebenwirkungen 71,1% (behandlungsbedingt 30,7%) versus 50,2%.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Phase-3-Studie, europäische und deutsche Zentren, deutsche Versicherungssysteme</w:t>
      </w:r>
    </w:p>
    <w:p>
      <w:r>
        <w:rPr>
          <w:color w:val="5A7D3A"/>
          <w:sz w:val="18"/>
        </w:rPr>
        <w:t>https://pubmed.ncbi.nlm.nih.gov/42929692/</w:t>
      </w:r>
    </w:p>
    <w:p>
      <w:pPr>
        <w:pStyle w:val="Heading2"/>
      </w:pPr>
      <w:r>
        <w:t>ESMO-Leitlinien zu Diagnostik und Therapie des Nierenzellkarzinoms in Asien adaptiert</w:t>
      </w:r>
    </w:p>
    <w:p>
      <w:r>
        <w:rPr>
          <w:i/>
          <w:color w:val="666666"/>
          <w:sz w:val="18"/>
        </w:rPr>
        <w:t>Kanesvaran R et al.  ·  ESMO Open  ·  01.10.2026  ·  PMID 42914499</w:t>
      </w:r>
    </w:p>
    <w:p>
      <w:r>
        <w:t>Pan-asiatische Konsensusleitlinien adaptiert von den ESMO-Leitlinien Mai 2024 mit Harmonisierung von Diagnostik, Behandlung und Nachsorge des Nierenzellkarzinoms unter Berücksichtigung regionaler Unterschiede in Zulassung und Verfügbarkeit.</w:t>
      </w:r>
    </w:p>
    <w:p>
      <w:r>
        <w:rPr>
          <w:b/>
        </w:rPr>
        <w:t xml:space="preserve">Ergebnis: </w:t>
      </w:r>
      <w:r>
        <w:t>Konkrete Empfehlungen zu Staging, systemischer Therapie (Immuntherapie-Kombinationen als Standard in metastasiertem Krankheitsstadium), adjuvanter Pembrolizumab für High-Risk-Patienten. Fokus auf Harmonisierung trotz Disparitäten in Arzneimittelzugang und Erstattung zwischen Ländern.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Leitlinienwerk, europäische und asiatische Experten, begrenzt auf Asien</w:t>
      </w:r>
    </w:p>
    <w:p>
      <w:r>
        <w:rPr>
          <w:color w:val="5A7D3A"/>
          <w:sz w:val="18"/>
        </w:rPr>
        <w:t>https://pubmed.ncbi.nlm.nih.gov/42914499/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