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28.10.2026  |  295 Studien  |  onkologie.m-vf.de</w:t>
      </w:r>
    </w:p>
    <w:p>
      <w:pPr>
        <w:pStyle w:val="Heading1"/>
      </w:pPr>
      <w:r>
        <w:t>Aufgenommen am 28.10.2026</w:t>
      </w:r>
    </w:p>
    <w:p>
      <w:pPr>
        <w:pStyle w:val="Heading2"/>
      </w:pPr>
      <w:r>
        <w:t>Sacituzumab Tirumotecan zeigt nachhaltigen OS-Vorteil beim triple-negativen Mammakarzinom</w:t>
      </w:r>
    </w:p>
    <w:p>
      <w:r>
        <w:rPr>
          <w:i/>
          <w:color w:val="666666"/>
          <w:sz w:val="18"/>
        </w:rPr>
        <w:t>Xu B et al.  ·  Ann Oncol  ·  31.12.2026  ·  PMID 42933638</w:t>
      </w:r>
    </w:p>
    <w:p>
      <w:r>
        <w:t>Phase-3-Studie OptiTROP-Breast01 zu Sacituzumab Tirumotecan versus Chemotherapie bei vorbehandeltem lokal rezidiviertem oder metastasiertem triple-negativem Mammakarzinom mit finaler OS-Analyse nach 29,4 Monaten Nachbeobachtung.</w:t>
      </w:r>
    </w:p>
    <w:p>
      <w:r>
        <w:rPr>
          <w:b/>
        </w:rPr>
        <w:t xml:space="preserve">Ergebnis: </w:t>
      </w:r>
      <w:r>
        <w:t>Median OS 14,7 Monate (Sacituzumab) versus 9,9 Monate (Chemotherapie; HR 0,60; p&lt;0,001). 30-Monats-OS-Rate 26,8% versus 13,2%. Größte Grade-3+ Nebenwirkungen: Neutropenie, WBC-Abfall, Anämie. Keine neuen Sicherheitssignale.</w:t>
      </w:r>
    </w:p>
    <w:p>
      <w:r>
        <w:rPr>
          <w:b/>
          <w:sz w:val="19"/>
        </w:rPr>
        <w:t xml:space="preserve">Übertragbarkeit: </w:t>
      </w:r>
      <w:r>
        <w:rPr>
          <w:sz w:val="19"/>
        </w:rPr>
        <w:t>Internationale Studie, europäische und chinesische Zentren, vergleichbare Standards</w:t>
      </w:r>
    </w:p>
    <w:p>
      <w:r>
        <w:rPr>
          <w:color w:val="5A7D3A"/>
          <w:sz w:val="18"/>
        </w:rPr>
        <w:t>https://pubmed.ncbi.nlm.nih.gov/42933638/</w:t>
      </w:r>
    </w:p>
    <w:p>
      <w:pPr>
        <w:pStyle w:val="Heading2"/>
      </w:pPr>
      <w:r>
        <w:t>Sacituzumab Tirumotecan verbessert Überleben bei vorbehandeltem Endometriumkarzinom</w:t>
      </w:r>
    </w:p>
    <w:p>
      <w:r>
        <w:rPr>
          <w:i/>
          <w:color w:val="666666"/>
          <w:sz w:val="18"/>
        </w:rPr>
        <w:t>Lorusso D et al.  ·  Lancet  ·  26.10.2026  ·  PMID 42933460</w:t>
      </w:r>
    </w:p>
    <w:p>
      <w:r>
        <w:t>Phase-3-Studie zu Sacituzumab Tirumotecan (TROP2-gerichtetes Antibody-Drug Conjugate) versus Chemotherapie nach Platin und Immuntherapie bei fortgeschrittenem/rezidiviertem Endometriumkarzinom.</w:t>
      </w:r>
    </w:p>
    <w:p>
      <w:r>
        <w:rPr>
          <w:b/>
        </w:rPr>
        <w:t xml:space="preserve">Ergebnis: </w:t>
      </w:r>
      <w:r>
        <w:t>Median PFS 7,2 Monate (Sacituzumab) versus 3,9 Monate (Kontrollgruppe; HR 0,59; p&lt;0,0001). Median OS 19,0 Monate versus 12,1 Monate (HR 0,68; p=0,0001). Grade 3+ Nebenwirkungen 69% versus 57%. Behandlungsbedingte Todesfälle &lt;1% in beiden Armen.</w:t>
      </w:r>
    </w:p>
    <w:p>
      <w:r>
        <w:rPr>
          <w:b/>
          <w:sz w:val="19"/>
        </w:rPr>
        <w:t xml:space="preserve">Übertragbarkeit: </w:t>
      </w:r>
      <w:r>
        <w:rPr>
          <w:sz w:val="19"/>
        </w:rPr>
        <w:t>Internationale Studie, europäische Zentren beteiligt, vergleichbare Versorgungsstrukturen</w:t>
      </w:r>
    </w:p>
    <w:p>
      <w:r>
        <w:rPr>
          <w:color w:val="5A7D3A"/>
          <w:sz w:val="18"/>
        </w:rPr>
        <w:t>https://pubmed.ncbi.nlm.nih.gov/42933460/</w:t>
      </w:r>
    </w:p>
    <w:p>
      <w:pPr>
        <w:pStyle w:val="Heading2"/>
      </w:pPr>
      <w:r>
        <w:t>Pembrolizumab allein überlegen gegenüber Chemotherapie bei MMR-defizientem Endometriumkarzinom</w:t>
      </w:r>
    </w:p>
    <w:p>
      <w:r>
        <w:rPr>
          <w:i/>
          <w:color w:val="666666"/>
          <w:sz w:val="18"/>
        </w:rPr>
        <w:t>Slomovitz BM et al.  ·  Lancet  ·  26.10.2026  ·  PMID 42933458</w:t>
      </w:r>
    </w:p>
    <w:p>
      <w:r>
        <w:t>Phase-3-Studie KEYNOTE-C93 zu First-Line-Pembrolizumab versus Carboplatin+Paclitaxel bei MMR-defizienten fortgeschrittenen oder rezidiviertem Endometriumkarzinom (Zwischenanalyse April 2026).</w:t>
      </w:r>
    </w:p>
    <w:p>
      <w:r>
        <w:rPr>
          <w:b/>
        </w:rPr>
        <w:t xml:space="preserve">Ergebnis: </w:t>
      </w:r>
      <w:r>
        <w:t>Median PFS 38,2 Monate (Pembrolizumab) versus 8,4 Monate (Chemotherapie; HR 0,57; p=0,0002). 12-Monats-PFS 67% versus 40%. Kriterium für OS-Signifikanz nicht erreicht in Zwischenanalyse. Grade 3+ Nebenwirkungen 18% versus 51%.</w:t>
      </w:r>
    </w:p>
    <w:p>
      <w:r>
        <w:rPr>
          <w:b/>
          <w:sz w:val="19"/>
        </w:rPr>
        <w:t xml:space="preserve">Übertragbarkeit: </w:t>
      </w:r>
      <w:r>
        <w:rPr>
          <w:sz w:val="19"/>
        </w:rPr>
        <w:t>Internationale Multizenterstudie, europäische und deutsche Zentren, vergleichbare Standards</w:t>
      </w:r>
    </w:p>
    <w:p>
      <w:r>
        <w:rPr>
          <w:color w:val="5A7D3A"/>
          <w:sz w:val="18"/>
        </w:rPr>
        <w:t>https://pubmed.ncbi.nlm.nih.gov/42933458/</w:t>
      </w:r>
    </w:p>
    <w:p>
      <w:pPr>
        <w:pStyle w:val="Heading2"/>
      </w:pPr>
      <w:r>
        <w:t>Tarlatamab plus Durvalumab verlängert Gesamtüberleben bei kleinzelligem Lungenkarzinom</w:t>
      </w:r>
    </w:p>
    <w:p>
      <w:r>
        <w:rPr>
          <w:i/>
          <w:color w:val="666666"/>
          <w:sz w:val="18"/>
        </w:rPr>
        <w:t>Pérol M et al.  ·  N Engl J Med  ·  24.10.2026  ·  PMID 42929702</w:t>
      </w:r>
    </w:p>
    <w:p>
      <w:r>
        <w:t>Phase-3-Studie zu Tarlatamab (DLL3-gerichteter Bispecific T-Cell Engager) plus Durvalumab versus Durvalumab allein als Erhaltungstherapie nach Erstlinien-Chemoimmunotherapie bei extensivem kleinzelligem Lungenkarzinom.</w:t>
      </w:r>
    </w:p>
    <w:p>
      <w:r>
        <w:rPr>
          <w:b/>
        </w:rPr>
        <w:t xml:space="preserve">Ergebnis: </w:t>
      </w:r>
      <w:r>
        <w:t>Median Overall Survival (OS) 21,1 Monate (Tarlatamab-Durvalumab) versus 12,7 Monate (Durvalumab; HR 0,42; p&lt;0,001). Median Progression-Free Survival (PFS) 7,4 versus 1,9 Monate (HR 0,34; p&lt;0,001). Grade 3/4 Nebenwirkungen 46,8% versus 40,6%, Zytokinfreisetzungssyndrom in etwa der Hälfte der Tarlatamab-Durvalumab-Gruppe, überwiegend Grad 1/2.</w:t>
      </w:r>
    </w:p>
    <w:p>
      <w:r>
        <w:rPr>
          <w:b/>
          <w:sz w:val="19"/>
        </w:rPr>
        <w:t xml:space="preserve">Übertragbarkeit: </w:t>
      </w:r>
      <w:r>
        <w:rPr>
          <w:sz w:val="19"/>
        </w:rPr>
        <w:t>USA-Studie, Zulassung in Deutschland möglich, aber von AMNOG-Bewertung abhängig</w:t>
      </w:r>
    </w:p>
    <w:p>
      <w:r>
        <w:rPr>
          <w:color w:val="5A7D3A"/>
          <w:sz w:val="18"/>
        </w:rPr>
        <w:t>https://pubmed.ncbi.nlm.nih.gov/42929702/</w:t>
      </w:r>
    </w:p>
    <w:p>
      <w:pPr>
        <w:pStyle w:val="Heading2"/>
      </w:pPr>
      <w:r>
        <w:t>Durvalumab+Enfortumab Vedotin verbessert Event-Free Survival bei Muskelinvasivem Urothelkarzinom</w:t>
      </w:r>
    </w:p>
    <w:p>
      <w:r>
        <w:rPr>
          <w:i/>
          <w:color w:val="666666"/>
          <w:sz w:val="18"/>
        </w:rPr>
        <w:t>Powles T et al.  ·  N Engl J Med  ·  24.10.2026  ·  PMID 42929692</w:t>
      </w:r>
    </w:p>
    <w:p>
      <w:r>
        <w:t>Phase-3-Studie VOLGA zu Durvalumab mit/ohne Tremelimumab plus Enfortumab Vedotin neoadjuvant gefolgt von Zystektomie und adjuvanter Durvalumab versus Chirurgie allein bei Patienten mit Muskelinvasivem Urothelkarzinom.</w:t>
      </w:r>
    </w:p>
    <w:p>
      <w:r>
        <w:rPr>
          <w:b/>
        </w:rPr>
        <w:t xml:space="preserve">Ergebnis: </w:t>
      </w:r>
      <w:r>
        <w:t>24-Monats-Event-Free-Survival (EFS) 63,5% (Durvalumab-Enfortumab) versus 45,1% (Kontrolle; HR 0,51; p&lt;0,001). 24-Monats-OS 78,4% versus 69,4% (HR 0,58; p=0,003). Grade 3+ Nebenwirkungen 71,1% (behandlungsbedingt 30,7%) versus 50,2%.</w:t>
      </w:r>
    </w:p>
    <w:p>
      <w:r>
        <w:rPr>
          <w:b/>
          <w:sz w:val="19"/>
        </w:rPr>
        <w:t xml:space="preserve">Übertragbarkeit: </w:t>
      </w:r>
      <w:r>
        <w:rPr>
          <w:sz w:val="19"/>
        </w:rPr>
        <w:t>Internationale Phase-3-Studie, europäische und deutsche Zentren, deutsche Versicherungssysteme</w:t>
      </w:r>
    </w:p>
    <w:p>
      <w:r>
        <w:rPr>
          <w:color w:val="5A7D3A"/>
          <w:sz w:val="18"/>
        </w:rPr>
        <w:t>https://pubmed.ncbi.nlm.nih.gov/42929692/</w:t>
      </w:r>
    </w:p>
    <w:p>
      <w:pPr>
        <w:pStyle w:val="Heading2"/>
      </w:pPr>
      <w:r>
        <w:t>ESMO-Leitlinien zu Diagnostik und Therapie des Nierenzellkarzinoms in Asien adaptiert</w:t>
      </w:r>
    </w:p>
    <w:p>
      <w:r>
        <w:rPr>
          <w:i/>
          <w:color w:val="666666"/>
          <w:sz w:val="18"/>
        </w:rPr>
        <w:t>Kanesvaran R et al.  ·  ESMO Open  ·  01.10.2026  ·  PMID 42914499</w:t>
      </w:r>
    </w:p>
    <w:p>
      <w:r>
        <w:t>Pan-asiatische Konsensusleitlinien adaptiert von den ESMO-Leitlinien Mai 2024 mit Harmonisierung von Diagnostik, Behandlung und Nachsorge des Nierenzellkarzinoms unter Berücksichtigung regionaler Unterschiede in Zulassung und Verfügbarkeit.</w:t>
      </w:r>
    </w:p>
    <w:p>
      <w:r>
        <w:rPr>
          <w:b/>
        </w:rPr>
        <w:t xml:space="preserve">Ergebnis: </w:t>
      </w:r>
      <w:r>
        <w:t>Konkrete Empfehlungen zu Staging, systemischer Therapie (Immuntherapie-Kombinationen als Standard in metastasiertem Krankheitsstadium), adjuvanter Pembrolizumab für High-Risk-Patienten. Fokus auf Harmonisierung trotz Disparitäten in Arzneimittelzugang und Erstattung zwischen Ländern.</w:t>
      </w:r>
    </w:p>
    <w:p>
      <w:r>
        <w:rPr>
          <w:b/>
          <w:sz w:val="19"/>
        </w:rPr>
        <w:t xml:space="preserve">Übertragbarkeit: </w:t>
      </w:r>
      <w:r>
        <w:rPr>
          <w:sz w:val="19"/>
        </w:rPr>
        <w:t>Leitlinienwerk, europäische und asiatische Experten, begrenzt auf Asien</w:t>
      </w:r>
    </w:p>
    <w:p>
      <w:r>
        <w:rPr>
          <w:color w:val="5A7D3A"/>
          <w:sz w:val="18"/>
        </w:rPr>
        <w:t>https://pubmed.ncbi.nlm.nih.gov/42914499/</w:t>
      </w:r>
    </w:p>
    <w:p>
      <w:pPr>
        <w:pStyle w:val="Heading1"/>
      </w:pPr>
      <w:r>
        <w:t>Aufgenommen am 27.10.2026</w:t>
      </w:r>
    </w:p>
    <w:p>
      <w:pPr>
        <w:pStyle w:val="Heading2"/>
      </w:pPr>
      <w:r>
        <w:t>Tarlatamab verlängert Gesamtüberleben bei kleinzelligem Lungenkarzinom deutlich</w:t>
      </w:r>
    </w:p>
    <w:p>
      <w:r>
        <w:rPr>
          <w:i/>
          <w:color w:val="666666"/>
          <w:sz w:val="18"/>
        </w:rPr>
        <w:t>Rudin CM et al.  ·  Ann Oncol  ·  31.12.2026  ·  PMID 42933636</w:t>
      </w:r>
    </w:p>
    <w:p>
      <w:r>
        <w:t>Randomisierte Phase-3-Studie zum Vergleich von Tarlatamab (bispezifischer T-Zell-Engager gegen DLL3 und CD3) mit Chemotherapie (Topotekan, Lurbinectedin oder Amrubicin) bei Patienten mit kleinzelligem Lungenkarzinom nach Platinchemotherapie-Versagen.</w:t>
      </w:r>
    </w:p>
    <w:p>
      <w:r>
        <w:rPr>
          <w:b/>
        </w:rPr>
        <w:t xml:space="preserve">Ergebnis: </w:t>
      </w:r>
      <w:r>
        <w:t>Median-OS 13,6 Monate (Tarlatamab) vs. 8,4 Monate (Chemotherapie), HR 0,68 (p&lt;0,001); 24-Monate-OS-Raten 30,3% vs. 14,9%; Median-PFS 4,2 vs. 3,2 Monate; objektive Ansprechrate 35,4% vs. 20,4%. Behandlungsbedingte Nebenwirkungen führten bei 3,2% (Tarlatamab) vs. 6,6% (Chemotherapie) zum Abbruch.</w:t>
      </w:r>
    </w:p>
    <w:p>
      <w:r>
        <w:rPr>
          <w:b/>
          <w:sz w:val="19"/>
        </w:rPr>
        <w:t xml:space="preserve">Übertragbarkeit: </w:t>
      </w:r>
      <w:r>
        <w:rPr>
          <w:sz w:val="19"/>
        </w:rPr>
        <w:t>Europäische Studie mit Zentren in Deutschland, Italien, Frankreich und UK; Ergebnisse unmittelbar auf deutsches System übertragbar.</w:t>
      </w:r>
    </w:p>
    <w:p>
      <w:r>
        <w:rPr>
          <w:color w:val="5A7D3A"/>
          <w:sz w:val="18"/>
        </w:rPr>
        <w:t>https://pubmed.ncbi.nlm.nih.gov/42933636/</w:t>
      </w:r>
    </w:p>
    <w:p>
      <w:pPr>
        <w:pStyle w:val="Heading2"/>
      </w:pPr>
      <w:r>
        <w:t>Heilungsintention bei metastasiertem Nasopharynxkarzinom - internationale Konsensus-Leitlinie</w:t>
      </w:r>
    </w:p>
    <w:p>
      <w:r>
        <w:rPr>
          <w:i/>
          <w:color w:val="666666"/>
          <w:sz w:val="18"/>
        </w:rPr>
        <w:t>Guo QJ et al.  ·  Lancet Oncol  ·  Nov. 2026  ·  PMID 42933448</w:t>
      </w:r>
    </w:p>
    <w:p>
      <w:r>
        <w:t>Internationale Konsensus-Leitlinie von 54 Experten aus 46 Zentren in 18 Ländern zur kurativen Behandlung von Patienten mit de-novo-metastasiertem Nasopharynxkarzinom, entwickelt durch systematische Evidenzbewertung.</w:t>
      </w:r>
    </w:p>
    <w:p>
      <w:r>
        <w:rPr>
          <w:b/>
        </w:rPr>
        <w:t xml:space="preserve">Ergebnis: </w:t>
      </w:r>
      <w:r>
        <w:t>32 Empfehlungen in 7 Domänen formuliert: 29 starke (≥80% Konsens oder hohe Evidenzqualität) und 3 konditionale (67-79% Konsens). Kernempfehlung: Kurative Therapie für medizinisch fitte Patienten mit maximal 3 Metastasen in ≤2 Organen; multimodale Behandlung (Immunochemotherapie, lokoregionale Radiotherapie, Metastasen-gerichtete Therapie, Erhaltungstherapie).</w:t>
      </w:r>
    </w:p>
    <w:p>
      <w:r>
        <w:rPr>
          <w:b/>
          <w:sz w:val="19"/>
        </w:rPr>
        <w:t xml:space="preserve">Übertragbarkeit: </w:t>
      </w:r>
      <w:r>
        <w:rPr>
          <w:sz w:val="19"/>
        </w:rPr>
        <w:t>International erarbeitete Leitlinie mit starker europäischer Beteiligung (Frankreich, Deutschland, UK, Schweiz, Niederlande, Italien); direkt auf deutsches Behandlungssystem anwendbar.</w:t>
      </w:r>
    </w:p>
    <w:p>
      <w:r>
        <w:rPr>
          <w:color w:val="5A7D3A"/>
          <w:sz w:val="18"/>
        </w:rPr>
        <w:t>https://pubmed.ncbi.nlm.nih.gov/42933448/</w:t>
      </w:r>
    </w:p>
    <w:p>
      <w:pPr>
        <w:pStyle w:val="Heading2"/>
      </w:pPr>
      <w:r>
        <w:t>CAR-T-Therapie verbessert ereignisfreies Überleben bei B-Zell-Lymphom stark</w:t>
      </w:r>
    </w:p>
    <w:p>
      <w:r>
        <w:rPr>
          <w:i/>
          <w:color w:val="666666"/>
          <w:sz w:val="18"/>
        </w:rPr>
        <w:t>Borchmann P et al.  ·  Lancet Oncol  ·  Nov. 2026  ·  PMID 42933440</w:t>
      </w:r>
    </w:p>
    <w:p>
      <w:r>
        <w:t>Randomisierte europäische Phase-2-Studie an 45 Zentren in 12 Ländern zum Vergleich von Zamtocabtagene autoleucel (bivirales anti-CD20/CD19 CAR-T) mit R-GemOx-Chemotherapie bei transplantationsineligiblen Patienten mit rezidiviertem/refraktärem Lymphom.</w:t>
      </w:r>
    </w:p>
    <w:p>
      <w:r>
        <w:rPr>
          <w:b/>
        </w:rPr>
        <w:t xml:space="preserve">Ergebnis: </w:t>
      </w:r>
      <w:r>
        <w:t>Ereignisfreies Überleben (primärer Endpunkt) 6,21 Monate (Zamto-cel) vs. 2,53 Monate (R-GemOx), HR 0,39 (p&lt;0,0001); Grade ≥3 Nebenwirkungen in 83% (Zamto-cel) vs. 86% (R-GemOx); Zytokin-Freisetzungssyndrom (CRS) in 8% (vorwiegend Grad 1-2), Neurotoxizität in 5%. Schwerwiegende Nebenwirkungen in 41% vs. 66%.</w:t>
      </w:r>
    </w:p>
    <w:p>
      <w:r>
        <w:rPr>
          <w:b/>
          <w:sz w:val="19"/>
        </w:rPr>
        <w:t xml:space="preserve">Übertragbarkeit: </w:t>
      </w:r>
      <w:r>
        <w:rPr>
          <w:sz w:val="19"/>
        </w:rPr>
        <w:t>Europäische Multizenterstudie (Deutschland, Niederlande, Spanien, Frankreich, Österreich, Belgien, Litauen); direkt auf deutsches Zentrumsystem übertragbar.</w:t>
      </w:r>
    </w:p>
    <w:p>
      <w:r>
        <w:rPr>
          <w:color w:val="5A7D3A"/>
          <w:sz w:val="18"/>
        </w:rPr>
        <w:t>https://pubmed.ncbi.nlm.nih.gov/42933440/</w:t>
      </w:r>
    </w:p>
    <w:p>
      <w:pPr>
        <w:pStyle w:val="Heading2"/>
      </w:pPr>
      <w:r>
        <w:t>Validierte Lebensqualitätsmessung für seltene Tumorerkrankungen etabliert</w:t>
      </w:r>
    </w:p>
    <w:p>
      <w:r>
        <w:rPr>
          <w:i/>
          <w:color w:val="666666"/>
          <w:sz w:val="18"/>
        </w:rPr>
        <w:t>Padilla CS et al.  ·  Eur J Cancer  ·  14.10.2026  ·  PMID 42933087</w:t>
      </w:r>
    </w:p>
    <w:p>
      <w:r>
        <w:t>Europäische Querschnittsstudie bei 397 Patienten mit 20 verschiedenen soliden seltenen Tumorerkrankungen zur Relevanzprüfung von EORTC-Lebensqualitätsfragebogen (QLQ-C30 und tumorspezifisch).</w:t>
      </w:r>
    </w:p>
    <w:p>
      <w:r>
        <w:rPr>
          <w:b/>
        </w:rPr>
        <w:t xml:space="preserve">Ergebnis: </w:t>
      </w:r>
      <w:r>
        <w:t>Alle QLQ-C30-Items erfüllten Relevanzschwelle (Mittelwert ≥1,5) über alle Diagnosen hinweg; häufigste Prioritäten: Gesamtgesundheit (37,05%), Lebensqualität (37,5%), Schmerz (34%), Interferenz Schmerz/Aktivitäten (28%), Sorge (26,4%). Tumorspezifische Tests variierten stark (QLQ-BIL21 sehr relevant, QLQ-VU34 nur einzelne Items relevant).</w:t>
      </w:r>
    </w:p>
    <w:p>
      <w:r>
        <w:rPr>
          <w:b/>
          <w:sz w:val="19"/>
        </w:rPr>
        <w:t xml:space="preserve">Übertragbarkeit: </w:t>
      </w:r>
      <w:r>
        <w:rPr>
          <w:sz w:val="19"/>
        </w:rPr>
        <w:t>Europäisch koordinierte Studie (Niederlande, Deutschland, Spanien, Italien, Türkei, China); Empfehlungen direkt nutzbar für deutsches Nachsorgeangebot in Zentren.</w:t>
      </w:r>
    </w:p>
    <w:p>
      <w:r>
        <w:rPr>
          <w:color w:val="5A7D3A"/>
          <w:sz w:val="18"/>
        </w:rPr>
        <w:t>https://pubmed.ncbi.nlm.nih.gov/42933087/</w:t>
      </w:r>
    </w:p>
    <w:p>
      <w:pPr>
        <w:pStyle w:val="Heading2"/>
      </w:pPr>
      <w:r>
        <w:t>HPV16-ctDNA als starker Prognosemarker und Überwachungsbiomarker</w:t>
      </w:r>
    </w:p>
    <w:p>
      <w:r>
        <w:rPr>
          <w:i/>
          <w:color w:val="666666"/>
          <w:sz w:val="18"/>
        </w:rPr>
        <w:t>Torrens L et al.  ·  Eur J Cancer  ·  05.10.2026  ·  PMID 42933086</w:t>
      </w:r>
    </w:p>
    <w:p>
      <w:r>
        <w:t>Internationale Multizenterstudie bei 173 HPV-positiven Oropharynxkarzinom-Patienten aus Süd- und Nordamerika sowie Europa zur Validierung von HPV16 zirkulärer Tumor-DNA (mittels digitaler PCR) für Prognose und post-therapeutische Überwachung.</w:t>
      </w:r>
    </w:p>
    <w:p>
      <w:r>
        <w:rPr>
          <w:b/>
        </w:rPr>
        <w:t xml:space="preserve">Ergebnis: </w:t>
      </w:r>
      <w:r>
        <w:t>Baseline-HPV16-ctDNA: 100% Spezifität, 73,4% Sensitivität; ctDNA-positive Patienten hatten signifikant schlechteres OS als ctDNA-negative; höhere ctDNA-Level (≥1082 Kopien/mL) unabhängig mit schlechterer OS assoziiert (HR 1,68, p=0,019); persistierende post-therapeutische ctDNA-Detektion mit Progression/Rezidiv in 6,3-23,0 Monaten verbunden.</w:t>
      </w:r>
    </w:p>
    <w:p>
      <w:r>
        <w:rPr>
          <w:b/>
          <w:sz w:val="19"/>
        </w:rPr>
        <w:t xml:space="preserve">Übertragbarkeit: </w:t>
      </w:r>
      <w:r>
        <w:rPr>
          <w:sz w:val="19"/>
        </w:rPr>
        <w:t>Multinational durchgeführt mit europäischen (Frankreich, Tschechien, Italien) und südamerikanischen Zentren; Methode auf deutsches Laborsystem anwendbar.</w:t>
      </w:r>
    </w:p>
    <w:p>
      <w:r>
        <w:rPr>
          <w:color w:val="5A7D3A"/>
          <w:sz w:val="18"/>
        </w:rPr>
        <w:t>https://pubmed.ncbi.nlm.nih.gov/42933086/</w:t>
      </w:r>
    </w:p>
    <w:p>
      <w:pPr>
        <w:pStyle w:val="Heading2"/>
      </w:pPr>
      <w:r>
        <w:t>Tumorkonferenz-Beteiligung verdoppelt Erfolg von Ernährungs- und Bewegungsberatung</w:t>
      </w:r>
    </w:p>
    <w:p>
      <w:r>
        <w:rPr>
          <w:i/>
          <w:color w:val="666666"/>
          <w:sz w:val="18"/>
        </w:rPr>
        <w:t>Eichler M et al.  ·  JCO Oncol Pract  ·  26.10.2026  ·  PMID 42932823</w:t>
      </w:r>
    </w:p>
    <w:p>
      <w:r>
        <w:t>Deutsche Einzelzenter-Studie (Nationales Zentrum für Tumorerkrankungen Dresden) mit retrospektiver Analyse von 1.256 onkologischen Patienten zur Umsetzung strukturierter Ernährungs- und Bewegungsberatung via elektronische PRO-Erfassung und Tumorkonferenz-Koordination.</w:t>
      </w:r>
    </w:p>
    <w:p>
      <w:r>
        <w:rPr>
          <w:b/>
        </w:rPr>
        <w:t xml:space="preserve">Ergebnis: </w:t>
      </w:r>
      <w:r>
        <w:t>Ernährungsscreening identifizierte Risiko bei 62,2% (664/1.068), Bewegungsscreening bei 84,4% (1.046/1.240); Beratungsangebot nur 27,6% (Ernährung) bzw. 52,9% (Bewegung) der Gefährdeten; Abschluss-Rate 13,6% (Ernährung) bzw. 11,2% (Bewegung) unter den Angebotenen. Tumorkonferenz-Beteiligung unabhängig assoziiert mit höherer Abschlussquote (OR 2,3 Ernährung, OR 2,8 Bewegung).</w:t>
      </w:r>
    </w:p>
    <w:p>
      <w:r>
        <w:rPr>
          <w:b/>
          <w:sz w:val="19"/>
        </w:rPr>
        <w:t xml:space="preserve">Übertragbarkeit: </w:t>
      </w:r>
      <w:r>
        <w:rPr>
          <w:sz w:val="19"/>
        </w:rPr>
        <w:t>Deutsche Klinikdaten, unmittelbar auf deutsches Versorgungssystem anwendbar.</w:t>
      </w:r>
    </w:p>
    <w:p>
      <w:r>
        <w:rPr>
          <w:color w:val="5A7D3A"/>
          <w:sz w:val="18"/>
        </w:rPr>
        <w:t>https://pubmed.ncbi.nlm.nih.gov/42932823/</w:t>
      </w:r>
    </w:p>
    <w:p>
      <w:pPr>
        <w:pStyle w:val="Heading1"/>
      </w:pPr>
      <w:r>
        <w:t>Aufgenommen am 26.10.2026</w:t>
      </w:r>
    </w:p>
    <w:p>
      <w:pPr>
        <w:pStyle w:val="Heading2"/>
      </w:pPr>
      <w:r>
        <w:t>Dostarlimab-Monotherapie erreicht 68% klinische Komplettremission beim dMMR/MSI-H-Rektumkarzinom</w:t>
      </w:r>
    </w:p>
    <w:p>
      <w:r>
        <w:rPr>
          <w:i/>
          <w:color w:val="666666"/>
          <w:sz w:val="18"/>
        </w:rPr>
        <w:t>Cercek A et al.  ·  Ann Oncol  ·  25.10.2026  ·  PMID 42927858</w:t>
      </w:r>
    </w:p>
    <w:p>
      <w:r>
        <w:t>Multizentrisches Phase-III-Registrierungsstudium zur neoadjuvanten Dostarlimab-Monotherapie bei 154 Patienten mit lokal fortgeschrittenem, dMMR/MSI-H-Rektumkarzinom statt Standard-Multimodaltherapie.</w:t>
      </w:r>
    </w:p>
    <w:p>
      <w:r>
        <w:rPr>
          <w:b/>
        </w:rPr>
        <w:t xml:space="preserve">Ergebnis: </w:t>
      </w:r>
      <w:r>
        <w:t>68% der auswertbaren Patienten (144 mit ≥12 Monaten Follow-up) erreichten anhaltende klinische Komplettremission (cCR12), 76% die kombinierte Rate cCR12+pathologische CR. 98% behielten die cCR über ≥12 Monate. Keine Rezidive bei Patienten in cCR oder pCR. Grad-≥3 immunvermittelte Nebenwirkungen bei 3%. Patientenrelevante Outcomes zeigten bedeutsame Verbesserungen.</w:t>
      </w:r>
    </w:p>
    <w:p>
      <w:r>
        <w:rPr>
          <w:b/>
          <w:sz w:val="19"/>
        </w:rPr>
        <w:t xml:space="preserve">Übertragbarkeit: </w:t>
      </w:r>
      <w:r>
        <w:rPr>
          <w:sz w:val="19"/>
        </w:rPr>
        <w:t>Multinationale Studie (inkl. Deutschland), vergleichbar EU-Zulassungsprozess; Ergebnis kann Leitlinienstandards bei dMMR/MSI-H-LARC verändern.</w:t>
      </w:r>
    </w:p>
    <w:p>
      <w:r>
        <w:rPr>
          <w:color w:val="5A7D3A"/>
          <w:sz w:val="18"/>
        </w:rPr>
        <w:t>https://pubmed.ncbi.nlm.nih.gov/42927858/</w:t>
      </w:r>
    </w:p>
    <w:p>
      <w:pPr>
        <w:pStyle w:val="Heading2"/>
      </w:pPr>
      <w:r>
        <w:t>Pembrolizumab plus Chemotherapie verlängert PFS vs. Monotherapie bei PD-L1-hohem NSCLC</w:t>
      </w:r>
    </w:p>
    <w:p>
      <w:r>
        <w:rPr>
          <w:i/>
          <w:color w:val="666666"/>
          <w:sz w:val="18"/>
        </w:rPr>
        <w:t>Descourt R et al.  ·  Ann Oncol  ·  25.10.2026  ·  PMID 42927854</w:t>
      </w:r>
    </w:p>
    <w:p>
      <w:r>
        <w:t>Französische multizentrische Phase-III-Randomisierungsstudie (321 Patienten) zu Pembrolizumab mit oder ohne platinbasierter Chemotherapie als Erstlinie bei fortgeschrittenem NSCLC mit PD-L1≥50%.</w:t>
      </w:r>
    </w:p>
    <w:p>
      <w:r>
        <w:rPr>
          <w:b/>
        </w:rPr>
        <w:t xml:space="preserve">Ergebnis: </w:t>
      </w:r>
      <w:r>
        <w:t>Median-PFS signifikant längerwirkend mit Kombinationstherapie: 16,1 Monate vs. 6,9 Monate (HR 0,56; 95% KI 0,43–0,74; p&lt;0,001). Median-OS 50,2 vs. 29,9 Monate (HR 0,77; 95% KI 0,56–1,05, nicht signifikant). Grad-≥3-Therapienebenwirkungen 54% vs. 19%; Grad-≥3 immunvermittelte Nebenwirkungen 13% in beiden Armen.</w:t>
      </w:r>
    </w:p>
    <w:p>
      <w:r>
        <w:rPr>
          <w:b/>
          <w:sz w:val="19"/>
        </w:rPr>
        <w:t xml:space="preserve">Übertragbarkeit: </w:t>
      </w:r>
      <w:r>
        <w:rPr>
          <w:sz w:val="19"/>
        </w:rPr>
        <w:t>Französisches Gesundheitssystem mit Dokumentation vergleichbar Deutschland; Ergebnis praxisverändernd für Firstline-NSCLC-Strategie.</w:t>
      </w:r>
    </w:p>
    <w:p>
      <w:r>
        <w:rPr>
          <w:color w:val="5A7D3A"/>
          <w:sz w:val="18"/>
        </w:rPr>
        <w:t>https://pubmed.ncbi.nlm.nih.gov/42927854/</w:t>
      </w:r>
    </w:p>
    <w:p>
      <w:pPr>
        <w:pStyle w:val="Heading2"/>
      </w:pPr>
      <w:r>
        <w:t>GDF-15-Blockade mit Nivolumab erhöht pathologische CR-Rate beim Blasenkarzinom</w:t>
      </w:r>
    </w:p>
    <w:p>
      <w:r>
        <w:rPr>
          <w:i/>
          <w:color w:val="666666"/>
          <w:sz w:val="18"/>
        </w:rPr>
        <w:t>Necchi A et al.  ·  Nat Med  ·  24.10.2026  ·  PMID 42926233</w:t>
      </w:r>
    </w:p>
    <w:p>
      <w:r>
        <w:t>Explorative, stratifizierte, placebokontrollierte Phase-2a-Studie (31 Patienten) zur Sicherheit und Wirksamkeit von GDF-15-Neutralisierung (Visugromab) plus Nivolumab neoadjuvant bei muskelinvasivem Blasenkarzinom.</w:t>
      </w:r>
    </w:p>
    <w:p>
      <w:r>
        <w:rPr>
          <w:b/>
        </w:rPr>
        <w:t xml:space="preserve">Ergebnis: </w:t>
      </w:r>
      <w:r>
        <w:t>pCR-Rate: 33% (N+V, 5/15) vs. 8% (N+P, 1/13); Major Pathologic Response 60% vs. 23%; radiographisches Gesamtansprechrate 60% vs. 15%. Responsen mit N+V assoziiert mit höheren CD8+-T-Zelldichten unabhängig von CPS und Baseline-GDF-15. Grad-3–4-Therapienebenwirkungen bei 13% (N+V) vs. 20% (N+P), keine therapiebedingten Operationsverzögerungen.</w:t>
      </w:r>
    </w:p>
    <w:p>
      <w:r>
        <w:rPr>
          <w:b/>
          <w:sz w:val="19"/>
        </w:rPr>
        <w:t xml:space="preserve">Übertragbarkeit: </w:t>
      </w:r>
      <w:r>
        <w:rPr>
          <w:sz w:val="19"/>
        </w:rPr>
        <w:t>Italienische/deutsche akademische Kooperation; explorative Phase-2a mit klarem Mechanismus-Befund, Basis für weitere Studien in Europa.</w:t>
      </w:r>
    </w:p>
    <w:p>
      <w:r>
        <w:rPr>
          <w:color w:val="5A7D3A"/>
          <w:sz w:val="18"/>
        </w:rPr>
        <w:t>https://pubmed.ncbi.nlm.nih.gov/42926233/</w:t>
      </w:r>
    </w:p>
    <w:p>
      <w:pPr>
        <w:pStyle w:val="Heading2"/>
      </w:pPr>
      <w:r>
        <w:t>Pembrolizumab+Chemotherapie verlängert PFS, nicht OS bei HR+/HER2−/PD-L1+ Brustkrebs</w:t>
      </w:r>
    </w:p>
    <w:p>
      <w:r>
        <w:rPr>
          <w:i/>
          <w:color w:val="666666"/>
          <w:sz w:val="18"/>
        </w:rPr>
        <w:t>Rugo HS et al.  ·  Ann Oncol  ·  24.10.2026  ·  PMID 42926111</w:t>
      </w:r>
    </w:p>
    <w:p>
      <w:r>
        <w:t>Multinationale Phase-III-Randomisierungsstudie (342 Teilnehmer) zu Pembrolizumab plus Chemotherapie vs. Placebo plus Chemotherapie bei fortgeschrittenem HR+/HER2−-Brustkrebs mit PD-L1-Positivität (CPS≥1).</w:t>
      </w:r>
    </w:p>
    <w:p>
      <w:r>
        <w:rPr>
          <w:b/>
        </w:rPr>
        <w:t xml:space="preserve">Ergebnis: </w:t>
      </w:r>
      <w:r>
        <w:t>Interim-Analyse (Median-Follow-up 29,1 Monate): PFS signifikant verlängert mit Pembrolizumab+Chemo: 6,7 vs. 6,0 Monate (HR 0,74; 95% KI 0,58–0,95; p=0,0089). Final Analysis (34,9 Monate): OS 21,0 vs. 22,2 Monate (HR 1,04; 95% KI 0,81–1,33; p=0,6185), nicht signifikant. CPS≥10-Subgruppe numerisches PFS-Vorteil (HR 0,59). Grad-≥3-Therapienebenwirkungen 38% vs. 33%.</w:t>
      </w:r>
    </w:p>
    <w:p>
      <w:r>
        <w:rPr>
          <w:b/>
          <w:sz w:val="19"/>
        </w:rPr>
        <w:t xml:space="preserve">Übertragbarkeit: </w:t>
      </w:r>
      <w:r>
        <w:rPr>
          <w:sz w:val="19"/>
        </w:rPr>
        <w:t>Internationale Studie mit europäischen Zentren; PFS-Vorteil ohne OS-Vorteil begrenzt praxisverändernd.</w:t>
      </w:r>
    </w:p>
    <w:p>
      <w:r>
        <w:rPr>
          <w:color w:val="5A7D3A"/>
          <w:sz w:val="18"/>
        </w:rPr>
        <w:t>https://pubmed.ncbi.nlm.nih.gov/42926111/</w:t>
      </w:r>
    </w:p>
    <w:p>
      <w:pPr>
        <w:pStyle w:val="Heading2"/>
      </w:pPr>
      <w:r>
        <w:t>Adjuvantes Cisplatin-Gemcitabin nicht überlegen Capecitabin bei Gallengangskarzinom</w:t>
      </w:r>
    </w:p>
    <w:p>
      <w:r>
        <w:rPr>
          <w:i/>
          <w:color w:val="666666"/>
          <w:sz w:val="18"/>
        </w:rPr>
        <w:t>Stein A et al.  ·  Ann Oncol  ·  24.10.2026  ·  PMID 42926109</w:t>
      </w:r>
    </w:p>
    <w:p>
      <w:r>
        <w:t>Internationale, randomisierte Phase-III-Studie (591 Patienten aus 8 Ländern) zu adjuvantem Cisplatin-Gemcitabin vs. Capecitabin nach R0-Resektion von Cholangiokarziom oder muskelinvasivem Gallenblasenkrebs.</w:t>
      </w:r>
    </w:p>
    <w:p>
      <w:r>
        <w:rPr>
          <w:b/>
        </w:rPr>
        <w:t xml:space="preserve">Ergebnis: </w:t>
      </w:r>
      <w:r>
        <w:t>Median-DFS: 25,7 Monate (CisGem) vs. 17,9 Monate (Capecitabin), log-rank p=0,097 (nicht signifikant). RMST-Analyse (3 Jahre): 2,6 zusätzliche DFS-Monate mit CisGem (95% KI 0,6–4,68; p=0,011), kein signifikanter OS-Vorteil (58,1 vs. 48,2 Monate; p=0,076). Höhere SAE-Rate mit CisGem (130 vs. 113), höhere Gesamtnebenwirkungen (74,7% vs. 69,5%).</w:t>
      </w:r>
    </w:p>
    <w:p>
      <w:r>
        <w:rPr>
          <w:b/>
          <w:sz w:val="19"/>
        </w:rPr>
        <w:t xml:space="preserve">Übertragbarkeit: </w:t>
      </w:r>
      <w:r>
        <w:rPr>
          <w:sz w:val="19"/>
        </w:rPr>
        <w:t>Deutsches Kooperationszentrum (AIO), vergleichbar deutsches Versicherungssystem; Ergebnis gegen Intensivierung in Adjuvans relevant.</w:t>
      </w:r>
    </w:p>
    <w:p>
      <w:r>
        <w:rPr>
          <w:color w:val="5A7D3A"/>
          <w:sz w:val="18"/>
        </w:rPr>
        <w:t>https://pubmed.ncbi.nlm.nih.gov/42926109/</w:t>
      </w:r>
    </w:p>
    <w:p>
      <w:pPr>
        <w:pStyle w:val="Heading2"/>
      </w:pPr>
      <w:r>
        <w:t>Nivolumab+Ipilimumab zeigt signifikanten OS-Vorteil gegen Nivolumab bei MSI-H/dMMR-mCRC</w:t>
      </w:r>
    </w:p>
    <w:p>
      <w:r>
        <w:rPr>
          <w:i/>
          <w:color w:val="666666"/>
          <w:sz w:val="18"/>
        </w:rPr>
        <w:t>Lonardi S et al.  ·  Ann Oncol  ·  24.10.2026  ·  PMID 42926106</w:t>
      </w:r>
    </w:p>
    <w:p>
      <w:r>
        <w:t>Phase-III-Registrierungsstudie (839 Patienten randomisiert, 532 zentralbestätigt MSI-H/dMMR) zu NIVO+IPI vs. NIVO (alle Linien) und vs. Chemotherapie (1L) bei metastasierendem MSI-H/dMMR-Kolorektalkarzinom.</w:t>
      </w:r>
    </w:p>
    <w:p>
      <w:r>
        <w:rPr>
          <w:b/>
        </w:rPr>
        <w:t xml:space="preserve">Ergebnis: </w:t>
      </w:r>
      <w:r>
        <w:t>Median-Follow-up 68,0 Monate über alle Linien. NIVO+IPI zeigte signifikanten OS-Vorteil vs. NIVO (alle Linien: HR 0,61; 95% KI 0,46–0,82; p=0,0009) und vs. Chemo (1L: HR 0,37; 95% KI 0,24–0,57; p&lt;0,0001). Klinisch bedeutsamer OS-Vorteil 1L NIVO+IPI vs. NIVO (HR 0,66; p=0,0432), Signifikanzschwelle nicht erreicht. Grad-3/4-Therapienebenwirkungen 22% (NIVO+IPI) vs. 14% (NIVO).</w:t>
      </w:r>
    </w:p>
    <w:p>
      <w:r>
        <w:rPr>
          <w:b/>
          <w:sz w:val="19"/>
        </w:rPr>
        <w:t xml:space="preserve">Übertragbarkeit: </w:t>
      </w:r>
      <w:r>
        <w:rPr>
          <w:sz w:val="19"/>
        </w:rPr>
        <w:t>Multinationale Studie mit europäischen Zentren (Italien, Spanien, Frankreich); Ergebnis bestätigt Standard-of-Care für MSI-H/dMMR-mCRC europaweit.</w:t>
      </w:r>
    </w:p>
    <w:p>
      <w:r>
        <w:rPr>
          <w:color w:val="5A7D3A"/>
          <w:sz w:val="18"/>
        </w:rPr>
        <w:t>https://pubmed.ncbi.nlm.nih.gov/42926106/</w:t>
      </w:r>
    </w:p>
    <w:p>
      <w:pPr>
        <w:pStyle w:val="Heading1"/>
      </w:pPr>
      <w:r>
        <w:t>Aufgenommen am 25.10.2026</w:t>
      </w:r>
    </w:p>
    <w:p>
      <w:pPr>
        <w:pStyle w:val="Heading2"/>
      </w:pPr>
      <w:r>
        <w:t>mKRAS-Impfstoff Camupepimut beim PDAC: DFS-Vorteil nur in Subgruppe, Biomarker vielversprechend</w:t>
      </w:r>
    </w:p>
    <w:p>
      <w:r>
        <w:rPr>
          <w:i/>
          <w:color w:val="666666"/>
          <w:sz w:val="18"/>
        </w:rPr>
        <w:t>George B et al.  ·  Nat Med  ·  23.10.2026  ·  PMID 42919966</w:t>
      </w:r>
    </w:p>
    <w:p>
      <w:r>
        <w:t>Phase-2-Randomisierungsstudie zum personalisierten mKRAS-spezifischen Impfstoff (ELI-002 7P/Camupepimut) bei Patienten mit KRAS-mutiertem PDAC (Stadium I–III) ohne Rezidiv innerhalb 6 Monaten nach Standardtherapie.</w:t>
      </w:r>
    </w:p>
    <w:p>
      <w:r>
        <w:rPr>
          <w:b/>
        </w:rPr>
        <w:t xml:space="preserve">Ergebnis: </w:t>
      </w:r>
      <w:r>
        <w:t>Primäres Ziel (DFS) nicht erreicht: medianes DFS 23,8 vs. 21,2 Monate (HR 0,85; p=0,53). Numerischer DFS-Vorteil 6-Monate 75,7 % vs. 61,7 % (HR 0,55; p=0,056). Post-hoc-Analyse: Camupepimut korrelierte mit verbessertem DFS (adjust. HR 0,47; p=0,0086). mKRAS-spezifische T-Zell-Response 98,9 %; Response &gt;9,17-fach über Baseline (82,2 %) mit verbessertem DFS (HR 0,22; p&lt;0,0001). Sicherheit vergleichbar zur Kontrolle.</w:t>
      </w:r>
    </w:p>
    <w:p>
      <w:r>
        <w:rPr>
          <w:b/>
          <w:sz w:val="19"/>
        </w:rPr>
        <w:t xml:space="preserve">Übertragbarkeit: </w:t>
      </w:r>
      <w:r>
        <w:rPr>
          <w:sz w:val="19"/>
        </w:rPr>
        <w:t>Multizentrische USA-Studie, aber Vakzin-Immunogenität-Befund übertragbar; KRAS-Mutationen global stratifizierbar; ermutigendes Signal für Phase-3-Validierung.</w:t>
      </w:r>
    </w:p>
    <w:p>
      <w:r>
        <w:rPr>
          <w:color w:val="5A7D3A"/>
          <w:sz w:val="18"/>
        </w:rPr>
        <w:t>https://pubmed.ncbi.nlm.nih.gov/42919966/</w:t>
      </w:r>
    </w:p>
    <w:p>
      <w:pPr>
        <w:pStyle w:val="Heading2"/>
      </w:pPr>
      <w:r>
        <w:t>Relatlimab + Nivolumab + Chemotherapie beim NSCLC: Subgruppen-Trend ohne Primärziel-Erfolg</w:t>
      </w:r>
    </w:p>
    <w:p>
      <w:r>
        <w:rPr>
          <w:i/>
          <w:color w:val="666666"/>
          <w:sz w:val="18"/>
        </w:rPr>
        <w:t>Girard N et al.  ·  Ann Oncol  ·  23.10.2026  ·  PMID 42918419</w:t>
      </w:r>
    </w:p>
    <w:p>
      <w:r>
        <w:t>Phase-II-Studie zur Kombination von Immune-Checkpoint-Inhibitoren (Nivolumab und Relatlimab) mit Chemotherapie versus Chemotherapie allein beim metastasierten oder rezidivierten NSCLC.</w:t>
      </w:r>
    </w:p>
    <w:p>
      <w:r>
        <w:rPr>
          <w:b/>
        </w:rPr>
        <w:t xml:space="preserve">Ergebnis: </w:t>
      </w:r>
      <w:r>
        <w:t>Primäres Ziel (Ansprechrate) nicht erreicht: 51,3 % vs. 45,0 % (p nicht signifikant). PFS-Hazard Ratio 0,89 (90%-CI 0,72–1,09). In der Subgruppe PD-L1 ≥1 % mit nichtsquamöser Histologie zeigten sich günstige Trends (ORR 58,0 % vs. 39,6 %; PFS HR 0,68; potenzieller OS-Vorteil HR 0,60). Sicherheitsprofil vertretbar.</w:t>
      </w:r>
    </w:p>
    <w:p>
      <w:r>
        <w:rPr>
          <w:b/>
          <w:sz w:val="19"/>
        </w:rPr>
        <w:t xml:space="preserve">Übertragbarkeit: </w:t>
      </w:r>
      <w:r>
        <w:rPr>
          <w:sz w:val="19"/>
        </w:rPr>
        <w:t>Multinationale Phase-II-Studie, europäische Sites inkludiert; Biomarker-Stratifizierung übertragbar auf deutsche Tumorkonferenzen.</w:t>
      </w:r>
    </w:p>
    <w:p>
      <w:r>
        <w:rPr>
          <w:color w:val="5A7D3A"/>
          <w:sz w:val="18"/>
        </w:rPr>
        <w:t>https://pubmed.ncbi.nlm.nih.gov/42918419/</w:t>
      </w:r>
    </w:p>
    <w:p>
      <w:pPr>
        <w:pStyle w:val="Heading2"/>
      </w:pPr>
      <w:r>
        <w:t>SBRT + Chemotherapie vs. Chemotherapie beim hochrisiko-PDAC: 20,2 % vs. 52,0 % lokale Rezidive</w:t>
      </w:r>
    </w:p>
    <w:p>
      <w:r>
        <w:rPr>
          <w:i/>
          <w:color w:val="666666"/>
          <w:sz w:val="18"/>
        </w:rPr>
        <w:t>Oar A et al.  ·  Lancet Oncol  ·  23.10.2026  ·  PMID 42914998</w:t>
      </w:r>
    </w:p>
    <w:p>
      <w:r>
        <w:t>Phase-2-Randomisierungs-Studie aus Australien/Neuseeland zur Zugabe von stereotaktischer Bestrahlung (40 Gy/5 Fraktionen) zu neoadjuvanter Chemotherapie beim lokalisierten PDAC mit Hochrisiko-Merkmalen.</w:t>
      </w:r>
    </w:p>
    <w:p>
      <w:r>
        <w:rPr>
          <w:b/>
        </w:rPr>
        <w:t xml:space="preserve">Ergebnis: </w:t>
      </w:r>
      <w:r>
        <w:t>12-Monats-Lokoregionalrezidiv 20,2 % (95%-CI 9,9–33,1) mit SBRT vs. 52,0 % (30,3–69,9) ohne SBRT (Hazard Ratio 0,44; p=0,022). Gesamtüberleben und PFS zeigten keinen Unterschied. Grad-3+-Nebenwirkungen 70 % vs. 64 % (p=0,27). Zwei behandlungsbedingte ernste unerwünschte Ereignisse unter SBRT.</w:t>
      </w:r>
    </w:p>
    <w:p>
      <w:r>
        <w:rPr>
          <w:b/>
          <w:sz w:val="19"/>
        </w:rPr>
        <w:t xml:space="preserve">Übertragbarkeit: </w:t>
      </w:r>
      <w:r>
        <w:rPr>
          <w:sz w:val="19"/>
        </w:rPr>
        <w:t>Australische/Neuseeländische Gesundheitssysteme; vergleichbar mit europäischem Versorgungsstandard; Transfer zu MASTERPLAN-ähnlichen deutschen Zentren möglich.</w:t>
      </w:r>
    </w:p>
    <w:p>
      <w:r>
        <w:rPr>
          <w:color w:val="5A7D3A"/>
          <w:sz w:val="18"/>
        </w:rPr>
        <w:t>https://pubmed.ncbi.nlm.nih.gov/42914998/</w:t>
      </w:r>
    </w:p>
    <w:p>
      <w:pPr>
        <w:pStyle w:val="Heading2"/>
      </w:pPr>
      <w:r>
        <w:t>Cervixkarzinom: ESMO-Leitlinie 2026 für Diagnostik, Therapie und Nachsorge</w:t>
      </w:r>
    </w:p>
    <w:p>
      <w:r>
        <w:rPr>
          <w:i/>
          <w:color w:val="666666"/>
          <w:sz w:val="18"/>
        </w:rPr>
        <w:t>Lorusso D et al.  ·  ESMO Open  ·  24.09.2026  ·  PMID 42914498</w:t>
      </w:r>
    </w:p>
    <w:p>
      <w:r>
        <w:t>Aktualisierte klinische Leitlinie der Europäischen Gesellschaft für Medizinische Onkologie zu Diagnose, Behandlung und Nachsorge des Cervixkarzinoms mit internationaler Expertenkonsensus.</w:t>
      </w:r>
    </w:p>
    <w:p>
      <w:r>
        <w:rPr>
          <w:b/>
        </w:rPr>
        <w:t xml:space="preserve">Ergebnis: </w:t>
      </w:r>
      <w:r>
        <w:t>Leitlinie mit consensus-basierten Empfehlungen zur Diagnostik (HPV-Screening, Konisation), Therapieoptionen nach Risikostratifizierung (Stadium, Histologie), Strahlentherapie-Standards und Nachsorge. Besondere Beachtung: Management früher Stadien, neoadjuvante vs. adjuvante Chemotherapie, Rolle von Immuntherapie in fortgeschrittenen Stadien.</w:t>
      </w:r>
    </w:p>
    <w:p>
      <w:r>
        <w:rPr>
          <w:b/>
          <w:sz w:val="19"/>
        </w:rPr>
        <w:t xml:space="preserve">Übertragbarkeit: </w:t>
      </w:r>
      <w:r>
        <w:rPr>
          <w:sz w:val="19"/>
        </w:rPr>
        <w:t>ESMO-Leitlinie mit europäischem Konsens; direkt übertragbar auf deutsche Leitlinienprozesse und Zertifizierungsvorgaben.</w:t>
      </w:r>
    </w:p>
    <w:p>
      <w:r>
        <w:rPr>
          <w:color w:val="5A7D3A"/>
          <w:sz w:val="18"/>
        </w:rPr>
        <w:t>https://pubmed.ncbi.nlm.nih.gov/42914498/</w:t>
      </w:r>
    </w:p>
    <w:p>
      <w:pPr>
        <w:pStyle w:val="Heading2"/>
      </w:pPr>
      <w:r>
        <w:t>STAT2-Intronretention korreliert mit Immuntherapie-Response bei Lungenadenokarzinom</w:t>
      </w:r>
    </w:p>
    <w:p>
      <w:r>
        <w:rPr>
          <w:i/>
          <w:color w:val="666666"/>
          <w:sz w:val="18"/>
        </w:rPr>
        <w:t>Englander RP et al.  ·  Science  ·  22.10.2026  ·  PMID 42912151</w:t>
      </w:r>
    </w:p>
    <w:p>
      <w:r>
        <w:t>Grundlagenforschung zur alternativen RNA-Spleiße: Long-read-Sequenzierung von Lungenadenokarzinomen identifiziert über 149.000 volle mRNA-Isoformen, von denen viele in Immungenen liegen; funktionale Charakterisierung von STAT2-Intronretention als Regulator der Interferon-Antwort und Prädiktor für PD-L1-Immuntherapie-Response.</w:t>
      </w:r>
    </w:p>
    <w:p>
      <w:r>
        <w:rPr>
          <w:b/>
        </w:rPr>
        <w:t xml:space="preserve">Ergebnis: </w:t>
      </w:r>
      <w:r>
        <w:t>Intronretention im STAT2-Gen erzeugt veränderte Protein-Isoformen, die Immunsignalisierung und Interferon-Antworten regulieren. STAT2-spezifische Intronretention korreliert mit Patientenüberleben nach Anti-PD-L1-Immuntherapie. Alternative Spleiße erkannt als Regulator der Tumor-Immunantwort; Intronretention als Interferon-regulatorische Achse mit Vorhersagekraft.</w:t>
      </w:r>
    </w:p>
    <w:p>
      <w:r>
        <w:rPr>
          <w:b/>
          <w:sz w:val="19"/>
        </w:rPr>
        <w:t xml:space="preserve">Übertragbarkeit: </w:t>
      </w:r>
      <w:r>
        <w:rPr>
          <w:sz w:val="19"/>
        </w:rPr>
        <w:t>Humane primäre Lungentumoren; molekularer Mechanismus mit Weg zur Klinik (Biomarker-Prädikation); USA-Studie, aber Biomarker-Befund therapieunabhängig.</w:t>
      </w:r>
    </w:p>
    <w:p>
      <w:r>
        <w:rPr>
          <w:color w:val="5A7D3A"/>
          <w:sz w:val="18"/>
        </w:rPr>
        <w:t>https://pubmed.ncbi.nlm.nih.gov/42912151/</w:t>
      </w:r>
    </w:p>
    <w:p>
      <w:pPr>
        <w:pStyle w:val="Heading2"/>
      </w:pPr>
      <w:r>
        <w:t>Mirvetuximab + Carboplatin beim platinsensitiven Ovarialkarzinom: 62,7 % Ansprechrate</w:t>
      </w:r>
    </w:p>
    <w:p>
      <w:r>
        <w:rPr>
          <w:i/>
          <w:color w:val="666666"/>
          <w:sz w:val="18"/>
        </w:rPr>
        <w:t>Konecny GE et al.  ·  Clin Cancer Res  ·  21.10.2026  ·  PMID 42905759</w:t>
      </w:r>
    </w:p>
    <w:p>
      <w:r>
        <w:t>Phase-2-Studie zur Kombination des Folat-Rezeptor-alpha-gerichteten Antikörper-Wirkstoff-Konjugats Mirvetuximab mit Carboplatin beim rezidivierten, platinsensitiven Ovarialkarzinom mit FRα-Expression.</w:t>
      </w:r>
    </w:p>
    <w:p>
      <w:r>
        <w:rPr>
          <w:b/>
        </w:rPr>
        <w:t xml:space="preserve">Ergebnis: </w:t>
      </w:r>
      <w:r>
        <w:t>ORR 62,7 % (95%-CI 52,6–72,1) in der FRα-≥50%-Gruppe; 81 % der Patienten setzten mit Monotherapie fort. Medianes PFS 11,0 Monate (9,8–13,1). Häufigste AEs: verschwommenes Sehen (81 %), Hornhautveränderungen (74 %, 96,7 % Grad ≤1). Pneumonitis-Rate 15,2 % (2 Todesfälle). 15 % Abbruch wegen Mirvetuximab, 9 % wegen Carboplatin.</w:t>
      </w:r>
    </w:p>
    <w:p>
      <w:r>
        <w:rPr>
          <w:b/>
          <w:sz w:val="19"/>
        </w:rPr>
        <w:t xml:space="preserve">Übertragbarkeit: </w:t>
      </w:r>
      <w:r>
        <w:rPr>
          <w:sz w:val="19"/>
        </w:rPr>
        <w:t>Nordamerikanische und europäische Sites; FRα-Expression messbar in deutschen Pathologien; Antikörper-Wirkstoff-Konjugate etablierte Substanzklasse.</w:t>
      </w:r>
    </w:p>
    <w:p>
      <w:r>
        <w:rPr>
          <w:color w:val="5A7D3A"/>
          <w:sz w:val="18"/>
        </w:rPr>
        <w:t>https://pubmed.ncbi.nlm.nih.gov/42905759/</w:t>
      </w:r>
    </w:p>
    <w:p>
      <w:pPr>
        <w:pStyle w:val="Heading1"/>
      </w:pPr>
      <w:r>
        <w:t>Aufgenommen am 24.10.2026</w:t>
      </w:r>
    </w:p>
    <w:p>
      <w:pPr>
        <w:pStyle w:val="Heading2"/>
      </w:pPr>
      <w:r>
        <w:t>Capivasertib + Abiraterone verlängert Gesamtüberleben bei PTEN-defizienten Prostatakrebsen</w:t>
      </w:r>
    </w:p>
    <w:p>
      <w:r>
        <w:rPr>
          <w:i/>
          <w:color w:val="666666"/>
          <w:sz w:val="18"/>
        </w:rPr>
        <w:t>Fizazi K et al.  ·  Ann Oncol  ·  23.10.2026  ·  PMID 42918424</w:t>
      </w:r>
    </w:p>
    <w:p>
      <w:r>
        <w:t>Randomisierte Phase-III-Studie zur Wirksamkeit von Capivasertib (ein Protein-Kinase-B-Inhibitor) plus Abiraterone gegen Placebo plus Abiraterone bei Patienten mit neu diagnostiziertem metastasiertem, hormonempfindlichem Prostatakarzinom und PTEN-Mangel.</w:t>
      </w:r>
    </w:p>
    <w:p>
      <w:r>
        <w:rPr>
          <w:b/>
        </w:rPr>
        <w:t xml:space="preserve">Ergebnis: </w:t>
      </w:r>
      <w:r>
        <w:t>Bei 42 % Reife der Gesamtüberlebensdaten (Median Follow-up 39 Monate) zeigte sich ein Gesamtüberlebensvorteil für Capivasertib plus Abiraterone: Medianales Gesamtüberleben 57,4 vs. 46,5 Monate (Hazard Ratio 0,82; 95%-KI 0,68–0,99; P = 0,044). Die Progression-Free-Survival betrug 35,5 vs. 26,0 Monate (HR 0,83; 95%-KI 0,70–0,99). Das Sicherheitsprofil blieb konsistent mit früheren Analysen.</w:t>
      </w:r>
    </w:p>
    <w:p>
      <w:r>
        <w:rPr>
          <w:b/>
          <w:sz w:val="19"/>
        </w:rPr>
        <w:t xml:space="preserve">Übertragbarkeit: </w:t>
      </w:r>
      <w:r>
        <w:rPr>
          <w:sz w:val="19"/>
        </w:rPr>
        <w:t>Europäische Zentren beteiligt; PTEN-Test erlaubt, Targeted Therapy verfügbar.</w:t>
      </w:r>
    </w:p>
    <w:p>
      <w:r>
        <w:rPr>
          <w:color w:val="5A7D3A"/>
          <w:sz w:val="18"/>
        </w:rPr>
        <w:t>https://pubmed.ncbi.nlm.nih.gov/42918424/</w:t>
      </w:r>
    </w:p>
    <w:p>
      <w:pPr>
        <w:pStyle w:val="Heading2"/>
      </w:pPr>
      <w:r>
        <w:t>Ribociclib + Aromatasehemmer verbessert Gesamtüberleben im frühen Brustkrebs</w:t>
      </w:r>
    </w:p>
    <w:p>
      <w:r>
        <w:rPr>
          <w:i/>
          <w:color w:val="666666"/>
          <w:sz w:val="18"/>
        </w:rPr>
        <w:t>Slamon DJ et al.  ·  Ann Oncol  ·  23.10.2026  ·  PMID 42918423</w:t>
      </w:r>
    </w:p>
    <w:p>
      <w:r>
        <w:t>Randomisierte Phase-III-NATALEE-Studie zur Wirksamkeit von Ribociclib (CDK4/6-Inhibitor) plus Nichtsteroidal-Aromatasehemmer versus Aromatasehemmer allein in adjuvanter Therapie bei hormonrezeptor-positivem/HER2-negativem frühem Brustkrebs mit hohem Risiko über 6 Jahre.</w:t>
      </w:r>
    </w:p>
    <w:p>
      <w:r>
        <w:rPr>
          <w:b/>
        </w:rPr>
        <w:t xml:space="preserve">Ergebnis: </w:t>
      </w:r>
      <w:r>
        <w:t>Bei medianer Nachbeobachtung von 66,5 Monaten zeigte Ribociclib plus NSAI einen Gesamtüberlebensvorteil (6-Jahres-Delta 2,1 %; HR 0,809; 95%-KI 0,661–0,989; P = 0,019). Die Invasive-Disease-Free-Survival verbesserte sich (6-Jahres-Delta 5,3 %; HR 0,741; 95%-KI 0,646–0,849). Keine neuen Sicherheitssignale.</w:t>
      </w:r>
    </w:p>
    <w:p>
      <w:r>
        <w:rPr>
          <w:b/>
          <w:sz w:val="19"/>
        </w:rPr>
        <w:t xml:space="preserve">Übertragbarkeit: </w:t>
      </w:r>
      <w:r>
        <w:rPr>
          <w:sz w:val="19"/>
        </w:rPr>
        <w:t>Deutsche Zentren teil der globalen Studie; CDK4/6-Inhibitor standard zertifiziert.</w:t>
      </w:r>
    </w:p>
    <w:p>
      <w:r>
        <w:rPr>
          <w:color w:val="5A7D3A"/>
          <w:sz w:val="18"/>
        </w:rPr>
        <w:t>https://pubmed.ncbi.nlm.nih.gov/42918423/</w:t>
      </w:r>
    </w:p>
    <w:p>
      <w:pPr>
        <w:pStyle w:val="Heading2"/>
      </w:pPr>
      <w:r>
        <w:t>Perioperatives Pembrolizumab verbessert Blasenkrebs-Outcomes nicht signifikant</w:t>
      </w:r>
    </w:p>
    <w:p>
      <w:r>
        <w:rPr>
          <w:i/>
          <w:color w:val="666666"/>
          <w:sz w:val="18"/>
        </w:rPr>
        <w:t>Bedke J et al.  ·  Ann Oncol  ·  23.10.2026  ·  PMID 42918422</w:t>
      </w:r>
    </w:p>
    <w:p>
      <w:r>
        <w:t>Randomisierte Phase-III-KEYNOTE-866-Studie zur Wirksamkeit von perioperativem Pembrolizumab (Immune Checkpoint Inhibitor) versus Placebo zusätzlich zu neoadjuvanter Chemotherapie und radikaler Zystektomie bei muskelinvasivem Blasenkrebs.</w:t>
      </w:r>
    </w:p>
    <w:p>
      <w:r>
        <w:rPr>
          <w:b/>
        </w:rPr>
        <w:t xml:space="preserve">Ergebnis: </w:t>
      </w:r>
      <w:r>
        <w:t>Bei Median-Follow-up von 60,9 Monaten war die Event-Free-Survival bei 60 Monaten 63,5 % mit Pembrolizumab vs. 61,9 % mit Placebo (HR 0,88; 95%-KI 0,71–1,10; P = 0,1366; nicht signifikant). Pathologische komplette Response 44,4 % vs. 35,8 %. Mediales Gesamtüberleben wurde in beiden Gruppen nicht erreicht (HR 1,00). Grad-≥3-Nebenwirkungen: 80,2 % vs. 75,1 %.</w:t>
      </w:r>
    </w:p>
    <w:p>
      <w:r>
        <w:rPr>
          <w:b/>
          <w:sz w:val="19"/>
        </w:rPr>
        <w:t xml:space="preserve">Übertragbarkeit: </w:t>
      </w:r>
      <w:r>
        <w:rPr>
          <w:sz w:val="19"/>
        </w:rPr>
        <w:t>Europäische und internationale Zentren; Checkpoint-Inhibitor in dieser Indikation nicht standard.</w:t>
      </w:r>
    </w:p>
    <w:p>
      <w:r>
        <w:rPr>
          <w:color w:val="5A7D3A"/>
          <w:sz w:val="18"/>
        </w:rPr>
        <w:t>https://pubmed.ncbi.nlm.nih.gov/42918422/</w:t>
      </w:r>
    </w:p>
    <w:p>
      <w:pPr>
        <w:pStyle w:val="Heading2"/>
      </w:pPr>
      <w:r>
        <w:t>Aktive Überwachung gleichwertig zu Operation bei Speiseröhrenkrebs nach Chemoradiotherapie</w:t>
      </w:r>
    </w:p>
    <w:p>
      <w:r>
        <w:rPr>
          <w:i/>
          <w:color w:val="666666"/>
          <w:sz w:val="18"/>
        </w:rPr>
        <w:t>Panday SSGG et al.  ·  Ann Oncol  ·  23.10.2026  ·  PMID 42918421</w:t>
      </w:r>
    </w:p>
    <w:p>
      <w:r>
        <w:t>Multizentrische, stepped-wedge-randomisierte Nichtunterlegenheitsstudie (Niederlande) zu aktiver Überwachung versus Standard-Ösophagektomie nach neoadjuvanter Chemoradiotherapie bei 309 Patienten mit lokal fortgeschrittenem Ösophaguskrebs und kompletter klinischer Response.</w:t>
      </w:r>
    </w:p>
    <w:p>
      <w:r>
        <w:rPr>
          <w:b/>
        </w:rPr>
        <w:t xml:space="preserve">Ergebnis: </w:t>
      </w:r>
      <w:r>
        <w:t>Bei medianer Nachbeobachtung von 76 Monaten: 5-Jahres-Gesamtüberleben 50 % (95%-KI 43–57 %) aktive Überwachung vs. 54 % (95%-KI 46–64 %) Standard-OP (HR 1,17; 95%-KI 0,77–1,77), nicht signifikant unterschiedlich. Krankheitsfreies Überleben: HR 1,39 (95%-KI 0,94–2,06). Fernmetastasen bei 5 Jahren höher in aktiver Überwachung (46 % vs. 29 %; P &lt; 0,01). 43 % der Patienten unter aktiver Überwachung vermieden Ösophagektomie.</w:t>
      </w:r>
    </w:p>
    <w:p>
      <w:r>
        <w:rPr>
          <w:b/>
          <w:sz w:val="19"/>
        </w:rPr>
        <w:t xml:space="preserve">Übertragbarkeit: </w:t>
      </w:r>
      <w:r>
        <w:rPr>
          <w:sz w:val="19"/>
        </w:rPr>
        <w:t>Niederländische Studie, vergleichbares Versicherungssystem; Watch-and-Wait-Strategie nach nCRT established.</w:t>
      </w:r>
    </w:p>
    <w:p>
      <w:r>
        <w:rPr>
          <w:color w:val="5A7D3A"/>
          <w:sz w:val="18"/>
        </w:rPr>
        <w:t>https://pubmed.ncbi.nlm.nih.gov/42918421/</w:t>
      </w:r>
    </w:p>
    <w:p>
      <w:pPr>
        <w:pStyle w:val="Heading2"/>
      </w:pPr>
      <w:r>
        <w:t>Neoadjuvantes Nivolumab + Chemotherapie verbessert Blasenkrebsergebnisse nicht</w:t>
      </w:r>
    </w:p>
    <w:p>
      <w:r>
        <w:rPr>
          <w:i/>
          <w:color w:val="666666"/>
          <w:sz w:val="18"/>
        </w:rPr>
        <w:t>Sonpavde G et al.  ·  Ann Oncol  ·  31.12.2026  ·  PMID 42918420</w:t>
      </w:r>
    </w:p>
    <w:p>
      <w:r>
        <w:t>Randomisierte Phase-III-CA017-078(ENERGIZE)-Studie zu perioperativem Nivolumab plus Gemcitabin-Cisplatin versus Gemcitabin-Cisplatin allein bei muskelinvasivem Blasenkrebs und Cisplatin-Eignung.</w:t>
      </w:r>
    </w:p>
    <w:p>
      <w:r>
        <w:rPr>
          <w:b/>
        </w:rPr>
        <w:t xml:space="preserve">Ergebnis: </w:t>
      </w:r>
      <w:r>
        <w:t>Bei 54,5 Monaten medianer Nachbeobachtung (325 vs. 328 Patienten): Pathologische komplette Response 39,1 % vs. 29,6 % (adjustierte Differenz 9,5 %; 99,91%-KI −2,6 bis 21,6). Event-Free-Survival zeigte keinen Vorteil (104 Events je Arm; HR 0,94; 95,74%-KI 0,71–1,25; P = 0,6697). Gesamtüberleben: HR 0,88 (deskriptiv, da EFS-Kriterium nicht erfüllt). ctDNA-Clearance bei Zyklus 4: 76,9 % insgesamt; ctDNA prognostisch für EFS und OS.</w:t>
      </w:r>
    </w:p>
    <w:p>
      <w:r>
        <w:rPr>
          <w:b/>
          <w:sz w:val="19"/>
        </w:rPr>
        <w:t xml:space="preserve">Übertragbarkeit: </w:t>
      </w:r>
      <w:r>
        <w:rPr>
          <w:sz w:val="19"/>
        </w:rPr>
        <w:t>Europäische und internationale Zentren; Nivolumab-Kombination in dieser Indikation nicht standard.</w:t>
      </w:r>
    </w:p>
    <w:p>
      <w:r>
        <w:rPr>
          <w:color w:val="5A7D3A"/>
          <w:sz w:val="18"/>
        </w:rPr>
        <w:t>https://pubmed.ncbi.nlm.nih.gov/42918420/</w:t>
      </w:r>
    </w:p>
    <w:p>
      <w:pPr>
        <w:pStyle w:val="Heading2"/>
      </w:pPr>
      <w:r>
        <w:t>Kohlenstoff-Ionentherapie zeigt ermutigende Ergebnisse bei Pankreaskrebs</w:t>
      </w:r>
    </w:p>
    <w:p>
      <w:r>
        <w:rPr>
          <w:i/>
          <w:color w:val="666666"/>
          <w:sz w:val="18"/>
        </w:rPr>
        <w:t>Liermann J et al.  ·  Radiother Oncol  ·  22.10.2026  ·  PMID 42913944</w:t>
      </w:r>
    </w:p>
    <w:p>
      <w:r>
        <w:t>Prospektive Phase-II-PACK-Studie zur Wirksamkeit und Sicherheit von Kohlenstoff-Ionenradiotherapie (CIRT) mit gleichzeitiger Gemcitabin-Chemotherapie bei 23 Patienten mit inoperablem oder lokal rezidiviertem Pankreaskrebs.</w:t>
      </w:r>
    </w:p>
    <w:p>
      <w:r>
        <w:rPr>
          <w:b/>
        </w:rPr>
        <w:t xml:space="preserve">Ergebnis: </w:t>
      </w:r>
      <w:r>
        <w:t>1- und 2-Jahres-Gesamtüberleben betrugen 78 % (95%-KI 63–97 %) und 59 % (95%-KI 41–84 %); Median 26,5 Monate. 1- und 2-Jahres-PFS: 26 % (95%-KI 13–52 %) und 10 % (95%-KI 3–37 %); Median 8,1 Monate. Toxizität: 3 Grad-3-Ereignisse (Bauchschmerzen, obere GI-Blutung, Ureterstriktuur); keine Grad-4/5-Toxizitäten.</w:t>
      </w:r>
    </w:p>
    <w:p>
      <w:r>
        <w:rPr>
          <w:b/>
          <w:sz w:val="19"/>
        </w:rPr>
        <w:t xml:space="preserve">Übertragbarkeit: </w:t>
      </w:r>
      <w:r>
        <w:rPr>
          <w:sz w:val="19"/>
        </w:rPr>
        <w:t>Deutsche Studie (Heidelberg); CIRT-Kapazität in Deutschland begrenzt, erfordert Phase-III-Validation.</w:t>
      </w:r>
    </w:p>
    <w:p>
      <w:r>
        <w:rPr>
          <w:color w:val="5A7D3A"/>
          <w:sz w:val="18"/>
        </w:rPr>
        <w:t>https://pubmed.ncbi.nlm.nih.gov/42913944/</w:t>
      </w:r>
    </w:p>
    <w:p>
      <w:pPr>
        <w:pStyle w:val="Heading1"/>
      </w:pPr>
      <w:r>
        <w:t>Aufgenommen am 23.10.2026</w:t>
      </w:r>
    </w:p>
    <w:p>
      <w:pPr>
        <w:pStyle w:val="Heading2"/>
      </w:pPr>
      <w:r>
        <w:t>Neoadjuvante Immunotherapie bei dMMR-Kolonkarzinom: 100% DFS und OS nach 3-5 Jahren</w:t>
      </w:r>
    </w:p>
    <w:p>
      <w:r>
        <w:rPr>
          <w:i/>
          <w:color w:val="666666"/>
          <w:sz w:val="18"/>
        </w:rPr>
        <w:t>Chalabi M et al.  ·  Lancet  ·  21.10.2026  ·  PMID 42906564</w:t>
      </w:r>
    </w:p>
    <w:p>
      <w:r>
        <w:t>Patienten mit lokal fortgeschrittenem Mismatch-Repair-defizientem Kolonkarzinom erhielten vor der Operation Ipilimumab und Nivolumab.</w:t>
      </w:r>
    </w:p>
    <w:p>
      <w:r>
        <w:rPr>
          <w:b/>
        </w:rPr>
        <w:t xml:space="preserve">Ergebnis: </w:t>
      </w:r>
      <w:r>
        <w:t>Von 111 auswertbaren Patienten betrug die 3-Jahres-Krankheitsfreie Überleben 100% (97,5%-KI 100-100%) und das 5-Jahres-Gesamtüberleben 100% (95%-KI 100-100%). ctDNA-Clearance zeigte sich nach dem zweiten Zyklus bei 82% der Patienten mit verfügbarem Plasma. Diese Ergebnisse unterstützen neoadjuvante Checkpoint-Inhibition als potenzieller neuer Standard für dieses Patientengut.</w:t>
      </w:r>
    </w:p>
    <w:p>
      <w:r>
        <w:rPr>
          <w:b/>
          <w:sz w:val="19"/>
        </w:rPr>
        <w:t xml:space="preserve">Übertragbarkeit: </w:t>
      </w:r>
      <w:r>
        <w:rPr>
          <w:sz w:val="19"/>
        </w:rPr>
        <w:t>Niederlande, vergleichbares Versicherungssystem, Multi-Center-Studie mit europäischen Zentren</w:t>
      </w:r>
    </w:p>
    <w:p>
      <w:r>
        <w:rPr>
          <w:color w:val="5A7D3A"/>
          <w:sz w:val="18"/>
        </w:rPr>
        <w:t>https://pubmed.ncbi.nlm.nih.gov/42906564/</w:t>
      </w:r>
    </w:p>
    <w:p>
      <w:pPr>
        <w:pStyle w:val="Heading2"/>
      </w:pPr>
      <w:r>
        <w:t>CD20-gerichtete CAR-T-Zelltherapie bei rezidivierendem B-Lymphom: responder zeigen anhaltendes Ansprechen</w:t>
      </w:r>
    </w:p>
    <w:p>
      <w:r>
        <w:rPr>
          <w:i/>
          <w:color w:val="666666"/>
          <w:sz w:val="18"/>
        </w:rPr>
        <w:t>Kutsch N et al.  ·  Eur J Cancer  ·  16.10.2026  ·  PMID 42906410</w:t>
      </w:r>
    </w:p>
    <w:p>
      <w:r>
        <w:t>Phase-I-Dosiseskalationsstudie in Deutschland zur CD20-gerichteten CAR-T-Zelltherapie MB-CART20.1 bei 9 schwer vorbehandelten Patienten mit therapieresistentem B-NHL.</w:t>
      </w:r>
    </w:p>
    <w:p>
      <w:r>
        <w:rPr>
          <w:b/>
        </w:rPr>
        <w:t xml:space="preserve">Ergebnis: </w:t>
      </w:r>
      <w:r>
        <w:t>Beste Ansprechrate 56%, davon 33% komplette Remissionen (CR). Ein CR blieb über 5 Jahre stabil. Eine dosislimitierende Toxizität (Grad-4-Neutropenie) bei höherer Dosis. Keine Grad ≥3 Zytokin-Freisetzungssyndrom. CAR-T-Zell-Expansion korrelierte mit klinischem Ansprechen (maximale Zellzahl höher bei Respondern, p=0,0369).</w:t>
      </w:r>
    </w:p>
    <w:p>
      <w:r>
        <w:rPr>
          <w:b/>
          <w:sz w:val="19"/>
        </w:rPr>
        <w:t xml:space="preserve">Übertragbarkeit: </w:t>
      </w:r>
      <w:r>
        <w:rPr>
          <w:sz w:val="19"/>
        </w:rPr>
        <w:t>Deutschland, Universitätsklinik Köln, vergleichbare Gesundheitssysteme, CAR-T-Herstellung vor Ort</w:t>
      </w:r>
    </w:p>
    <w:p>
      <w:r>
        <w:rPr>
          <w:color w:val="5A7D3A"/>
          <w:sz w:val="18"/>
        </w:rPr>
        <w:t>https://pubmed.ncbi.nlm.nih.gov/42906410/</w:t>
      </w:r>
    </w:p>
    <w:p>
      <w:pPr>
        <w:pStyle w:val="Heading1"/>
      </w:pPr>
      <w:r>
        <w:t>Aufgenommen am 22.10.2026</w:t>
      </w:r>
    </w:p>
    <w:p>
      <w:pPr>
        <w:pStyle w:val="Heading2"/>
      </w:pPr>
      <w:r>
        <w:t>Eosinophile im Blut prognostizieren Rezidivrisiko bei HR+/HER2- Brustkrebs</w:t>
      </w:r>
    </w:p>
    <w:p>
      <w:r>
        <w:rPr>
          <w:i/>
          <w:color w:val="666666"/>
          <w:sz w:val="18"/>
        </w:rPr>
        <w:t>Li ZQ et al.  ·  J Clin Oncol  ·  20.10.2026  ·  PMID 42900864</w:t>
      </w:r>
    </w:p>
    <w:p>
      <w:r>
        <w:t>Studie bei 472 Patienten mit HR+/HER2- Brustkrebs zu Assoziation erhöhter zirkulierender Eosinophilen mit Therapieergebnis.</w:t>
      </w:r>
    </w:p>
    <w:p>
      <w:r>
        <w:rPr>
          <w:b/>
        </w:rPr>
        <w:t xml:space="preserve">Ergebnis: </w:t>
      </w:r>
      <w:r>
        <w:t>Höhere präoperative Eosinophilenzahl korrelierte mit signifikant verbessertem rezidivfreiem Überleben (gemessen an fernmetastasenfreiem Überleben). Erhöhte Eosinophilen zeigten additive prognostische Wertigkeit über den 21-Gen-Recurrence-Score hinaus und ließen in der hochriskanten Subgruppe bessere CDK4/6-Inhibitor-Response vorhersagen. In Validierungskohorten (N=23.170) und Tiermodellen bestätigt.</w:t>
      </w:r>
    </w:p>
    <w:p>
      <w:r>
        <w:rPr>
          <w:b/>
          <w:sz w:val="19"/>
        </w:rPr>
        <w:t xml:space="preserve">Übertragbarkeit: </w:t>
      </w:r>
      <w:r>
        <w:rPr>
          <w:sz w:val="19"/>
        </w:rPr>
        <w:t>China, Multiomik-Daten transferierbar auf deutsche Praxiskonzepte zur Risikoschichtung</w:t>
      </w:r>
    </w:p>
    <w:p>
      <w:r>
        <w:rPr>
          <w:color w:val="5A7D3A"/>
          <w:sz w:val="18"/>
        </w:rPr>
        <w:t>https://pubmed.ncbi.nlm.nih.gov/42900864/</w:t>
      </w:r>
    </w:p>
    <w:p>
      <w:pPr>
        <w:pStyle w:val="Heading2"/>
      </w:pPr>
      <w:r>
        <w:t>Lokal ablative Therapie bei HR+/HER2- oligometastasiertem Brustkrebs verbessert Überleben</w:t>
      </w:r>
    </w:p>
    <w:p>
      <w:r>
        <w:rPr>
          <w:i/>
          <w:color w:val="666666"/>
          <w:sz w:val="18"/>
        </w:rPr>
        <w:t>Lacaze JL et al.  ·  Oncologist  ·  19.10.2026  ·  PMID 42898011</w:t>
      </w:r>
    </w:p>
    <w:p>
      <w:r>
        <w:t>Retrospektive Kohorte (2012–2020) mit 145 Patienten mit HR+/HER2- oligometastasiertem Brustkrebs (≤5 Metastasen) zur Frage, wann lokal ablative Therapie (LAT) das Überleben verbessert.</w:t>
      </w:r>
    </w:p>
    <w:p>
      <w:r>
        <w:rPr>
          <w:b/>
        </w:rPr>
        <w:t xml:space="preserve">Ergebnis: </w:t>
      </w:r>
      <w:r>
        <w:t>Mediane OS 81,1 Monate, mediane PFS 26,5 Monate. LAT verbesserte PFS (HR=0,52; 95%-KI 0,29–0,91; p=0,023). Bei Staging mit moderner Bildgebung (18F-FDG-PET/CT oder WB-MRI) zeigte LAT signifikante Verbesserung von OS (HR=0,29; 95%-KI 0,12–0,73; p=0,008) und PFS. Nur 18% entwickelten polymetastatische Progression nach First-line-Therapie.</w:t>
      </w:r>
    </w:p>
    <w:p>
      <w:r>
        <w:rPr>
          <w:b/>
          <w:sz w:val="19"/>
        </w:rPr>
        <w:t xml:space="preserve">Übertragbarkeit: </w:t>
      </w:r>
      <w:r>
        <w:rPr>
          <w:sz w:val="19"/>
        </w:rPr>
        <w:t>Französische Spezialistklinik, Therapieentscheidungen übertragbar auf deutsche Tumorzentren</w:t>
      </w:r>
    </w:p>
    <w:p>
      <w:r>
        <w:rPr>
          <w:color w:val="5A7D3A"/>
          <w:sz w:val="18"/>
        </w:rPr>
        <w:t>https://pubmed.ncbi.nlm.nih.gov/42898011/</w:t>
      </w:r>
    </w:p>
    <w:p>
      <w:pPr>
        <w:pStyle w:val="Heading2"/>
      </w:pPr>
      <w:r>
        <w:t>Real-World-PFS validiert als Surrogatendpunkt für Gesamtüberleben bei metastasiertem Brustkrebs</w:t>
      </w:r>
    </w:p>
    <w:p>
      <w:r>
        <w:rPr>
          <w:i/>
          <w:color w:val="666666"/>
          <w:sz w:val="18"/>
        </w:rPr>
        <w:t>Labaki C et al.  ·  J Natl Cancer Inst  ·  19.10.2026  ·  PMID 42898006</w:t>
      </w:r>
    </w:p>
    <w:p>
      <w:r>
        <w:t>Retrospektive US-Kohortenstudie (Flatiron Health) mit 19.164 Patienten mit metastasiertem Brustkrebs zur Validierung von Intermediate Clinical Endpoints als Surrogate für Overall Survival.</w:t>
      </w:r>
    </w:p>
    <w:p>
      <w:r>
        <w:rPr>
          <w:b/>
        </w:rPr>
        <w:t xml:space="preserve">Ergebnis: </w:t>
      </w:r>
      <w:r>
        <w:t>Mediane OS 36,3 Monate (95%-KI 35,6–37,2). Real-World-PFS, Time to Next Line und Time to Last Treatment Administration zeigten hohe Korrelation mit OS (Kendall's tau ≥0,5; R²≥0,7 bei 36-Monats-OS und 12-Monats-Raten). Nur rwPFS erfüllte beide Surrogacy-Bedingungen mit R²≥0,7 über alle Subgruppenvergleiche.</w:t>
      </w:r>
    </w:p>
    <w:p>
      <w:r>
        <w:rPr>
          <w:b/>
          <w:sz w:val="19"/>
        </w:rPr>
        <w:t xml:space="preserve">Übertragbarkeit: </w:t>
      </w:r>
      <w:r>
        <w:rPr>
          <w:sz w:val="19"/>
        </w:rPr>
        <w:t>USA-Versorgungsdaten, Rahmenwerk übertragbar auf deutsche Real-World-Analysen</w:t>
      </w:r>
    </w:p>
    <w:p>
      <w:r>
        <w:rPr>
          <w:color w:val="5A7D3A"/>
          <w:sz w:val="18"/>
        </w:rPr>
        <w:t>https://pubmed.ncbi.nlm.nih.gov/42898006/</w:t>
      </w:r>
    </w:p>
    <w:p>
      <w:pPr>
        <w:pStyle w:val="Heading2"/>
      </w:pPr>
      <w:r>
        <w:t>Baseline-Lungenabnormitäten erhöhen Risiko für T-DXd-bedingte interstitielle Lungenerkrankung</w:t>
      </w:r>
    </w:p>
    <w:p>
      <w:r>
        <w:rPr>
          <w:i/>
          <w:color w:val="666666"/>
          <w:sz w:val="18"/>
        </w:rPr>
        <w:t>Nakamura T et al.  ·  Oncologist  ·  19.10.2026  ·  PMID 42897999</w:t>
      </w:r>
    </w:p>
    <w:p>
      <w:r>
        <w:t>Retrospektive Kohorte (156 Patienten, Juni 2020–Mai 2025) in Japan zu Baseline-CT-Befunden vor T-DXd-Therapie und deren Assoziation mit T-DXd-bedingter interstitieller Lungenerkrankung (ILD).</w:t>
      </w:r>
    </w:p>
    <w:p>
      <w:r>
        <w:rPr>
          <w:b/>
        </w:rPr>
        <w:t xml:space="preserve">Ergebnis: </w:t>
      </w:r>
      <w:r>
        <w:t>T-DXd-bedingte ILD trat in 31 Patienten auf (20%). Bei Baseline-ILAs waren es 19/50 (38%), ohne ILAs 12/106 (11%). Baseline-ILA-Status assoziiert mit erhöhter kumulativer ILD-Inzidenz (Subdistribution-Hazard-Ratio 3,56; 95%-KI 1,63–7,78; p=0,001). Kein signifikanter Unterschied zwischen equivokalen und definitiven ILAs. Kein Unterschied in PFS oder OS nach ILA-Status.</w:t>
      </w:r>
    </w:p>
    <w:p>
      <w:r>
        <w:rPr>
          <w:b/>
          <w:sz w:val="19"/>
        </w:rPr>
        <w:t xml:space="preserve">Übertragbarkeit: </w:t>
      </w:r>
      <w:r>
        <w:rPr>
          <w:sz w:val="19"/>
        </w:rPr>
        <w:t>Japan, Sicherheitsmonitoring übertragbar auf deutsche Praxen mit T-DXd-Einsatz</w:t>
      </w:r>
    </w:p>
    <w:p>
      <w:r>
        <w:rPr>
          <w:color w:val="5A7D3A"/>
          <w:sz w:val="18"/>
        </w:rPr>
        <w:t>https://pubmed.ncbi.nlm.nih.gov/42897999/</w:t>
      </w:r>
    </w:p>
    <w:p>
      <w:pPr>
        <w:pStyle w:val="Heading2"/>
      </w:pPr>
      <w:r>
        <w:t>TACL-Konsensus: kardiotoxizitätsgerechte Dosisindividualisierung in pädiatrischen Relaps-Studien</w:t>
      </w:r>
    </w:p>
    <w:p>
      <w:r>
        <w:rPr>
          <w:i/>
          <w:color w:val="666666"/>
          <w:sz w:val="18"/>
        </w:rPr>
        <w:t>Colace SI et al.  ·  J Natl Cancer Inst  ·  19.10.2026  ·  PMID 42895291</w:t>
      </w:r>
    </w:p>
    <w:p>
      <w:r>
        <w:t>Konsensus-Task-Force des TACL-Konsortiums zu evidenzgestützten Empfehlungen für kardialen Screening, Monitoring und Cardioprotection bei Kindern mit rezidiviertem/refraktärem hämatologischem Malignom in Relaps-Studien.</w:t>
      </w:r>
    </w:p>
    <w:p>
      <w:r>
        <w:rPr>
          <w:b/>
        </w:rPr>
        <w:t xml:space="preserve">Ergebnis: </w:t>
      </w:r>
      <w:r>
        <w:t>Fünf Leitempfehlungen: (1) Therapieausschluss basierend auf individuellen Risikofaktoren und realtimem Cardiac Function statt historischen Anthrazyklin-Dosen; (2) umfassendes Monitoring vor, während und nach Therapie erforderlich; (3) liberale Cardioprotection empfohlen; (4) einheitliche, evidenzgestützte Managementprotokolle für kardiale Dysfunktion; (5) Korrelative Cardiac Aims sollten Protokolle mit kardiotoxischem Potenzial begleiten.</w:t>
      </w:r>
    </w:p>
    <w:p>
      <w:r>
        <w:rPr>
          <w:b/>
          <w:sz w:val="19"/>
        </w:rPr>
        <w:t xml:space="preserve">Übertragbarkeit: </w:t>
      </w:r>
      <w:r>
        <w:rPr>
          <w:sz w:val="19"/>
        </w:rPr>
        <w:t>USA-Kinderkrebszentren, Ansätze übertragbar auf deutsche Zentren für pädiatrische Relaps-Behandlung</w:t>
      </w:r>
    </w:p>
    <w:p>
      <w:r>
        <w:rPr>
          <w:color w:val="5A7D3A"/>
          <w:sz w:val="18"/>
        </w:rPr>
        <w:t>https://pubmed.ncbi.nlm.nih.gov/42895291/</w:t>
      </w:r>
    </w:p>
    <w:p>
      <w:pPr>
        <w:pStyle w:val="Heading2"/>
      </w:pPr>
      <w:r>
        <w:t>Proteom-Biomarker unterscheiden präklinisch Kolon- von Rektumkarzinom-Risiko</w:t>
      </w:r>
    </w:p>
    <w:p>
      <w:r>
        <w:rPr>
          <w:i/>
          <w:color w:val="666666"/>
          <w:sz w:val="18"/>
        </w:rPr>
        <w:t>Zhang X et al.  ·  J Natl Cancer Inst  ·  19.10.2026  ·  PMID 42895287</w:t>
      </w:r>
    </w:p>
    <w:p>
      <w:r>
        <w:t>Prospektive Kohortenstudie (3 Kohorten, 851 KRK-Fälle, Median 7 Jahre Follow-up) zu prädiagnostischen Plasma-Proteinen 1–7 Jahre vor Krebsdiagnose mittels Olink-Panel.</w:t>
      </w:r>
    </w:p>
    <w:p>
      <w:r>
        <w:rPr>
          <w:b/>
        </w:rPr>
        <w:t xml:space="preserve">Ergebnis: </w:t>
      </w:r>
      <w:r>
        <w:t>12 Proteine zeigten signifikante gepaarte Unterschiede zwischen KRK-Fällen und Kontrollen (FDR&lt;0,1) mit moderaten Effektgrößen. Protein-Profile unterschieden sich signifikant zwischen Kolon- und Rektumkarzinom (p=0,005). Für Kolonkarzinom: 11/12 Proteine niedriger, BCAN-Assoziation OR 0,83 (95%-KI 0,74–0,94) mit hoher Kohärenz (I²&lt;0,01). Für Rektumkarzinom: 25/28 Proteine höher, HDGF OR 1,75 (95%-KI 1,15–2,66; I²&lt;0,01).</w:t>
      </w:r>
    </w:p>
    <w:p>
      <w:r>
        <w:rPr>
          <w:b/>
          <w:sz w:val="19"/>
        </w:rPr>
        <w:t xml:space="preserve">Übertragbarkeit: </w:t>
      </w:r>
      <w:r>
        <w:rPr>
          <w:sz w:val="19"/>
        </w:rPr>
        <w:t>USA &amp; Australien, Proteom-Klassifizierung grundlagenorientiert, Validierung in EU-Kohorten pending</w:t>
      </w:r>
    </w:p>
    <w:p>
      <w:r>
        <w:rPr>
          <w:color w:val="5A7D3A"/>
          <w:sz w:val="18"/>
        </w:rPr>
        <w:t>https://pubmed.ncbi.nlm.nih.gov/42895287/</w:t>
      </w:r>
    </w:p>
    <w:p>
      <w:pPr>
        <w:pStyle w:val="Heading1"/>
      </w:pPr>
      <w:r>
        <w:t>Aufgenommen am 21.10.2026</w:t>
      </w:r>
    </w:p>
    <w:p>
      <w:pPr>
        <w:pStyle w:val="Heading2"/>
      </w:pPr>
      <w:r>
        <w:t>Genetische Varianten als Risikofaktoren für Trastuzumab-Deruxtecan-bedingte Lungentoxizität</w:t>
      </w:r>
    </w:p>
    <w:p>
      <w:r>
        <w:rPr>
          <w:i/>
          <w:color w:val="666666"/>
          <w:sz w:val="18"/>
        </w:rPr>
        <w:t>Arenas A et al.  ·  ESMO Open  ·  20.10.2026  ·  PMID 42901050</w:t>
      </w:r>
    </w:p>
    <w:p>
      <w:r>
        <w:t>Spanische multizentrische Studie untersuchte Keimbahnvarianten bei 290 Patienten mit HER2-positivem oder HER2-low metastasiertem Brustkrebs unter Trastuzumab-Deruxtecan mittels genomischer Analyse in Bezug auf interstitielle Lungenerkrankung (ILD).</w:t>
      </w:r>
    </w:p>
    <w:p>
      <w:r>
        <w:rPr>
          <w:b/>
        </w:rPr>
        <w:t xml:space="preserve">Ergebnis: </w:t>
      </w:r>
      <w:r>
        <w:t>Bei 11,4% trat ILD auf. Stärkste Assoziationen in der HLA-Region (rs9258213 near HLA-F: OR 6,8, 95%-KI 2,6–17,9, p=9,5×10⁻⁵). Zusätzliche Assoziationen in SLCO1B1 und CYP3A4-Genen. Kein definitiver pharmacogenomischer Prädiktor identifiziert, aber Mechanismus-Einblicke gewonnen.</w:t>
      </w:r>
    </w:p>
    <w:p>
      <w:r>
        <w:rPr>
          <w:b/>
          <w:sz w:val="19"/>
        </w:rPr>
        <w:t xml:space="preserve">Übertragbarkeit: </w:t>
      </w:r>
      <w:r>
        <w:rPr>
          <w:sz w:val="19"/>
        </w:rPr>
        <w:t>Spanisches Gesundheitssystem, vergleichbare Dokumentation; Befund ist sicherheitsrelevant übertragbar.</w:t>
      </w:r>
    </w:p>
    <w:p>
      <w:r>
        <w:rPr>
          <w:color w:val="5A7D3A"/>
          <w:sz w:val="18"/>
        </w:rPr>
        <w:t>https://pubmed.ncbi.nlm.nih.gov/42901050/</w:t>
      </w:r>
    </w:p>
    <w:p>
      <w:pPr>
        <w:pStyle w:val="Heading2"/>
      </w:pPr>
      <w:r>
        <w:t>Protontherapie vs. Photonentherapie bei Oropharynxkarzinom: Vorteil bei Akutnebenwirkungen, nicht bei Kontrolle</w:t>
      </w:r>
    </w:p>
    <w:p>
      <w:r>
        <w:rPr>
          <w:i/>
          <w:color w:val="666666"/>
          <w:sz w:val="18"/>
        </w:rPr>
        <w:t>You J et al.  ·  ESMO Open  ·  20.10.2026  ·  PMID 42901049</w:t>
      </w:r>
    </w:p>
    <w:p>
      <w:r>
        <w:t>Metaanalyse von zwei Phase-III-Studien und einer Matched-Cohort-Studie verglich Intensität-modulierte Protontherapie (IMPT) mit konventioneller IMRT bei Oropharynxkarzinom in Bezug auf Rezidiv-, Überlebens- und Toxizitätsraten.</w:t>
      </w:r>
    </w:p>
    <w:p>
      <w:r>
        <w:rPr>
          <w:b/>
        </w:rPr>
        <w:t xml:space="preserve">Ergebnis: </w:t>
      </w:r>
      <w:r>
        <w:t>Hazard Ratio für lokoregionales Rezidiv 1,37 (95%-KI 0,56–3,36); Progression-Free Survival HR 0,90 (0,61–1,33); Overall Survival HR 0,79 (0,32–1,98). Grad-3-Dysphagie trat bei 24% (IMPT) vs. 40,9% (IMRT) auf (RR 0,65, 95%-KI 0,51–0,84). Grad-3-Xerostomie/Trockenheit bei 19,9% vs. 32,5% (RR 0,72, 95%-KI 0,54–0,95). Ernährungsoutcomes ohne definitiven Vorteil.</w:t>
      </w:r>
    </w:p>
    <w:p>
      <w:r>
        <w:rPr>
          <w:b/>
          <w:sz w:val="19"/>
        </w:rPr>
        <w:t xml:space="preserve">Übertragbarkeit: </w:t>
      </w:r>
      <w:r>
        <w:rPr>
          <w:sz w:val="19"/>
        </w:rPr>
        <w:t>Internationale Daten, methodenvergleichend; Sicherheitsbefund ist systemunabhängig übertragbar.</w:t>
      </w:r>
    </w:p>
    <w:p>
      <w:r>
        <w:rPr>
          <w:color w:val="5A7D3A"/>
          <w:sz w:val="18"/>
        </w:rPr>
        <w:t>https://pubmed.ncbi.nlm.nih.gov/42901049/</w:t>
      </w:r>
    </w:p>
    <w:p>
      <w:pPr>
        <w:pStyle w:val="Heading2"/>
      </w:pPr>
      <w:r>
        <w:t>FLOT-Perioperative Therapie: internationales Expertenkonsens zu Patientenselektion und Toxizitätsmanagement</w:t>
      </w:r>
    </w:p>
    <w:p>
      <w:r>
        <w:rPr>
          <w:i/>
          <w:color w:val="666666"/>
          <w:sz w:val="18"/>
        </w:rPr>
        <w:t>Saeed A et al.  ·  JCO Oncol Pract  ·  20.10.2026  ·  PMID 42900867</w:t>
      </w:r>
    </w:p>
    <w:p>
      <w:r>
        <w:t>Multidisziplinäres internationales Expertenpanel erarbeitete mittels modifizierter Delphi-Methode Konsensaussagen zur Selektion, Optimierung und Behandlung von Nebenwirkungen bei perioperativer FLOT-Chemotherapie bei resektablem Magen- und Ösophaguskarzinom.</w:t>
      </w:r>
    </w:p>
    <w:p>
      <w:r>
        <w:rPr>
          <w:b/>
        </w:rPr>
        <w:t xml:space="preserve">Ergebnis: </w:t>
      </w:r>
      <w:r>
        <w:t>Konsens wurde zu 66,3% der Statements erreicht. Experten einigten sich: Patienten &gt;70 Jahre sollten nicht routinemäßig ausgeschlossen werden; ECOG-PS 0–1 ist angemessen, PS 0–2 kann einzelfallweise erwogen werden. Universelles Screening auf Mangelernährung, strukturierte physische Aktivität und Dosismodifikation statt Weglassen von Wirkstoffen wurden unterstützt. 94–100% Konsens bei klinischer Anwendung.</w:t>
      </w:r>
    </w:p>
    <w:p>
      <w:r>
        <w:rPr>
          <w:b/>
          <w:sz w:val="19"/>
        </w:rPr>
        <w:t xml:space="preserve">Übertragbarkeit: </w:t>
      </w:r>
      <w:r>
        <w:rPr>
          <w:sz w:val="19"/>
        </w:rPr>
        <w:t>Deutschsprachiger Raum mitrepräsentiert; vergleichbare Versorgungsstrukturen und Leitlinien.</w:t>
      </w:r>
    </w:p>
    <w:p>
      <w:r>
        <w:rPr>
          <w:color w:val="5A7D3A"/>
          <w:sz w:val="18"/>
        </w:rPr>
        <w:t>https://pubmed.ncbi.nlm.nih.gov/42900867/</w:t>
      </w:r>
    </w:p>
    <w:p>
      <w:pPr>
        <w:pStyle w:val="Heading2"/>
      </w:pPr>
      <w:r>
        <w:t>Versicherungsschutz reduziert Kolorektalkrebs-Mortalität um 31 Prozent – Modellstudie</w:t>
      </w:r>
    </w:p>
    <w:p>
      <w:r>
        <w:rPr>
          <w:i/>
          <w:color w:val="666666"/>
          <w:sz w:val="18"/>
        </w:rPr>
        <w:t>van den Puttelaar R et al.  ·  J Natl Cancer Inst  ·  20.10.2026  ·  PMID 42899410</w:t>
      </w:r>
    </w:p>
    <w:p>
      <w:r>
        <w:t>US-Modellierungsstudie (MISCAN-Colon) quantifizierte die Auswirkungen von Versicherungszugang auf Kolorektalkrebs-Screening, Staging und Überlebensraten in der vormals unversicherten US-Population 2025–2055.</w:t>
      </w:r>
    </w:p>
    <w:p>
      <w:r>
        <w:rPr>
          <w:b/>
        </w:rPr>
        <w:t xml:space="preserve">Ergebnis: </w:t>
      </w:r>
      <w:r>
        <w:t>Bei Gewinnung von Versicherungsschutz wären 2055 pro 100.000 Einwohner 22 von 73 Todesfällen (30,7%) vermeidbar. Inzidenz sank um 8,9% (15 Fälle). Behandlungskosten sanken um 4,8% (−1,37 Mio. USD pro 100.000), Screening-Kosten stiegen um 41,7% (+2,66 Mio.). Netto-Kostensteigerung 3,7%.</w:t>
      </w:r>
    </w:p>
    <w:p>
      <w:r>
        <w:rPr>
          <w:b/>
          <w:sz w:val="19"/>
        </w:rPr>
        <w:t xml:space="preserve">Übertragbarkeit: </w:t>
      </w:r>
      <w:r>
        <w:rPr>
          <w:sz w:val="19"/>
        </w:rPr>
        <w:t>USA mit grundlegend anderem System; Kausalaussage zu Zugang und Outcome ist universell, Kostengefüge nicht übertragbar.</w:t>
      </w:r>
    </w:p>
    <w:p>
      <w:r>
        <w:rPr>
          <w:color w:val="5A7D3A"/>
          <w:sz w:val="18"/>
        </w:rPr>
        <w:t>https://pubmed.ncbi.nlm.nih.gov/42899410/</w:t>
      </w:r>
    </w:p>
    <w:p>
      <w:pPr>
        <w:pStyle w:val="Heading2"/>
      </w:pPr>
      <w:r>
        <w:t>Finnische Real-World-Daten: NATALEE/monarchE-Patienten mit HR+/HER2− Brustkrebs haben 5-Jahres-iDFS von 76,8–82,5 Prozent</w:t>
      </w:r>
    </w:p>
    <w:p>
      <w:r>
        <w:rPr>
          <w:i/>
          <w:color w:val="666666"/>
          <w:sz w:val="18"/>
        </w:rPr>
        <w:t>Voutilainen S et al.  ·  Oncologist  ·  20.10.2026  ·  PMID 42899399</w:t>
      </w:r>
    </w:p>
    <w:p>
      <w:r>
        <w:t>Finnische bevölkerungsbasierte retrospektive Kohortenstudie von 8.911 Patienten mit HR+/HER2-negativem Frühbrust krebs 2014–2023, stratifiziert nach NATALEE (40,4%) und monarchE-Eligibilität (15,0%), mit Nachverfolgung von 5,2 Jahren.</w:t>
      </w:r>
    </w:p>
    <w:p>
      <w:r>
        <w:rPr>
          <w:b/>
        </w:rPr>
        <w:t xml:space="preserve">Ergebnis: </w:t>
      </w:r>
      <w:r>
        <w:t>NATALEE-eligible: 5-Jahres-iDFS 82,5% vs. 89,6% (nicht-eligible), DDFS 88,3% vs. 94,5%, OS 90,9% vs. 95,6%. monarchE-eligible: iDFS 76,8% vs. 88,4%, DDFS 82,3% vs. 93,8%, OS 86,8% vs. 94,9%. Metastasenprogression 3- bis 6-fach häufiger in eligible-Gruppen. Leitlinien-Eligibilitätskriterien zeigten verlässlich schlechtere Prognose.</w:t>
      </w:r>
    </w:p>
    <w:p>
      <w:r>
        <w:rPr>
          <w:b/>
          <w:sz w:val="19"/>
        </w:rPr>
        <w:t xml:space="preserve">Übertragbarkeit: </w:t>
      </w:r>
      <w:r>
        <w:rPr>
          <w:sz w:val="19"/>
        </w:rPr>
        <w:t>Finnland mit vergleichbarem Versicherungssystem; Real-World-Evidenz validiert Trialdaten.</w:t>
      </w:r>
    </w:p>
    <w:p>
      <w:r>
        <w:rPr>
          <w:color w:val="5A7D3A"/>
          <w:sz w:val="18"/>
        </w:rPr>
        <w:t>https://pubmed.ncbi.nlm.nih.gov/42899399/</w:t>
      </w:r>
    </w:p>
    <w:p>
      <w:pPr>
        <w:pStyle w:val="Heading2"/>
      </w:pPr>
      <w:r>
        <w:t>Pankreaskrebspatienten: Expertenkonsens zu Enzymersatztherapie verbessert Therapietoleranzhaltung</w:t>
      </w:r>
    </w:p>
    <w:p>
      <w:r>
        <w:rPr>
          <w:i/>
          <w:color w:val="666666"/>
          <w:sz w:val="18"/>
        </w:rPr>
        <w:t>Gallagher D et al.  ·  Oncologist  ·  20.10.2026  ·  PMID 42899395</w:t>
      </w:r>
    </w:p>
    <w:p>
      <w:r>
        <w:t>Multidisziplinäre US-Delphi-Konsensus-Studie mit 17 Experten (Onkologen, Ernährungsfachkräfte) zur Standardisierung von Dosierung, Patientenschulung und Langzeitmanagement der Pankreasenzymersatztherapie (PERT) bei exokriner Pankreasinsuffizienz (EPI) in Pankreaskrebs.</w:t>
      </w:r>
    </w:p>
    <w:p>
      <w:r>
        <w:rPr>
          <w:b/>
        </w:rPr>
        <w:t xml:space="preserve">Ergebnis: </w:t>
      </w:r>
      <w:r>
        <w:t>15 finale Konsensaussagen mit ≥81% Übereinstimmung erreicht; 6 Aussagen zu klinischer Anwendung mit 94–100% Konsens. Empfohlene Startdosen: 48.000–72.000 Lipase-Units pro Mahlzeit. Standardisierte Titraturprotokolle, mehrstufige Patientenschulung und Strategien zur Reduktion finanzieller und Pillen-Belastung definiert.</w:t>
      </w:r>
    </w:p>
    <w:p>
      <w:r>
        <w:rPr>
          <w:b/>
          <w:sz w:val="19"/>
        </w:rPr>
        <w:t xml:space="preserve">Übertragbarkeit: </w:t>
      </w:r>
      <w:r>
        <w:rPr>
          <w:sz w:val="19"/>
        </w:rPr>
        <w:t>USA; Verfahren ist unabhängig vom Gesundheitssystem, Konsenssicherung methodisch übertragbar.</w:t>
      </w:r>
    </w:p>
    <w:p>
      <w:r>
        <w:rPr>
          <w:color w:val="5A7D3A"/>
          <w:sz w:val="18"/>
        </w:rPr>
        <w:t>https://pubmed.ncbi.nlm.nih.gov/42899395/</w:t>
      </w:r>
    </w:p>
    <w:p>
      <w:pPr>
        <w:pStyle w:val="Heading2"/>
      </w:pPr>
      <w:r>
        <w:t>Multiomik-Klassifizierung vorhersagt MRD-Negativität bei Myelom-Induktion mit Isatuximab-Karpfilzomib-Lenalidomid (Isa-KRd) mit AUC 0,77</w:t>
      </w:r>
    </w:p>
    <w:p>
      <w:r>
        <w:rPr>
          <w:i/>
          <w:color w:val="666666"/>
          <w:sz w:val="18"/>
        </w:rPr>
        <w:t>Magrangeas F et al.  ·  Nat Med  ·  19.10.2026  ·  PMID 42897348</w:t>
      </w:r>
    </w:p>
    <w:p>
      <w:r>
        <w:t>Französisch-amerikanische Studie integrierte Genom-, Transkriptom- und Epigenomprofiling von 423 Neudiagnose-Myelom-Proben zur Vorhersage von Minimal Residual Disease (MRD) nach Quadruplet-Induktion mit Isa-KRd.</w:t>
      </w:r>
    </w:p>
    <w:p>
      <w:r>
        <w:rPr>
          <w:b/>
        </w:rPr>
        <w:t xml:space="preserve">Ergebnis: </w:t>
      </w:r>
      <w:r>
        <w:t>HP1/HP3 und MS Genexpressions-Subtypen zeigten höhere MRD-Negativitätsraten als MF und CD2. B-Zell-Differenzierung assoziiert mit MRD-Positivität; Proliferation und MYC-Programme mit MRD-Negativität. Multimodales Random-Forest-Modell mit genomischen, transkriptomischen und epigenomischen Merkmalen erreichte AUC 0,77, übertraf klinische und genomische Einzelmodelle. Driver-Gene CCND1 und MYC korreliert mit differenziellem MRD-Outcome.</w:t>
      </w:r>
    </w:p>
    <w:p>
      <w:r>
        <w:rPr>
          <w:b/>
          <w:sz w:val="19"/>
        </w:rPr>
        <w:t xml:space="preserve">Übertragbarkeit: </w:t>
      </w:r>
      <w:r>
        <w:rPr>
          <w:sz w:val="19"/>
        </w:rPr>
        <w:t>Europäisch-amerikanische Kooperation, französisches Registernetzwerk; Klassifizierungssystem methodisch übertragbar.</w:t>
      </w:r>
    </w:p>
    <w:p>
      <w:r>
        <w:rPr>
          <w:color w:val="5A7D3A"/>
          <w:sz w:val="18"/>
        </w:rPr>
        <w:t>https://pubmed.ncbi.nlm.nih.gov/42897348/</w:t>
      </w:r>
    </w:p>
    <w:p>
      <w:pPr>
        <w:pStyle w:val="Heading1"/>
      </w:pPr>
      <w:r>
        <w:t>Aufgenommen am 20.10.2026</w:t>
      </w:r>
    </w:p>
    <w:p>
      <w:pPr>
        <w:pStyle w:val="Heading2"/>
      </w:pPr>
      <w:r>
        <w:t>Hypofraktionierte Strahlentherapie nach Mastektomie zeigt Nichtunterlegenheit bei reduzierter akuter Toxizität</w:t>
      </w:r>
    </w:p>
    <w:p>
      <w:r>
        <w:rPr>
          <w:i/>
          <w:color w:val="666666"/>
          <w:sz w:val="18"/>
        </w:rPr>
        <w:t>Wang X et al.  ·  J Clin Oncol  ·  19.10.2026  ·  PMID 42896129</w:t>
      </w:r>
    </w:p>
    <w:p>
      <w:r>
        <w:t>Randomisierte Phase-III-Studie: Bei 1.429 Patientinnen mit Hochrisiko-Brustkrebs nach Mastektomie wurde hypofraktionierte (16×2,66 Gy) vs. konventionell fraktionierte (25×2 Gy) Radiotherapie mit regionaler Lymphknotenbestrahlung verglichen.</w:t>
      </w:r>
    </w:p>
    <w:p>
      <w:r>
        <w:rPr>
          <w:b/>
        </w:rPr>
        <w:t xml:space="preserve">Ergebnis: </w:t>
      </w:r>
      <w:r>
        <w:t>Nach Median-Nachbeobachtung von 58,1 Monaten: 5-Jahres-Lokalrezidivrate 1,7% (hypofraktioniert) vs. 2,2% (konventionell), Hazard Ratio 0,69 (95%-KI 0,32–1,51), Nichtunterlegenheit erfüllt (p=0,017). Akute Grad-3-Hautnebenwirkungen deutlich niedriger mit Hypofraktionierung (1,7% vs. 12,2%, p&lt;0,001). Kardiopulmonale Verträglichkeit exzellent in beiden Armen.</w:t>
      </w:r>
    </w:p>
    <w:p>
      <w:r>
        <w:rPr>
          <w:b/>
          <w:sz w:val="19"/>
        </w:rPr>
        <w:t xml:space="preserve">Übertragbarkeit: </w:t>
      </w:r>
      <w:r>
        <w:rPr>
          <w:sz w:val="19"/>
        </w:rPr>
        <w:t>Phase-III-Daten aus China, vergleichbare Hochrisikodef, Effekt auf Standardpraxis</w:t>
      </w:r>
    </w:p>
    <w:p>
      <w:r>
        <w:rPr>
          <w:color w:val="5A7D3A"/>
          <w:sz w:val="18"/>
        </w:rPr>
        <w:t>https://pubmed.ncbi.nlm.nih.gov/42896129/</w:t>
      </w:r>
    </w:p>
    <w:p>
      <w:pPr>
        <w:pStyle w:val="Heading2"/>
      </w:pPr>
      <w:r>
        <w:t>Lynch-Syndrom: MSH2-Träger profitieren von Koloskopie-Screening, MLH1-Träger zeigen alternative Karzinogenese</w:t>
      </w:r>
    </w:p>
    <w:p>
      <w:r>
        <w:rPr>
          <w:i/>
          <w:color w:val="666666"/>
          <w:sz w:val="18"/>
        </w:rPr>
        <w:t>Briollais L et al.  ·  J Natl Cancer Inst  ·  19.10.2026  ·  PMID 42895288</w:t>
      </w:r>
    </w:p>
    <w:p>
      <w:r>
        <w:t>Prospektive Kohortenstudie an kanadischen Lynch-Syndrom-Patienten mit Familienregister: Joint-Model für Koloskopie-Häufigkeit, Adenomzahl und Kolonkrebsrisiko bei MLH1- vs. MSH2-Mutation-Trägern entwickelt und validiert.</w:t>
      </w:r>
    </w:p>
    <w:p>
      <w:r>
        <w:rPr>
          <w:b/>
        </w:rPr>
        <w:t xml:space="preserve">Ergebnis: </w:t>
      </w:r>
      <w:r>
        <w:t>Nach 10 Jahren Follow-up bei Patienten mit Adenomen: Kolonkrebsrisiko in MLH1-Trägern 7,9% (95%-KI 3,9–15,8%, Männer) vs. 4,0% (95%-KI 1,6–9,6%, MSH2). Bei Frauen 4,2% (MLH1) vs. 1,6% (MSH2). Frequentere Koloskopien reduzierten Risiko nur bei MSH2-Mutation, nicht bei MLH1. Befund deutet auf unterschiedliche Karzinogenese-Pfade.</w:t>
      </w:r>
    </w:p>
    <w:p>
      <w:r>
        <w:rPr>
          <w:b/>
          <w:sz w:val="19"/>
        </w:rPr>
        <w:t xml:space="preserve">Übertragbarkeit: </w:t>
      </w:r>
      <w:r>
        <w:rPr>
          <w:sz w:val="19"/>
        </w:rPr>
        <w:t>Kanada, Familienregister, Implikation für Nachsorgestratifizierung</w:t>
      </w:r>
    </w:p>
    <w:p>
      <w:r>
        <w:rPr>
          <w:color w:val="5A7D3A"/>
          <w:sz w:val="18"/>
        </w:rPr>
        <w:t>https://pubmed.ncbi.nlm.nih.gov/42895288/</w:t>
      </w:r>
    </w:p>
    <w:p>
      <w:pPr>
        <w:pStyle w:val="Heading2"/>
      </w:pPr>
      <w:r>
        <w:t>Adjuvante Radiotherapie beim Plattenepithelkarzinom der Haut: Delphi-Konsens zu Indikationen, Dosis und Timing</w:t>
      </w:r>
    </w:p>
    <w:p>
      <w:r>
        <w:rPr>
          <w:i/>
          <w:color w:val="666666"/>
          <w:sz w:val="18"/>
        </w:rPr>
        <w:t>Stevens JS et al.  ·  Int J Radiat Oncol Biol Phys  ·  16.10.2026  ·  PMID 42887677</w:t>
      </w:r>
    </w:p>
    <w:p>
      <w:r>
        <w:t>Delphi-Panel mit 35 Experten aus Strahlentherapie, Dermatologie, Chirurgie entwickelte Konsensusempfehlungen für adjuvante Radiotherapie bei nodal-negativem High-Stage-Kutanmelanom nach Operation.</w:t>
      </w:r>
    </w:p>
    <w:p>
      <w:r>
        <w:rPr>
          <w:b/>
        </w:rPr>
        <w:t xml:space="preserve">Ergebnis: </w:t>
      </w:r>
      <w:r>
        <w:t>Konsens (≥80% Konkordanz): ART empfohlen bei positiven Rändern (100%), 5-Jahres-Lokalrezidiv-Inzidenz ≥20% (83%), kortikale Knochenerosion (91%), Schädelbasis-Invasion (91%), ≥4 Risikofaktoren (100%), ≥3 RF (86–94%), PNI ≥0,1mm + ein RF (86%). Immunsupprimierte Patienten: 86% würden ART eher empfehlen. Optimales Zeitfenster 4–8 Wochen (100% RO). Dosen 60–66 Gy/2 Gy pro Fraktion (100%) oder 50–55 Gy/2,5 Gy (87%) bevorzugt.</w:t>
      </w:r>
    </w:p>
    <w:p>
      <w:r>
        <w:rPr>
          <w:b/>
          <w:sz w:val="19"/>
        </w:rPr>
        <w:t xml:space="preserve">Übertragbarkeit: </w:t>
      </w:r>
      <w:r>
        <w:rPr>
          <w:sz w:val="19"/>
        </w:rPr>
        <w:t>USA-basiert, aber standardisiert Behandlungsrahmen, vergleichbar mit deutschen Zentren</w:t>
      </w:r>
    </w:p>
    <w:p>
      <w:r>
        <w:rPr>
          <w:color w:val="5A7D3A"/>
          <w:sz w:val="18"/>
        </w:rPr>
        <w:t>https://pubmed.ncbi.nlm.nih.gov/42887677/</w:t>
      </w:r>
    </w:p>
    <w:p>
      <w:pPr>
        <w:pStyle w:val="Heading2"/>
      </w:pPr>
      <w:r>
        <w:t>Kosteneffektivitäts-Analysen von Krebsarzneien: Nur 2,7% sind reproduzierbar, 16,7% vollständig dokumentiert</w:t>
      </w:r>
    </w:p>
    <w:p>
      <w:r>
        <w:rPr>
          <w:i/>
          <w:color w:val="666666"/>
          <w:sz w:val="18"/>
        </w:rPr>
        <w:t>Johansson N et al.  ·  JCO Oncol Pract  ·  16.10.2026  ·  PMID 42886869</w:t>
      </w:r>
    </w:p>
    <w:p>
      <w:r>
        <w:t>Systematische Bewertung von 150 zufällig ausgewählten, modellgestützten Kosteneffektivitäts-Analysen (CEA) von Krebsmedikamenten aus der Literatur zu Reproduzierbarkeit: Zugang zu Modellcode (Computational Reproducibility) und Transparenz der Berichterstattung über Modellstruktur, Übergänge, Kosten, Gesundheitsergebnisse (Recreate Reproducibility).</w:t>
      </w:r>
    </w:p>
    <w:p>
      <w:r>
        <w:rPr>
          <w:b/>
        </w:rPr>
        <w:t xml:space="preserve">Ergebnis: </w:t>
      </w:r>
      <w:r>
        <w:t>2,7% (95%-KI 1,0–6,7) waren Computational Reproducible (Modellcode zugänglich); 16,7% (95%-KI 11,6–23,4) waren Recreate Reproducible. 85% berichteten Modellstruktur vollständig, aber nur 39% alle Kosteneingaben. Keine Assoziation zwischen Reproduzierbarkeit und Förderquelle, Land oder Journal Impact Factor. Schlussfolgerung: Standardisierte Berichterstattung und Open-Modeling-Praktiken notwendig.</w:t>
      </w:r>
    </w:p>
    <w:p>
      <w:r>
        <w:rPr>
          <w:b/>
          <w:sz w:val="19"/>
        </w:rPr>
        <w:t xml:space="preserve">Übertragbarkeit: </w:t>
      </w:r>
      <w:r>
        <w:rPr>
          <w:sz w:val="19"/>
        </w:rPr>
        <w:t>Schweden, europäische Qualitätsfrage, AMNOG-Transparenzanforderungen relevant</w:t>
      </w:r>
    </w:p>
    <w:p>
      <w:r>
        <w:rPr>
          <w:color w:val="5A7D3A"/>
          <w:sz w:val="18"/>
        </w:rPr>
        <w:t>https://pubmed.ncbi.nlm.nih.gov/42886869/</w:t>
      </w:r>
    </w:p>
    <w:p>
      <w:pPr>
        <w:pStyle w:val="Heading2"/>
      </w:pPr>
      <w:r>
        <w:t>Oligometastase-Therapiestudien: Progression-Free Survival nur moderat korreliert mit Gesamtüberleben</w:t>
      </w:r>
    </w:p>
    <w:p>
      <w:r>
        <w:rPr>
          <w:i/>
          <w:color w:val="666666"/>
          <w:sz w:val="18"/>
        </w:rPr>
        <w:t>Chen D et al.  ·  Oncologist  ·  16.10.2026  ·  PMID 42885579</w:t>
      </w:r>
    </w:p>
    <w:p>
      <w:r>
        <w:t>Systematische Übersichtsarbeit über 235 prospektive Studien (29 randomisiert) zur metastasierungsgerichteten Therapie; Metaanalyse der Surrogacy zwischen Progression-Free Survival (PFS) und Overall Survival (OS) in randomisierten Trials.</w:t>
      </w:r>
    </w:p>
    <w:p>
      <w:r>
        <w:rPr>
          <w:b/>
        </w:rPr>
        <w:t xml:space="preserve">Ergebnis: </w:t>
      </w:r>
      <w:r>
        <w:t>Bei 18 randomisierten Trials mit beiden Endpunkten: Korrelation zwischen PFS-HR und OS-HR moderat (r=0,80, 95%-KI 0,64–0,91). Surrogat-Schwellwert-HR 0,79 (95%-KI 0,71–0,87). Die meisten Phase-II-Trials nutzten PFS als Primärendpunkt (67%, n=20), nur 13% (n=4) OS. Empfehlung: Phase-II-Trials sollten PFS mit Lebensqualität oder therapiefreie Überlebenszeit kombinieren; Phase-III-Trials OS oder validierte Surrogate nutzen.</w:t>
      </w:r>
    </w:p>
    <w:p>
      <w:r>
        <w:rPr>
          <w:b/>
          <w:sz w:val="19"/>
        </w:rPr>
        <w:t xml:space="preserve">Übertragbarkeit: </w:t>
      </w:r>
      <w:r>
        <w:rPr>
          <w:sz w:val="19"/>
        </w:rPr>
        <w:t>Kanada, internationale Trials, Leitlinienrelevanz für Endpunkt-Wahl</w:t>
      </w:r>
    </w:p>
    <w:p>
      <w:r>
        <w:rPr>
          <w:color w:val="5A7D3A"/>
          <w:sz w:val="18"/>
        </w:rPr>
        <w:t>https://pubmed.ncbi.nlm.nih.gov/42885579/</w:t>
      </w:r>
    </w:p>
    <w:p>
      <w:pPr>
        <w:pStyle w:val="Heading2"/>
      </w:pPr>
      <w:r>
        <w:t>Neoadjuvante SABR vor Nephrektomie bei Nierenzellkarzinom mit IVC-Thrombus: 1-Jahres-Rezidivfreiheit 71,4%</w:t>
      </w:r>
    </w:p>
    <w:p>
      <w:r>
        <w:rPr>
          <w:i/>
          <w:color w:val="666666"/>
          <w:sz w:val="18"/>
        </w:rPr>
        <w:t>Hannan R et al.  ·  JAMA Oncol  ·  15.10.2026  ·  PMID 42879162</w:t>
      </w:r>
    </w:p>
    <w:p>
      <w:r>
        <w:t>Prospektive Phase-II-Studie: 23 Patienten mit Nierenzellkarzinom und inferiorem Hohlvenenthrombus (Mayo II–IV) erhielten neoadjuvante SABR (40 Gy/5 fx oder 36 Gy/3 fx) vor radikaler Nephrektomie und Thrombektomie; primärer Endpunkt 1-Jahres-Rezidivfreiüberleben vs. historisches Surgery-Benchmark 55,7%.</w:t>
      </w:r>
    </w:p>
    <w:p>
      <w:r>
        <w:rPr>
          <w:b/>
        </w:rPr>
        <w:t xml:space="preserve">Ergebnis: </w:t>
      </w:r>
      <w:r>
        <w:t>21 Patienten in Analyse eingeschlossen (57% männlich, Median-Alter 62,5 Jahre). 1-Jahres-Rezidivfreiüberleben 71,4% (80%-KI 56,6–82,0; 95%-KI 47,2–86,0), Nichtunterlegenheit-Kriterium erfüllt (p=0,09 vs. 55,7%). 1-Jahres-Gesamtüberleben 95,2%, keine Perioperalitäts-Mortalität. Ki-67-Expression reduziert nach SABR. Tumor-informierte ctDNA bei allen Patienten detektiert und nach Therapie gesunken.</w:t>
      </w:r>
    </w:p>
    <w:p>
      <w:r>
        <w:rPr>
          <w:b/>
          <w:sz w:val="19"/>
        </w:rPr>
        <w:t xml:space="preserve">Übertragbarkeit: </w:t>
      </w:r>
      <w:r>
        <w:rPr>
          <w:sz w:val="19"/>
        </w:rPr>
        <w:t>USA, aber sichere Machbarkeit, ctDNA-Monitoring innovativ</w:t>
      </w:r>
    </w:p>
    <w:p>
      <w:r>
        <w:rPr>
          <w:color w:val="5A7D3A"/>
          <w:sz w:val="18"/>
        </w:rPr>
        <w:t>https://pubmed.ncbi.nlm.nih.gov/42879162/</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