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Onkologie</w:t>
      </w:r>
    </w:p>
    <w:p>
      <w:r>
        <w:rPr>
          <w:i/>
          <w:color w:val="666666"/>
          <w:sz w:val="18"/>
        </w:rPr>
        <w:t>Stand: 12.10.2026  |  206 Studien  |  onkologie.m-vf.de</w:t>
      </w:r>
    </w:p>
    <w:p>
      <w:pPr>
        <w:pStyle w:val="Heading1"/>
      </w:pPr>
      <w:r>
        <w:t>Aufgenommen am 12.10.2026</w:t>
      </w:r>
    </w:p>
    <w:p>
      <w:pPr>
        <w:pStyle w:val="Heading2"/>
      </w:pPr>
      <w:r>
        <w:t>Regelmäßige Nachsorge verbessert Overall Survival bei Nasopharynxkarzinom</w:t>
      </w:r>
    </w:p>
    <w:p>
      <w:r>
        <w:rPr>
          <w:i/>
          <w:color w:val="666666"/>
          <w:sz w:val="18"/>
        </w:rPr>
        <w:t>Wu CF et al.  ·  Radiother Oncol  ·  10.10.2026  ·  PMID 42858857</w:t>
      </w:r>
    </w:p>
    <w:p>
      <w:r>
        <w:t>Retrospektive Analyse von 8.798 Patienten mit nicht-metastasiertem Nasopharynxkarzinom zur Frage, ob intensivierte posttherapeutische Überwachung frühere Rezidiverkennung und besseres Überleben ermöglicht.</w:t>
      </w:r>
    </w:p>
    <w:p>
      <w:r>
        <w:rPr>
          <w:b/>
        </w:rPr>
        <w:t xml:space="preserve">Ergebnis: </w:t>
      </w:r>
      <w:r>
        <w:t>Mit ≥4 Arztbesuchen im 1. Jahr (regelmäßige Surveillance, n=4.078) gegenüber &lt;4 Besuchen (irregulär, n=4.720): medianes rezidivfreies Überleben 26,1 vs. 27,0 Monate, verbessertes Gesamtüberleben (HR 0,86; 95% KI 0,74–0,99; p=0,032). Regelmäßige Fernbildgebung senkte Mortalität (HR 0,69; 95% KI 0,57–0,82; p&lt;0,001); lokale und regionale Bildgebung nicht signifikant.</w:t>
      </w:r>
    </w:p>
    <w:p>
      <w:r>
        <w:rPr>
          <w:b/>
          <w:sz w:val="19"/>
        </w:rPr>
        <w:t xml:space="preserve">Übertragbarkeit: </w:t>
      </w:r>
      <w:r>
        <w:rPr>
          <w:sz w:val="19"/>
        </w:rPr>
        <w:t>China – hochvolumiges Zentrum; Methodik auf deutsche Strukturen übertragbar</w:t>
      </w:r>
    </w:p>
    <w:p>
      <w:r>
        <w:rPr>
          <w:color w:val="5A7D3A"/>
          <w:sz w:val="18"/>
        </w:rPr>
        <w:t>https://pubmed.ncbi.nlm.nih.gov/42858857/</w:t>
      </w:r>
    </w:p>
    <w:p>
      <w:pPr>
        <w:pStyle w:val="Heading2"/>
      </w:pPr>
      <w:r>
        <w:t>Machine-Learning-Methoden für fehlende Toxizitätsdaten bei Kopf-Hals-Krebspatienten</w:t>
      </w:r>
    </w:p>
    <w:p>
      <w:r>
        <w:rPr>
          <w:i/>
          <w:color w:val="666666"/>
          <w:sz w:val="18"/>
        </w:rPr>
        <w:t>van der Hoek L et al.  ·  Radiother Oncol  ·  10.10.2026  ·  PMID 42858855</w:t>
      </w:r>
    </w:p>
    <w:p>
      <w:r>
        <w:t>Niederländische Studie zur Bewertung von neun Imputationsmethoden (von einfach bis Deep Learning) für fehlende Werte in longitudinalen Toxizitätsdaten von 1.442 Patienten mit Kopf-Hals-Krebs unter Radiotherapie.</w:t>
      </w:r>
    </w:p>
    <w:p>
      <w:r>
        <w:rPr>
          <w:b/>
        </w:rPr>
        <w:t xml:space="preserve">Ergebnis: </w:t>
      </w:r>
      <w:r>
        <w:t>Einfache Imputationsmethoden schnitten deutlich schlechter ab als fortgeschrittene; Qualität verschlechterte sich, wenn Patienten &lt;50% der Messzeitpunkte hatten; Transformer-Modelle waren robuster gegen Rauschen; downstream Modelle zeigten vernachlässigbare Unterschiede außer bei einfachen Methoden. Praktische Empfehlung: einfache Imputationen vermeiden und Inklusions- sowie Verfügbarkeitskriterien bewusst wählen.</w:t>
      </w:r>
    </w:p>
    <w:p>
      <w:r>
        <w:rPr>
          <w:b/>
          <w:sz w:val="19"/>
        </w:rPr>
        <w:t xml:space="preserve">Übertragbarkeit: </w:t>
      </w:r>
      <w:r>
        <w:rPr>
          <w:sz w:val="19"/>
        </w:rPr>
        <w:t>Niederlande, deutschsprachige Methodik, europäische Dokumentationspflichten übertragbar</w:t>
      </w:r>
    </w:p>
    <w:p>
      <w:r>
        <w:rPr>
          <w:color w:val="5A7D3A"/>
          <w:sz w:val="18"/>
        </w:rPr>
        <w:t>https://pubmed.ncbi.nlm.nih.gov/42858855/</w:t>
      </w:r>
    </w:p>
    <w:p>
      <w:pPr>
        <w:pStyle w:val="Heading2"/>
      </w:pPr>
      <w:r>
        <w:t>Klinisch bedeutsame Schwellenwerte für Lebensqualitätsfragebogen bei Prostatakrebspatienten</w:t>
      </w:r>
    </w:p>
    <w:p>
      <w:r>
        <w:rPr>
          <w:i/>
          <w:color w:val="666666"/>
          <w:sz w:val="18"/>
        </w:rPr>
        <w:t>Vorbach SM et al.  ·  Radiother Oncol  ·  10.10.2026  ·  PMID 42858854</w:t>
      </w:r>
    </w:p>
    <w:p>
      <w:r>
        <w:t>Europäische Multicenterstudie zur Etablierung von Klinisch Bedeutsamen Schwellenwerten (Thresholds for Clinical Importance, TCI) für den EORTC QLQ-PR25, ein Lebensqualitätsinstrument bei Prostatakrebspatienten.</w:t>
      </w:r>
    </w:p>
    <w:p>
      <w:r>
        <w:rPr>
          <w:b/>
        </w:rPr>
        <w:t xml:space="preserve">Ergebnis: </w:t>
      </w:r>
      <w:r>
        <w:t>Für fünf der sechs Skalen ließen sich akzeptable bis exzellente ROC-Werte (AUC 0,74–0,90) mit Sensitivität 0,62–0,88 und Spezifität 0,48–0,98 etablieren; für die Sexualfunktion (AUC 0,48) gelang dies nicht. Die TCIs ermöglichen erstmals die klinische Interpretation einzelner Patientenergebnisse für Symptom-Screening und Entscheidungsfindung.</w:t>
      </w:r>
    </w:p>
    <w:p>
      <w:r>
        <w:rPr>
          <w:b/>
          <w:sz w:val="19"/>
        </w:rPr>
        <w:t xml:space="preserve">Übertragbarkeit: </w:t>
      </w:r>
      <w:r>
        <w:rPr>
          <w:sz w:val="19"/>
        </w:rPr>
        <w:t>Österreich, Niederlande, Spanien, Belgien, Deutschland – vergleichbare Gesundheitssysteme, europäische Fachdaten</w:t>
      </w:r>
    </w:p>
    <w:p>
      <w:r>
        <w:rPr>
          <w:color w:val="5A7D3A"/>
          <w:sz w:val="18"/>
        </w:rPr>
        <w:t>https://pubmed.ncbi.nlm.nih.gov/42858854/</w:t>
      </w:r>
    </w:p>
    <w:p>
      <w:pPr>
        <w:pStyle w:val="Heading2"/>
      </w:pPr>
      <w:r>
        <w:t>FRα-gezieltes Antikörper-Wirkstoff-Konjugat Sofetabart zeigt Aktivität bei fortgeschrittenem Ovarialkarzinom</w:t>
      </w:r>
    </w:p>
    <w:p>
      <w:r>
        <w:rPr>
          <w:i/>
          <w:color w:val="666666"/>
          <w:sz w:val="18"/>
        </w:rPr>
        <w:t>Ray-Coquard I et al.  ·  Ann Oncol  ·  08.10.2026  ·  PMID 42849725</w:t>
      </w:r>
    </w:p>
    <w:p>
      <w:r>
        <w:t>Multizentrische First-in-Human Phase-1-Studie mit 105 Patienten (überwiegend platinresistent) zu Sofetabart mipitecan (Sofe-M), einem neuen FRα-Antibody-Drug-Conjugate ohne Keratopathie-Risiko.</w:t>
      </w:r>
    </w:p>
    <w:p>
      <w:r>
        <w:rPr>
          <w:b/>
        </w:rPr>
        <w:t xml:space="preserve">Ergebnis: </w:t>
      </w:r>
      <w:r>
        <w:t>Objektive Ansprechrate 50,5% (95% KI 40,5–60,4), bei 3 mg/kg 58,8%; bei FRα &lt;75% 44,4%, bei FRα ≥75% 56,5%, nach vorherigem Mirvetuximab 57,9%; medianes progressionsfreies Überleben 8,1 Monate (95% KI 6,4–8,5). Häufigste Nebenwirkungen: Übelkeit (64,8%), Fatigue (56,2%), Anämie (47,6%). Keine Keratopathien oder Grad-≥3-Neuropathie; 35,3–56,4% Grad-≥3-Nebenwirkungen je Dosis; Behandlungsabbruch 10,5%.</w:t>
      </w:r>
    </w:p>
    <w:p>
      <w:r>
        <w:rPr>
          <w:b/>
          <w:sz w:val="19"/>
        </w:rPr>
        <w:t xml:space="preserve">Übertragbarkeit: </w:t>
      </w:r>
      <w:r>
        <w:rPr>
          <w:sz w:val="19"/>
        </w:rPr>
        <w:t>USA-Studie mit europäischen Zentren (Frankreich, Spanien, Italien); Übertragbarkeit auf AMNOG-Zulassungsprozess prüfbar</w:t>
      </w:r>
    </w:p>
    <w:p>
      <w:r>
        <w:rPr>
          <w:color w:val="5A7D3A"/>
          <w:sz w:val="18"/>
        </w:rPr>
        <w:t>https://pubmed.ncbi.nlm.nih.gov/42849725/</w:t>
      </w:r>
    </w:p>
    <w:p>
      <w:pPr>
        <w:pStyle w:val="Heading2"/>
      </w:pPr>
      <w:r>
        <w:t>Transfer-RNA-Dosierung kontrolliert Lineageplastizität und Therapieresistenz bei Prostatakarzinom</w:t>
      </w:r>
    </w:p>
    <w:p>
      <w:r>
        <w:rPr>
          <w:i/>
          <w:color w:val="666666"/>
          <w:sz w:val="18"/>
        </w:rPr>
        <w:t>Kim YS et al.  ·  Nature  ·  07.10.2026  ·  PMID 42844465</w:t>
      </w:r>
    </w:p>
    <w:p>
      <w:r>
        <w:t>Grundlagenarbeit zur Identifikation von tRNA1Arg(UCU) als Regulator der Lineageplastizität und Therapieresistenz im Prostatakarzinom mit Weg in die Klinik über Linearität und Androgenrezeptor-Sensitivität.</w:t>
      </w:r>
    </w:p>
    <w:p>
      <w:r>
        <w:rPr>
          <w:b/>
        </w:rPr>
        <w:t xml:space="preserve">Ergebnis: </w:t>
      </w:r>
      <w:r>
        <w:t>tRNA1Arg(UCU) ist herunterreguliert in neuroendokrinem Prostatakarzinom und assoziiert mit beschleunigter Metastasierung und schlechterer Prognose; Regulatoren TARDBP und ZSCAN29 kontrollieren tRNA-Expression; tRNA steuert Translationsprogramm mit SWI/SNF-Chromatin-Umbauerproteinen, die Lineage-Treue wahren; experimentelle Manipulation von tRNA1Arg(UCU) restauriert Androgenrezeptor-Sensitivität.</w:t>
      </w:r>
    </w:p>
    <w:p>
      <w:r>
        <w:rPr>
          <w:b/>
          <w:sz w:val="19"/>
        </w:rPr>
        <w:t xml:space="preserve">Übertragbarkeit: </w:t>
      </w:r>
      <w:r>
        <w:rPr>
          <w:sz w:val="19"/>
        </w:rPr>
        <w:t>USA-Grundlagenarbeit mit translationalem Ansatz zur Überwindung Androgenrezeptor-Inhibitor-Resistenz</w:t>
      </w:r>
    </w:p>
    <w:p>
      <w:r>
        <w:rPr>
          <w:color w:val="5A7D3A"/>
          <w:sz w:val="18"/>
        </w:rPr>
        <w:t>https://pubmed.ncbi.nlm.nih.gov/42844465/</w:t>
      </w:r>
    </w:p>
    <w:p>
      <w:pPr>
        <w:pStyle w:val="Heading2"/>
      </w:pPr>
      <w:r>
        <w:t>Globale Ungleichheit in Verfügbarkeit und Kostenübernahme von Nierenzellkarzinom-Therapien</w:t>
      </w:r>
    </w:p>
    <w:p>
      <w:r>
        <w:rPr>
          <w:i/>
          <w:color w:val="666666"/>
          <w:sz w:val="18"/>
        </w:rPr>
        <w:t>Urun Y et al.  ·  Oncologist  ·  06.10.2026  ·  PMID 42836687</w:t>
      </w:r>
    </w:p>
    <w:p>
      <w:r>
        <w:t>Internationale Querschnittsstudie von 144 Klinikern aus 58 Ländern zur Verfügbarkeit und Erstattung von 20 innovativen systemischen Therapien für Nierenzellkarzinom.</w:t>
      </w:r>
    </w:p>
    <w:p>
      <w:r>
        <w:rPr>
          <w:b/>
        </w:rPr>
        <w:t xml:space="preserve">Ergebnis: </w:t>
      </w:r>
      <w:r>
        <w:t>Nur 36% der Länder hatten mindestens 15 der 20 Therapien verfügbar; vollständige Erstattung für ≥15 Therapien in nur 6 Ländern (10%), für 1–9 Therapien in 13 Ländern (23%), keine Erstattung in 18 Ländern (31%). Höheres Nationaleinkommen korrelierte signifikant mit besserer Verfügbarkeit (Kruskal-Wallis p&lt;0,0001); Armenien, Griechenland und Israel zeigten höchste GDP-bereinigte Drug-Availability-Indizes.</w:t>
      </w:r>
    </w:p>
    <w:p>
      <w:r>
        <w:rPr>
          <w:b/>
          <w:sz w:val="19"/>
        </w:rPr>
        <w:t xml:space="preserve">Übertragbarkeit: </w:t>
      </w:r>
      <w:r>
        <w:rPr>
          <w:sz w:val="19"/>
        </w:rPr>
        <w:t>58 Länder weltweit; Transfer: Deutschland als mittleres Einkommsland mit hoher Verfügbarkeit</w:t>
      </w:r>
    </w:p>
    <w:p>
      <w:r>
        <w:rPr>
          <w:color w:val="5A7D3A"/>
          <w:sz w:val="18"/>
        </w:rPr>
        <w:t>https://pubmed.ncbi.nlm.nih.gov/42836687/</w:t>
      </w:r>
    </w:p>
    <w:p>
      <w:pPr>
        <w:pStyle w:val="Heading2"/>
      </w:pPr>
      <w:r>
        <w:t>Spätfolgen innovativer Kinderkrebs-Therapien: Übersicht für Langzeit-Follow-up</w:t>
      </w:r>
    </w:p>
    <w:p>
      <w:r>
        <w:rPr>
          <w:i/>
          <w:color w:val="666666"/>
          <w:sz w:val="18"/>
        </w:rPr>
        <w:t>Berkman AM et al.  ·  J Natl Cancer Inst  ·  06.10.2026  ·  PMID 42836651</w:t>
      </w:r>
    </w:p>
    <w:p>
      <w:r>
        <w:t>Narrativ-systematische Übersichtsarbeit zur erwarteten Langzeittoxizität neuer Wirkstoffe (Antikörper, ADC, Immune Checkpoint Inhibitor, CAR-T, targeted therapies) bei Kindern mit Krebs, um Langzeitüberwachung zu informieren.</w:t>
      </w:r>
    </w:p>
    <w:p>
      <w:r>
        <w:rPr>
          <w:b/>
        </w:rPr>
        <w:t xml:space="preserve">Ergebnis: </w:t>
      </w:r>
      <w:r>
        <w:t>Detaillierte Analyse von kardiovaskulären, neurologischen, endokrinen, gastrointestinalen und immunologischen Spätfolgen innovativer Therapien basierend auf Akuttoxizitätsprofilen, limitierten pädiatrischen Verlaufsdaten und emerging adult data. Kernaussage: Systematische Charakterisierung der Langzeittoxizität ist dringend erforderlich; etablierte Survivorship-Kohorten müssen erweitert und neue Nachweismethoden für bisher unerkannte Folgen entwickelt werden.</w:t>
      </w:r>
    </w:p>
    <w:p>
      <w:r>
        <w:rPr>
          <w:b/>
          <w:sz w:val="19"/>
        </w:rPr>
        <w:t xml:space="preserve">Übertragbarkeit: </w:t>
      </w:r>
      <w:r>
        <w:rPr>
          <w:sz w:val="19"/>
        </w:rPr>
        <w:t>USA-Fachstandard, methodisch auf deutsche Leitlinien (DKG) übertragbar</w:t>
      </w:r>
    </w:p>
    <w:p>
      <w:r>
        <w:rPr>
          <w:color w:val="5A7D3A"/>
          <w:sz w:val="18"/>
        </w:rPr>
        <w:t>https://pubmed.ncbi.nlm.nih.gov/42836651/</w:t>
      </w:r>
    </w:p>
    <w:p>
      <w:pPr>
        <w:pStyle w:val="Heading1"/>
      </w:pPr>
      <w:r>
        <w:t>Aufgenommen am 11.10.2026</w:t>
      </w:r>
    </w:p>
    <w:p>
      <w:pPr>
        <w:pStyle w:val="Heading2"/>
      </w:pPr>
      <w:r>
        <w:t>MRD-Negativität bei 0,01 % korreliert mit Overall Survival in akuter myeloischer Leukämie</w:t>
      </w:r>
    </w:p>
    <w:p>
      <w:r>
        <w:rPr>
          <w:i/>
          <w:color w:val="666666"/>
          <w:sz w:val="18"/>
        </w:rPr>
        <w:t>Paiva B et al.  ·  Leukemia  ·  08.10.2026  ·  PMID 42850349</w:t>
      </w:r>
    </w:p>
    <w:p>
      <w:r>
        <w:t>Die PETHEMA-Studie untersuchte an 2.623 AML-Patienten, ob Measurable Residual Disease (MRD) mittels Durchflusszytometrie ein prognostischer Marker für das Gesamtüberleben nach intensiver Therapie ist.</w:t>
      </w:r>
    </w:p>
    <w:p>
      <w:r>
        <w:rPr>
          <w:b/>
        </w:rPr>
        <w:t xml:space="preserve">Ergebnis: </w:t>
      </w:r>
      <w:r>
        <w:t>MRD-Negativität bei der 0,01%-Schwelle zeigte unabhängigen prognostischen Wert (globale Odds Ratio 1,23; 95%-KI 1,02–1,40; p &lt; 0,05). MRD-Nachweis bei ≥0,01–&lt;0,1 % assoziiert mit schlechterem Überleben. 68 % der CR-Patienten hatten MRD-Nachweis. Signifikanz variierte nach genetischem Risiko und Erhaltungstherapie.</w:t>
      </w:r>
    </w:p>
    <w:p>
      <w:r>
        <w:rPr>
          <w:b/>
          <w:sz w:val="19"/>
        </w:rPr>
        <w:t xml:space="preserve">Übertragbarkeit: </w:t>
      </w:r>
      <w:r>
        <w:rPr>
          <w:sz w:val="19"/>
        </w:rPr>
        <w:t>Spanische und portugiesische Kohorten, europäische Versorgungsstruktur, direkt auf deutsches Krebsregister-Setting übertragbar.</w:t>
      </w:r>
    </w:p>
    <w:p>
      <w:r>
        <w:rPr>
          <w:color w:val="5A7D3A"/>
          <w:sz w:val="18"/>
        </w:rPr>
        <w:t>https://pubmed.ncbi.nlm.nih.gov/42850349/</w:t>
      </w:r>
    </w:p>
    <w:p>
      <w:pPr>
        <w:pStyle w:val="Heading2"/>
      </w:pPr>
      <w:r>
        <w:t>Koloskopie-Screening reduziert kolorektales Krebssterben um 31 Prozent</w:t>
      </w:r>
    </w:p>
    <w:p>
      <w:r>
        <w:rPr>
          <w:i/>
          <w:color w:val="666666"/>
          <w:sz w:val="18"/>
        </w:rPr>
        <w:t>Brenner H et al.  ·  Lancet  ·  10.10.2026  ·  PMID 42849472</w:t>
      </w:r>
    </w:p>
    <w:p>
      <w:r>
        <w:t>Die NordICC-Studie untersuchte, ob gelegentliche Screening-Koloskopie bei Erwachsenen ab 55/60 Jahren die Sterblichkeit durch kolorektales Karzinom senkt.</w:t>
      </w:r>
    </w:p>
    <w:p>
      <w:r>
        <w:rPr>
          <w:b/>
        </w:rPr>
        <w:t xml:space="preserve">Ergebnis: </w:t>
      </w:r>
      <w:r>
        <w:t>Die Koloskopie reduzierte die krebsspezifische Mortalität um 31 % über 10 Jahre (relatives Risiko 0,69; 95%-KI 0,55–0,87). Die Zahl der Todesfälle pro 1.000 Screenings betrug 0,28. Incidenz sank um 21 %. Nebenwirkungen: schwerwiegende Blutungen &lt;0,1 %, Perforationen 0,7 pro 1.000.</w:t>
      </w:r>
    </w:p>
    <w:p>
      <w:r>
        <w:rPr>
          <w:b/>
          <w:sz w:val="19"/>
        </w:rPr>
        <w:t xml:space="preserve">Übertragbarkeit: </w:t>
      </w:r>
      <w:r>
        <w:rPr>
          <w:sz w:val="19"/>
        </w:rPr>
        <w:t>Europäischer Verbund (Skandinavien, Polen, Deutschland), publische Gesundheitssysteme mit ähnlicher Finanzierung wie Deutschland.</w:t>
      </w:r>
    </w:p>
    <w:p>
      <w:r>
        <w:rPr>
          <w:color w:val="5A7D3A"/>
          <w:sz w:val="18"/>
        </w:rPr>
        <w:t>https://pubmed.ncbi.nlm.nih.gov/42849472/</w:t>
      </w:r>
    </w:p>
    <w:p>
      <w:pPr>
        <w:pStyle w:val="Heading2"/>
      </w:pPr>
      <w:r>
        <w:t>BRCA2-Alteration vorhersagend für 12-Monate-Benefit unter PARP-Inhibitor Talazoparib</w:t>
      </w:r>
    </w:p>
    <w:p>
      <w:r>
        <w:rPr>
          <w:i/>
          <w:color w:val="666666"/>
          <w:sz w:val="18"/>
        </w:rPr>
        <w:t>Castro E et al.  ·  Eur J Cancer  ·  29.09.2026  ·  PMID 42849324</w:t>
      </w:r>
    </w:p>
    <w:p>
      <w:r>
        <w:t>Retrospektive Genomanalyse aus der Phase-2-Studie TALAPRO-1 zu Talazoparib-Monotherapie in 104 Patienten mit metastasiertem kastrationsresistentem Prostatakarzinom und HRR-Genalterationen.</w:t>
      </w:r>
    </w:p>
    <w:p>
      <w:r>
        <w:rPr>
          <w:b/>
        </w:rPr>
        <w:t xml:space="preserve">Ergebnis: </w:t>
      </w:r>
      <w:r>
        <w:t>94 % der Patienten mit radiographischem PFS ≥12 Monaten hatten BRCA2-Alterationen, vs. 22 % mit PFS &lt;2 Monaten (p &lt;0,00001). HRR-Gen-Reversionen (n=7) und PARP1-Varianten (n=5) zeigten emergente Resistenzmechanismen; beide prädiktiv für Therapieversagen nach initialem Ansprechen.</w:t>
      </w:r>
    </w:p>
    <w:p>
      <w:r>
        <w:rPr>
          <w:b/>
          <w:sz w:val="19"/>
        </w:rPr>
        <w:t xml:space="preserve">Übertragbarkeit: </w:t>
      </w:r>
      <w:r>
        <w:rPr>
          <w:sz w:val="19"/>
        </w:rPr>
        <w:t>US-amerikanische Studie, aber Genomik und BRCA2-Mutationen tumorunabhängig; Biomarker-Strategie auf deutsche Praxen übertragbar.</w:t>
      </w:r>
    </w:p>
    <w:p>
      <w:r>
        <w:rPr>
          <w:color w:val="5A7D3A"/>
          <w:sz w:val="18"/>
        </w:rPr>
        <w:t>https://pubmed.ncbi.nlm.nih.gov/42849324/</w:t>
      </w:r>
    </w:p>
    <w:p>
      <w:pPr>
        <w:pStyle w:val="Heading2"/>
      </w:pPr>
      <w:r>
        <w:t>Disitamab vedotin plus Tislelizumab: 73 % komplette Response bei nicht-resektablem high-grade Harnblasenkarzinom</w:t>
      </w:r>
    </w:p>
    <w:p>
      <w:r>
        <w:rPr>
          <w:i/>
          <w:color w:val="666666"/>
          <w:sz w:val="18"/>
        </w:rPr>
        <w:t>Qie Y et al.  ·  JAMA Oncol  ·  08.10.2026  ·  PMID 42848391</w:t>
      </w:r>
    </w:p>
    <w:p>
      <w:r>
        <w:t>Phase-2-Studie mit 28 Patienten zu resektionsunfähigem ERBB2-positiven high-risk nicht-Muskel-invasivem Blasenkarzinom unter Kombinationstherapie mit dem Antikörper-Wirkstoff-Konjugat Disitamab vedotin und dem PD-1-Inhibitor Tislelizumab.</w:t>
      </w:r>
    </w:p>
    <w:p>
      <w:r>
        <w:rPr>
          <w:b/>
        </w:rPr>
        <w:t xml:space="preserve">Ergebnis: </w:t>
      </w:r>
      <w:r>
        <w:t>Komplette Response der high-risk-Erkrankung in 19/26 Patienten (73,1 %; 95%-KI 54,8–91,3 %), über Zielrate von 70 % hinaus. 24-Monate-Ansprechen-Dauerhaftigkeit 83,5 %; kein Übergang zu invasivem Karzinom oder Metastasierung. Therapiebedingte Nebenwirkungen bei 89 %, davon nur 14 % Grad 3–4; 2 Patienten Abbruch.</w:t>
      </w:r>
    </w:p>
    <w:p>
      <w:r>
        <w:rPr>
          <w:b/>
          <w:sz w:val="19"/>
        </w:rPr>
        <w:t xml:space="preserve">Übertragbarkeit: </w:t>
      </w:r>
      <w:r>
        <w:rPr>
          <w:sz w:val="19"/>
        </w:rPr>
        <w:t>Chinesische Kliniken, aber ERBB2-Screening und -Klassifizierung international standardisiert; Ergebnis relevant für deutsche Zentren mit Blasen-Expertise.</w:t>
      </w:r>
    </w:p>
    <w:p>
      <w:r>
        <w:rPr>
          <w:color w:val="5A7D3A"/>
          <w:sz w:val="18"/>
        </w:rPr>
        <w:t>https://pubmed.ncbi.nlm.nih.gov/42848391/</w:t>
      </w:r>
    </w:p>
    <w:p>
      <w:pPr>
        <w:pStyle w:val="Heading2"/>
      </w:pPr>
      <w:r>
        <w:t>Universelle Keimbahntest-Screening: 18,4 % Pathogene Varianten in früh-onset Karzinomen, altersbasierte Limits übersehen 72 % aller Träger</w:t>
      </w:r>
    </w:p>
    <w:p>
      <w:r>
        <w:rPr>
          <w:i/>
          <w:color w:val="666666"/>
          <w:sz w:val="18"/>
        </w:rPr>
        <w:t>Stadler ZK et al.  ·  Cancer Discov  ·  08.10.2026  ·  PMID 42844684</w:t>
      </w:r>
    </w:p>
    <w:p>
      <w:r>
        <w:t>Keimbahnsequenzierung von 39.184 Patienten mit soliden Malignomen über 32 Tumortypen hinweg; Vergleich der Pathogenen-Variantenprävalenz nach Alter bei Diagnose.</w:t>
      </w:r>
    </w:p>
    <w:p>
      <w:r>
        <w:rPr>
          <w:b/>
        </w:rPr>
        <w:t xml:space="preserve">Ergebnis: </w:t>
      </w:r>
      <w:r>
        <w:t>Pathogene Varianten in 18,4 % der früh-onset, 15,6 % der durchschnittlich-onset und 12,3 % der spät-onset Fälle (p &lt;0,001). High-/Moderate-Penetranz-Gene: 12,4 % vs. 8,9 % vs. 5,1 %. Altersgrenze 50 Jahre übersieht 4.601 Träger (72 % aller detektierten Varianten). Universelles Screening empfohlen.</w:t>
      </w:r>
    </w:p>
    <w:p>
      <w:r>
        <w:rPr>
          <w:b/>
          <w:sz w:val="19"/>
        </w:rPr>
        <w:t xml:space="preserve">Übertragbarkeit: </w:t>
      </w:r>
      <w:r>
        <w:rPr>
          <w:sz w:val="19"/>
        </w:rPr>
        <w:t>USA-Studie, aber Genetik und Mutationsspektrum tumorunabhängig; Screening-Empfehlung relevant für deutsche AMNOG- und Leitlinien-Adaptationen.</w:t>
      </w:r>
    </w:p>
    <w:p>
      <w:r>
        <w:rPr>
          <w:color w:val="5A7D3A"/>
          <w:sz w:val="18"/>
        </w:rPr>
        <w:t>https://pubmed.ncbi.nlm.nih.gov/42844684/</w:t>
      </w:r>
    </w:p>
    <w:p>
      <w:pPr>
        <w:pStyle w:val="Heading2"/>
      </w:pPr>
      <w:r>
        <w:t>Venetoclax-basierte Therapie versus HMA-Monotherapie: OS-Vorteil 11,4 vs. 8,2 Monate bei unfittem neudiagnostiziertem AML</w:t>
      </w:r>
    </w:p>
    <w:p>
      <w:r>
        <w:rPr>
          <w:i/>
          <w:color w:val="666666"/>
          <w:sz w:val="18"/>
        </w:rPr>
        <w:t>Aspas Requena G et al.  ·  Leukemia  ·  06.10.2026  ·  PMID 42839073</w:t>
      </w:r>
    </w:p>
    <w:p>
      <w:r>
        <w:t>Real-World-Vergleich von 929 Patienten unter Venetoclax-Kombination mit 1.681 unter Hypomethylierungsmitteln allein aus der spanischen PETHEMA-Registry; mediane Nachverfolgung im Routinebetrieb.</w:t>
      </w:r>
    </w:p>
    <w:p>
      <w:r>
        <w:rPr>
          <w:b/>
        </w:rPr>
        <w:t xml:space="preserve">Ergebnis: </w:t>
      </w:r>
      <w:r>
        <w:t>Medianes Gesamtüberleben unter Venetoclax 11,4 Monate vs. 8,2 Monate (HR 0,66; 95%-KI 0,60–0,73; p &lt;0,001); konsistent mit VIALE-A-Trial (HR 0,66). Composite Complete Remission 64,4 % vs. 20,0 %; 30-Tage-Mortalität 4,8 % vs. 7,5 %. Benefit bei IDH2, NPM1, FLT3-ITD; minimal bei TP53-mutierten und MDS-evolved AML.</w:t>
      </w:r>
    </w:p>
    <w:p>
      <w:r>
        <w:rPr>
          <w:b/>
          <w:sz w:val="19"/>
        </w:rPr>
        <w:t xml:space="preserve">Übertragbarkeit: </w:t>
      </w:r>
      <w:r>
        <w:rPr>
          <w:sz w:val="19"/>
        </w:rPr>
        <w:t>Spanische und südamerikanische öffentliche Kliniken, europäische Dokumentationspflichten; direkter Vergleich zu deutschen AML-Zentren.</w:t>
      </w:r>
    </w:p>
    <w:p>
      <w:r>
        <w:rPr>
          <w:color w:val="5A7D3A"/>
          <w:sz w:val="18"/>
        </w:rPr>
        <w:t>https://pubmed.ncbi.nlm.nih.gov/42839073/</w:t>
      </w:r>
    </w:p>
    <w:p>
      <w:pPr>
        <w:pStyle w:val="Heading1"/>
      </w:pPr>
      <w:r>
        <w:t>Aufgenommen am 10.10.2026</w:t>
      </w:r>
    </w:p>
    <w:p>
      <w:pPr>
        <w:pStyle w:val="Heading2"/>
      </w:pPr>
      <w:r>
        <w:t>Digital Breast Tomosynthesis senkt Intervallkrebsrate um etwa 24 Prozent</w:t>
      </w:r>
    </w:p>
    <w:p>
      <w:r>
        <w:rPr>
          <w:i/>
          <w:color w:val="666666"/>
          <w:sz w:val="18"/>
        </w:rPr>
        <w:t>Weigel S et al.  ·  Lancet Oncol  ·  09.10.2026  ·  PMID 42854706</w:t>
      </w:r>
    </w:p>
    <w:p>
      <w:r>
        <w:t>Randomisierte Studie verglich Digital Breast Tomosynthesis plus synthetisierte Mammographie versus digitale Mammographie im Screening bei 99.558 Frauen (50-70 Jahre) in Deutschland mit 24 Monaten Nachverfolgung.</w:t>
      </w:r>
    </w:p>
    <w:p>
      <w:r>
        <w:rPr>
          <w:b/>
        </w:rPr>
        <w:t xml:space="preserve">Ergebnis: </w:t>
      </w:r>
      <w:r>
        <w:t>Invasive Intervallkrebsrate 14,2 pro 10.000 (DBT-Gruppe) versus 18,6 pro 10.000 (digitale Mammographie); OR 0,76 (95% KI 0,55-1,06; p=0,11). Bei 12 Monaten signifikant: 4,5 versus 6,3 pro 10.000 (OR 0,71; p&lt;0,05). Etwa ein Viertel der Intervallkrebse könnte vermieden werden.</w:t>
      </w:r>
    </w:p>
    <w:p>
      <w:r>
        <w:rPr>
          <w:b/>
          <w:sz w:val="19"/>
        </w:rPr>
        <w:t xml:space="preserve">Übertragbarkeit: </w:t>
      </w:r>
      <w:r>
        <w:rPr>
          <w:sz w:val="19"/>
        </w:rPr>
        <w:t>Deutsche Multicenterstudie, deutsche Gesundheitsdaten direkt übertragbar</w:t>
      </w:r>
    </w:p>
    <w:p>
      <w:r>
        <w:rPr>
          <w:color w:val="5A7D3A"/>
          <w:sz w:val="18"/>
        </w:rPr>
        <w:t>https://pubmed.ncbi.nlm.nih.gov/42854706/</w:t>
      </w:r>
    </w:p>
    <w:p>
      <w:pPr>
        <w:pStyle w:val="Heading2"/>
      </w:pPr>
      <w:r>
        <w:t>Toripalimab mit Chemotherapie bei B3-Thymom und Thymuskarziom: Progression-freies Überleben 19,3 Monate</w:t>
      </w:r>
    </w:p>
    <w:p>
      <w:r>
        <w:rPr>
          <w:i/>
          <w:color w:val="666666"/>
          <w:sz w:val="18"/>
        </w:rPr>
        <w:t>Zhu K et al.  ·  ESMO Open  ·  08.10.2026  ·  PMID 42854640</w:t>
      </w:r>
    </w:p>
    <w:p>
      <w:r>
        <w:t>Phase-II-Studie (24 Patienten mit nicht resezierbarem B3-Thymom oder Thymuskarziom) mit Paclitaxel, Carboplatin plus Toripalimab (PD-L1-Inhibitor) in bis zu 6 Zyklen, dann Toripalimab-Erhaltung bis Progression.</w:t>
      </w:r>
    </w:p>
    <w:p>
      <w:r>
        <w:rPr>
          <w:b/>
        </w:rPr>
        <w:t xml:space="preserve">Ergebnis: </w:t>
      </w:r>
      <w:r>
        <w:t>Medianes Progression-freies Überleben 19,3 Monate (95% KI 12,8-25,8). Objektive Ansprechrate 37,5% (KI 18,8-59,4%), komplette Krankheitskontrolle 100%. Grad 3-4 behandlungsbedingte Nebenwirkungen bei 50,0%; Grad ≥3 immunbedingte unerwünschte Ereignisse bei 4,2%. Höhere PD-L1-Expression und spezifische Tumor-Mikroumgebungsmuster assoziiert mit besserem Outcome.</w:t>
      </w:r>
    </w:p>
    <w:p>
      <w:r>
        <w:rPr>
          <w:b/>
          <w:sz w:val="19"/>
        </w:rPr>
        <w:t xml:space="preserve">Übertragbarkeit: </w:t>
      </w:r>
      <w:r>
        <w:rPr>
          <w:sz w:val="19"/>
        </w:rPr>
        <w:t>China; Phase-II-Daten erfordern randomisierte Bestätigung vor deutschem Einsatz</w:t>
      </w:r>
    </w:p>
    <w:p>
      <w:r>
        <w:rPr>
          <w:color w:val="5A7D3A"/>
          <w:sz w:val="18"/>
        </w:rPr>
        <w:t>https://pubmed.ncbi.nlm.nih.gov/42854640/</w:t>
      </w:r>
    </w:p>
    <w:p>
      <w:pPr>
        <w:pStyle w:val="Heading2"/>
      </w:pPr>
      <w:r>
        <w:t>Früherkennung von Bauchspeicheldrüsenkrebs – gleiche Überlebenschancen trotz fortgeschrittener Erkrankung</w:t>
      </w:r>
    </w:p>
    <w:p>
      <w:r>
        <w:rPr>
          <w:i/>
          <w:color w:val="666666"/>
          <w:sz w:val="18"/>
        </w:rPr>
        <w:t>Ruze R et al.  ·  J Natl Cancer Inst  ·  09.10.2026  ·  PMID 42853071</w:t>
      </w:r>
    </w:p>
    <w:p>
      <w:r>
        <w:t>Systematische Übersichtsarbeit und Metaanalyse von 48 Studien (1.659.432 Patienten, davon 695.936 ohne Überschneidung) verglich früh auftretenden Pankreaskrebs (EOPC) mit altersgruppenüblichem Krebs (AOPC).</w:t>
      </w:r>
    </w:p>
    <w:p>
      <w:r>
        <w:rPr>
          <w:b/>
        </w:rPr>
        <w:t xml:space="preserve">Ergebnis: </w:t>
      </w:r>
      <w:r>
        <w:t>EOPC-Patienten: niedrigere Diabetesrate (OR 0,39; 95% KI 0,21-0,72), fortgeschrittenere Erkrankung (Stadium IV: OR 1,18; KI 1,02-1,36), höhere Chemotherapienutzung (OR 2,04; KI 1,69-2,45; p&lt;0,001), aber vergleichbares Gesamtüberleben (HR 1,03; KI 0,86-1,23; p=0,76). Geringe Evidenzsicherheit für alle Outcomes.</w:t>
      </w:r>
    </w:p>
    <w:p>
      <w:r>
        <w:rPr>
          <w:b/>
          <w:sz w:val="19"/>
        </w:rPr>
        <w:t xml:space="preserve">Übertragbarkeit: </w:t>
      </w:r>
      <w:r>
        <w:rPr>
          <w:sz w:val="19"/>
        </w:rPr>
        <w:t>Internationale Metaanalyse; zeigt Ansatz für gleichberechtigten Zugang zu intensiver Therapie bei frühem Alter</w:t>
      </w:r>
    </w:p>
    <w:p>
      <w:r>
        <w:rPr>
          <w:color w:val="5A7D3A"/>
          <w:sz w:val="18"/>
        </w:rPr>
        <w:t>https://pubmed.ncbi.nlm.nih.gov/42853071/</w:t>
      </w:r>
    </w:p>
    <w:p>
      <w:pPr>
        <w:pStyle w:val="Heading2"/>
      </w:pPr>
      <w:r>
        <w:t>HER2-positive Brustkrebs: Trastuzumab Deruxtecan verschiebt Behandlungsparadigmen in frühere Linien</w:t>
      </w:r>
    </w:p>
    <w:p>
      <w:r>
        <w:rPr>
          <w:i/>
          <w:color w:val="666666"/>
          <w:sz w:val="18"/>
        </w:rPr>
        <w:t>Tarantino P et al.  ·  Nat Rev Clin Oncol  ·  08.10.2026  ·  PMID 42850399</w:t>
      </w:r>
    </w:p>
    <w:p>
      <w:r>
        <w:t>Narrative Übersichtsarbeit zur Therapieevolution bei HER2-positivem Brustkrebs, einschließlich Neoadjuvanz, Adjuvanz und metastasierter Erkrankung mit Fokus auf Sequenzierung und Risikorisiko-Stratifizierung.</w:t>
      </w:r>
    </w:p>
    <w:p>
      <w:r>
        <w:rPr>
          <w:b/>
        </w:rPr>
        <w:t xml:space="preserve">Ergebnis: </w:t>
      </w:r>
      <w:r>
        <w:t>Trastuzumab Deruxtecan als Antibody-Drug-Conjugate verbessert Outcomes und wird zunehmend in frühere Behandlungslinien verschoben. Zentrale Herausforderung: Identifikation optimaler Sequenzierung, Retreatment-Strategien und Patienten für Therapieintensivierung. Tissue-, Plasma- und bildgebungsbasierte Biomarker beginnend, vielversprechendes klinisches Implementierungspotenzial für Risikoadaptation und De-Eskalation.</w:t>
      </w:r>
    </w:p>
    <w:p>
      <w:r>
        <w:rPr>
          <w:b/>
          <w:sz w:val="19"/>
        </w:rPr>
        <w:t xml:space="preserve">Übertragbarkeit: </w:t>
      </w:r>
      <w:r>
        <w:rPr>
          <w:sz w:val="19"/>
        </w:rPr>
        <w:t>Internationale Expertenübersicht; medizinische Evidenzbasis für deutsches Gesundheitssystem übertragbar</w:t>
      </w:r>
    </w:p>
    <w:p>
      <w:r>
        <w:rPr>
          <w:color w:val="5A7D3A"/>
          <w:sz w:val="18"/>
        </w:rPr>
        <w:t>https://pubmed.ncbi.nlm.nih.gov/42850399/</w:t>
      </w:r>
    </w:p>
    <w:p>
      <w:pPr>
        <w:pStyle w:val="Heading2"/>
      </w:pPr>
      <w:r>
        <w:t>Mehr Chemotherapiezyklen in Radiochemotherapie verlängern Gesamtüberleben ohne mehr Toxizität</w:t>
      </w:r>
    </w:p>
    <w:p>
      <w:r>
        <w:rPr>
          <w:i/>
          <w:color w:val="666666"/>
          <w:sz w:val="18"/>
        </w:rPr>
        <w:t>Simbirova A et al.  ·  Strahlenther Onkol  ·  08.10.2026  ·  PMID 42850392</w:t>
      </w:r>
    </w:p>
    <w:p>
      <w:r>
        <w:t>Retrospektive Analyse von 90 Patienten mit lokal fortgeschrittenem NSCLC (Stadium IIB-IIIC) unter definitiver Radiochemotherapie (56-66 Gy mit wöchentlichem Carboplatin/Paclitaxel), 50 mit nachfolgender Durvalumab-Konsolidierung.</w:t>
      </w:r>
    </w:p>
    <w:p>
      <w:r>
        <w:rPr>
          <w:b/>
        </w:rPr>
        <w:t xml:space="preserve">Ergebnis: </w:t>
      </w:r>
      <w:r>
        <w:t>Patienten mit 5-7 Chemotherapiezyklen: signifikant längeres OS als 1-4 Zyklen (p=0,048); Hazard Ratio 0,75 pro zusätzlichem Zyklus (p=0,017). Keine signifikante Steigerung früher oder später Grad-≥2-Toxizität. Frühe Grad-≥2-Anämie (27,8%) assoziiert mit schlechterer Prognose (p=0,006).</w:t>
      </w:r>
    </w:p>
    <w:p>
      <w:r>
        <w:rPr>
          <w:b/>
          <w:sz w:val="19"/>
        </w:rPr>
        <w:t xml:space="preserve">Übertragbarkeit: </w:t>
      </w:r>
      <w:r>
        <w:rPr>
          <w:sz w:val="19"/>
        </w:rPr>
        <w:t>Deutsche Universitätsklinik Dresden, vergleichbare Behandlungsstandards</w:t>
      </w:r>
    </w:p>
    <w:p>
      <w:r>
        <w:rPr>
          <w:color w:val="5A7D3A"/>
          <w:sz w:val="18"/>
        </w:rPr>
        <w:t>https://pubmed.ncbi.nlm.nih.gov/42850392/</w:t>
      </w:r>
    </w:p>
    <w:p>
      <w:pPr>
        <w:pStyle w:val="Heading1"/>
      </w:pPr>
      <w:r>
        <w:t>Aufgenommen am 09.10.2026</w:t>
      </w:r>
    </w:p>
    <w:p>
      <w:pPr>
        <w:pStyle w:val="Heading2"/>
      </w:pPr>
      <w:r>
        <w:t>Sozioökonomischer Status und Kognition nach Kinderhirntumor: schwedische Kohortenstudie</w:t>
      </w:r>
    </w:p>
    <w:p>
      <w:r>
        <w:rPr>
          <w:i/>
          <w:color w:val="666666"/>
          <w:sz w:val="18"/>
        </w:rPr>
        <w:t>Beamish J et al.  ·  Neuro Oncol  ·  08.10.2026  ·  PMID 42848686</w:t>
      </w:r>
    </w:p>
    <w:p>
      <w:r>
        <w:t>Bevölkerungsbasierte Registry-Studie mit 461 schwedischen Kindern (Diagnose 2008-2023) zu Zusammenhang zwischen Sozioökonomischem Status (Elternbildung, Einkommen, Beruf) und neurokognitiven Ergebnissen bis 5 Jahre post-diagnose.</w:t>
      </w:r>
    </w:p>
    <w:p>
      <w:r>
        <w:rPr>
          <w:b/>
        </w:rPr>
        <w:t xml:space="preserve">Ergebnis: </w:t>
      </w:r>
      <w:r>
        <w:t>Höherer SES assoziiert mit besseren z-Scores bei Verarbeitungsgeschwindigkeit (+0,23), Arbeitsgedächtnis (+0,25), nonverbalem Reasoning (+0,29) und Gesamtkognition (+0,42). Längere Zeit seit Diagnose mit Rückgang Verarbeitungsgeschwindigkeit und verbalem Reasoning. Keine Interaktion zwischen SES und Abnahmeraten, was auf reduzierte kognitive Reserve statt erhöhte Treatment-Toxizität hinweist.</w:t>
      </w:r>
    </w:p>
    <w:p>
      <w:r>
        <w:rPr>
          <w:b/>
          <w:sz w:val="19"/>
        </w:rPr>
        <w:t xml:space="preserve">Übertragbarkeit: </w:t>
      </w:r>
      <w:r>
        <w:rPr>
          <w:sz w:val="19"/>
        </w:rPr>
        <w:t>Schwedisches universales Gesundheitssystem, vergleichbar mit deutschem System und Survivalship-Dateninfrastruktur.</w:t>
      </w:r>
    </w:p>
    <w:p>
      <w:r>
        <w:rPr>
          <w:color w:val="5A7D3A"/>
          <w:sz w:val="18"/>
        </w:rPr>
        <w:t>https://pubmed.ncbi.nlm.nih.gov/42848686/</w:t>
      </w:r>
    </w:p>
    <w:p>
      <w:pPr>
        <w:pStyle w:val="Heading2"/>
      </w:pPr>
      <w:r>
        <w:t>Brain-Metastasis-Risikokalkulator für frühen Brustkrebs validiert</w:t>
      </w:r>
    </w:p>
    <w:p>
      <w:r>
        <w:rPr>
          <w:i/>
          <w:color w:val="666666"/>
          <w:sz w:val="18"/>
        </w:rPr>
        <w:t>Raghavendra AS et al.  ·  J Natl Cancer Inst  ·  08.10.2026  ·  PMID 42848614</w:t>
      </w:r>
    </w:p>
    <w:p>
      <w:r>
        <w:t>Entwicklung und Validierung eines klinischen Vorhersagemodells (BrMR) für Hirnmetastasen-Risiko bei Stadium-I-III-Brustkrebs basierend auf 40.282 Trainings- und 1.644 Validierungspatienten.</w:t>
      </w:r>
    </w:p>
    <w:p>
      <w:r>
        <w:rPr>
          <w:b/>
        </w:rPr>
        <w:t xml:space="preserve">Ergebnis: </w:t>
      </w:r>
      <w:r>
        <w:t>C-Index 0,79 (Training), 0,76 (Validierung); AUROC 0,81/0,79/0,76/0,75 nach 4/6/8/10 Jahren. HER2-Positivität, hohes Ki-67, inflammatorischer Typ und höherer T/N-Status erhöhten Risiko; ER/PR-Positivität, höheres Alter und endokrine Therapie senkten es.</w:t>
      </w:r>
    </w:p>
    <w:p>
      <w:r>
        <w:rPr>
          <w:b/>
          <w:sz w:val="19"/>
        </w:rPr>
        <w:t xml:space="preserve">Übertragbarkeit: </w:t>
      </w:r>
      <w:r>
        <w:rPr>
          <w:sz w:val="19"/>
        </w:rPr>
        <w:t>Validiert in Belgien (Institut Jules Bordet), Datengrundlage für deutsches System adaptierbar.</w:t>
      </w:r>
    </w:p>
    <w:p>
      <w:r>
        <w:rPr>
          <w:color w:val="5A7D3A"/>
          <w:sz w:val="18"/>
        </w:rPr>
        <w:t>https://pubmed.ncbi.nlm.nih.gov/42848614/</w:t>
      </w:r>
    </w:p>
    <w:p>
      <w:pPr>
        <w:pStyle w:val="Heading2"/>
      </w:pPr>
      <w:r>
        <w:t>Preinvasive regulatorische T-Zellen bei Lungenkrebsentstehung: Interventionsziel</w:t>
      </w:r>
    </w:p>
    <w:p>
      <w:r>
        <w:rPr>
          <w:i/>
          <w:color w:val="666666"/>
          <w:sz w:val="18"/>
        </w:rPr>
        <w:t>Gamble S et al.  ·  Nature  ·  07.10.2026  ·  PMID 42844481</w:t>
      </w:r>
    </w:p>
    <w:p>
      <w:r>
        <w:t>Multi-omische Studie mit Bronchoskopie und CT-Bildgebung an Patienten mit preinvasiven Lungenschleimhaut-Läsionen: Identifikation von effektiven regulatorischen CD4+-T-Zellen (eTreg, BATF+) als Frühmarker und therapeutisches Ziel.</w:t>
      </w:r>
    </w:p>
    <w:p>
      <w:r>
        <w:rPr>
          <w:b/>
        </w:rPr>
        <w:t xml:space="preserve">Ergebnis: </w:t>
      </w:r>
      <w:r>
        <w:t>eTreg-Zellen reicherten sich in hochgradigen Läsionen an und korrelierten mit zirkulierenden eTreg-Zellen. Bei Mäusen reduzierte PI3Kδ-Inhibition eTreg-reiche tertiäre lymphoide Strukturen (iTLS), senkte Lungentumoranzahl und -größe. Circulating eTreg-Zellen ermöglichten nicht-invasive Verfolgung der Tumorprogression. eTreg-Achse gekennzeichnet schnelle Progression in frühem NSCLC (CT-Screening).</w:t>
      </w:r>
    </w:p>
    <w:p>
      <w:r>
        <w:rPr>
          <w:b/>
          <w:sz w:val="19"/>
        </w:rPr>
        <w:t xml:space="preserve">Übertragbarkeit: </w:t>
      </w:r>
      <w:r>
        <w:rPr>
          <w:sz w:val="19"/>
        </w:rPr>
        <w:t>UK-Studie (UCL), Mechanismus und Biomarker übertragbar; klinische Anwendung erfordert deutsche Validierung.</w:t>
      </w:r>
    </w:p>
    <w:p>
      <w:r>
        <w:rPr>
          <w:color w:val="5A7D3A"/>
          <w:sz w:val="18"/>
        </w:rPr>
        <w:t>https://pubmed.ncbi.nlm.nih.gov/42844481/</w:t>
      </w:r>
    </w:p>
    <w:p>
      <w:pPr>
        <w:pStyle w:val="Heading2"/>
      </w:pPr>
      <w:r>
        <w:t>Single-Item-Maße für wahrgenommene Therapienebenwirkungen: Scoping Review</w:t>
      </w:r>
    </w:p>
    <w:p>
      <w:r>
        <w:rPr>
          <w:i/>
          <w:color w:val="666666"/>
          <w:sz w:val="18"/>
        </w:rPr>
        <w:t>Jones T et al.  ·  Eur J Cancer  ·  04.10.2026  ·  PMID 42843209</w:t>
      </w:r>
    </w:p>
    <w:p>
      <w:r>
        <w:t>Systematische Analyse zu Einsatz, psychometrischen Eigenschaften und Validität von Single-Item-Fragebögen (EORTC Q168, FACIT GP5) für Treatment-Related Symptom Burden in Krebsstudien.</w:t>
      </w:r>
    </w:p>
    <w:p>
      <w:r>
        <w:rPr>
          <w:b/>
        </w:rPr>
        <w:t xml:space="preserve">Ergebnis: </w:t>
      </w:r>
      <w:r>
        <w:t>67 publizierte Studien und 74 klinische Trials eingeschlossen. FACIT GP5 breiter eingesetzt über Tumortypen (n=27 psychometrische Studien), EORTC Q168 konzentriert auf Pankreas- und Gallenblasenkrebs (n=2). Nachweise für Validität, Reliabilität, Responsiveness, aber konzeptionelle Limitationen bleiben (Symptomzuordnung zu Therapie vs. Erkrankung unklar).</w:t>
      </w:r>
    </w:p>
    <w:p>
      <w:r>
        <w:rPr>
          <w:b/>
          <w:sz w:val="19"/>
        </w:rPr>
        <w:t xml:space="preserve">Übertragbarkeit: </w:t>
      </w:r>
      <w:r>
        <w:rPr>
          <w:sz w:val="19"/>
        </w:rPr>
        <w:t>Europäische Autorengruppe (EORTC), auf deutsche Studien und Zentrenprotokolle direkt anwendbar.</w:t>
      </w:r>
    </w:p>
    <w:p>
      <w:r>
        <w:rPr>
          <w:color w:val="5A7D3A"/>
          <w:sz w:val="18"/>
        </w:rPr>
        <w:t>https://pubmed.ncbi.nlm.nih.gov/42843209/</w:t>
      </w:r>
    </w:p>
    <w:p>
      <w:pPr>
        <w:pStyle w:val="Heading2"/>
      </w:pPr>
      <w:r>
        <w:t>Metastase-gerichtete Ablation im Frühstadium bringt keinen OS-Gewinn bei oligometastasiertem Brustkrebs</w:t>
      </w:r>
    </w:p>
    <w:p>
      <w:r>
        <w:rPr>
          <w:i/>
          <w:color w:val="666666"/>
          <w:sz w:val="18"/>
        </w:rPr>
        <w:t>Chmura SJ et al.  ·  J Clin Oncol  ·  07.10.2026  ·  PMID 42842849</w:t>
      </w:r>
    </w:p>
    <w:p>
      <w:r>
        <w:t>Randomisierte Phase-II/III-Studie (NRG-BR002) mit 125 Patienten (≤4 Metastasen, ≤12 Monate erste systemische Therapie): Metastase-gerichtete Ablation (SBRT/Chirurgie) + Systemtherapie versus nur Systemtherapie als Kontroll.</w:t>
      </w:r>
    </w:p>
    <w:p>
      <w:r>
        <w:rPr>
          <w:b/>
        </w:rPr>
        <w:t xml:space="preserve">Ergebnis: </w:t>
      </w:r>
      <w:r>
        <w:t>Medianes progressionsfreies Überleben: 19,5 Monate (Ablation) vs. 23,0 Monate (nur Systemtherapie); HR 0,92 (70%-KI 0,71-1,17, einseitig p=0,36). Studie schritt nicht zu Phase III vor. OS kein signifikanter Unterschied (HR 1,07, p=0,41). Explorative Analyse: möglicher Vorteil bei niedrigen/fehlenden CTCs. Keine Grade-5-Toxizitäten.</w:t>
      </w:r>
    </w:p>
    <w:p>
      <w:r>
        <w:rPr>
          <w:b/>
          <w:sz w:val="19"/>
        </w:rPr>
        <w:t xml:space="preserve">Übertragbarkeit: </w:t>
      </w:r>
      <w:r>
        <w:rPr>
          <w:sz w:val="19"/>
        </w:rPr>
        <w:t>Nordamerikanische multizentrische RCT (USA/Kanada), Patientenpopulation und Endpoints für deutsches System relevant.</w:t>
      </w:r>
    </w:p>
    <w:p>
      <w:r>
        <w:rPr>
          <w:color w:val="5A7D3A"/>
          <w:sz w:val="18"/>
        </w:rPr>
        <w:t>https://pubmed.ncbi.nlm.nih.gov/42842849/</w:t>
      </w:r>
    </w:p>
    <w:p>
      <w:pPr>
        <w:pStyle w:val="Heading2"/>
      </w:pPr>
      <w:r>
        <w:t>Adjuvante Radiotherapie reduziert Rezidive bei atypischen Meningiomen um 46 %</w:t>
      </w:r>
    </w:p>
    <w:p>
      <w:r>
        <w:rPr>
          <w:i/>
          <w:color w:val="666666"/>
          <w:sz w:val="18"/>
        </w:rPr>
        <w:t>Jenkinson MD et al.  ·  Lancet  ·  10.10.2026  ·  PMID 42790456</w:t>
      </w:r>
    </w:p>
    <w:p>
      <w:r>
        <w:t>Randomisierte Phase-3-Studie (ROAM/EORTC-1308) an 157 Patienten mit WHO-Grad-2-Meningiom nach kompletter Resektion: Radiotherapie (60 Gy/30 Fraktionen) versus Beobachtung.</w:t>
      </w:r>
    </w:p>
    <w:p>
      <w:r>
        <w:rPr>
          <w:b/>
        </w:rPr>
        <w:t xml:space="preserve">Ergebnis: </w:t>
      </w:r>
      <w:r>
        <w:t>5-Jahres-rezidivfreies Überleben: 79,9 % (Radiotherapie) vs. 64,3 % (Beobachtung); Hazard Ratio 0,51 (p=0,0396). Grad-2/3-Nebenwirkungen in 8 % der bestrahlten Patienten, keine Todesfälle durch Strahlung. Rezidive traten bei 14 % vs. 30 % auf.</w:t>
      </w:r>
    </w:p>
    <w:p>
      <w:r>
        <w:rPr>
          <w:b/>
          <w:sz w:val="19"/>
        </w:rPr>
        <w:t xml:space="preserve">Übertragbarkeit: </w:t>
      </w:r>
      <w:r>
        <w:rPr>
          <w:sz w:val="19"/>
        </w:rPr>
        <w:t>Europäische multizentrische RCT (11 Länder), übertragbar auf deutsches Versorgungssystem und Zertifizierungsstandards.</w:t>
      </w:r>
    </w:p>
    <w:p>
      <w:r>
        <w:rPr>
          <w:color w:val="5A7D3A"/>
          <w:sz w:val="18"/>
        </w:rPr>
        <w:t>https://pubmed.ncbi.nlm.nih.gov/42790456/</w:t>
      </w:r>
    </w:p>
    <w:p>
      <w:pPr>
        <w:pStyle w:val="Heading1"/>
      </w:pPr>
      <w:r>
        <w:t>Aufgenommen am 08.10.2026</w:t>
      </w:r>
    </w:p>
    <w:p>
      <w:pPr>
        <w:pStyle w:val="Heading2"/>
      </w:pPr>
      <w:r>
        <w:t>ctDNA-Dynamik nach Resektion bestimmt Therapie-Strategien beim Kolorektalkarzinom</w:t>
      </w:r>
    </w:p>
    <w:p>
      <w:r>
        <w:rPr>
          <w:i/>
          <w:color w:val="666666"/>
          <w:sz w:val="18"/>
        </w:rPr>
        <w:t>Nakamura Y et al.  ·  Ann Oncol  ·  07.10.2026  ·  PMID 42843562</w:t>
      </w:r>
    </w:p>
    <w:p>
      <w:r>
        <w:t>Prospektive Biomarker-Studie (CIRCULATE-Japan) zur postoperativen zirkulären Tumor-DNA-Dynamik und Eligibilität für MRD-gesteuerte Therapie bei Kolorektalkarzinom; insgesamt 402 Patienten eingeschlossen.</w:t>
      </w:r>
    </w:p>
    <w:p>
      <w:r>
        <w:rPr>
          <w:b/>
        </w:rPr>
        <w:t xml:space="preserve">Ergebnis: </w:t>
      </w:r>
      <w:r>
        <w:t>Postoperative ctDNA-Muster bei 402 Patienten erfasst; Details zu ctDNA-Clearance, Persistenz und Zusammenhang mit TOMR-Eligibilität für adaptive Therapiesteuerung angekündigt. Studie abgeschlossen mit vollständigem Datensatz; Primäranalyse präsentiert mit Fokus auf MRD-gelenkte Behandlungsansätze.</w:t>
      </w:r>
    </w:p>
    <w:p>
      <w:r>
        <w:rPr>
          <w:b/>
          <w:sz w:val="19"/>
        </w:rPr>
        <w:t xml:space="preserve">Übertragbarkeit: </w:t>
      </w:r>
      <w:r>
        <w:rPr>
          <w:sz w:val="19"/>
        </w:rPr>
        <w:t>Japan, Gesundheitssystem mit ähnlichen Dokumentations- und Qualitätsstandards wie Deutschland</w:t>
      </w:r>
    </w:p>
    <w:p>
      <w:r>
        <w:rPr>
          <w:color w:val="5A7D3A"/>
          <w:sz w:val="18"/>
        </w:rPr>
        <w:t>https://pubmed.ncbi.nlm.nih.gov/42843562/</w:t>
      </w:r>
    </w:p>
    <w:p>
      <w:pPr>
        <w:pStyle w:val="Heading2"/>
      </w:pPr>
      <w:r>
        <w:t>Neoadjuvantes Niraparib ermöglicht R0-Resektion bei HRD-positivem Ovarialkarzinom</w:t>
      </w:r>
    </w:p>
    <w:p>
      <w:r>
        <w:rPr>
          <w:i/>
          <w:color w:val="666666"/>
          <w:sz w:val="18"/>
        </w:rPr>
        <w:t>Liu D et al.  ·  Lancet Oncol  ·  07.10.2026  ·  PMID 42843394</w:t>
      </w:r>
    </w:p>
    <w:p>
      <w:r>
        <w:t>Phase-2-Studie zu Niraparib-Monotherapie ohne Chemotherapie bei HRD-positiven, initial inoperablen Ovarialkarzinom-Patientinnen mit hohem chirurgischem Risiko.</w:t>
      </w:r>
    </w:p>
    <w:p>
      <w:r>
        <w:rPr>
          <w:b/>
        </w:rPr>
        <w:t xml:space="preserve">Ergebnis: </w:t>
      </w:r>
      <w:r>
        <w:t>Unter 67 Patientinnen: objektive Ansprechrate 63% (95%-KI 47–76), R0-Resektionsrate 80% (95%-KI 64–91). Häufigste Grad-3/4-Nebenwirkungen waren Thrombozytopenie (48%), Leukopenie (19%), Anämie (18%); 28% hatten ernsthafte Nebenwirkungen, keine Todesfälle durch Behandlung. Strategie bleibt investigativ und benötigt randomisierte Validierung gegen Standard-Chemotherapie.</w:t>
      </w:r>
    </w:p>
    <w:p>
      <w:r>
        <w:rPr>
          <w:b/>
          <w:sz w:val="19"/>
        </w:rPr>
        <w:t xml:space="preserve">Übertragbarkeit: </w:t>
      </w:r>
      <w:r>
        <w:rPr>
          <w:sz w:val="19"/>
        </w:rPr>
        <w:t>China, ähnliche Dokumentationsstandards; Datenschnitt mit 37,7 Monaten Follow-up verfügbar</w:t>
      </w:r>
    </w:p>
    <w:p>
      <w:r>
        <w:rPr>
          <w:color w:val="5A7D3A"/>
          <w:sz w:val="18"/>
        </w:rPr>
        <w:t>https://pubmed.ncbi.nlm.nih.gov/42843394/</w:t>
      </w:r>
    </w:p>
    <w:p>
      <w:pPr>
        <w:pStyle w:val="Heading2"/>
      </w:pPr>
      <w:r>
        <w:t>Exom-Sequenzierung identifiziert erbliche Krebsrisiken bei Kindern mit Hochrisiko-Tumoren</w:t>
      </w:r>
    </w:p>
    <w:p>
      <w:r>
        <w:rPr>
          <w:i/>
          <w:color w:val="666666"/>
          <w:sz w:val="18"/>
        </w:rPr>
        <w:t>Adamde Beaumais T et al.  ·  Eur J Cancer  ·  04.10.2026  ·  PMID 42843210</w:t>
      </w:r>
    </w:p>
    <w:p>
      <w:r>
        <w:t>Systematische Keimbahnanalyse aus therapeutischem Profiling (MAPPYACTS-Studie) bei 674 Kindern mit rezidivierenden/refraktären Malignomen zur Identifikation actionabler genetischer Befunde.</w:t>
      </w:r>
    </w:p>
    <w:p>
      <w:r>
        <w:rPr>
          <w:b/>
        </w:rPr>
        <w:t xml:space="preserve">Ergebnis: </w:t>
      </w:r>
      <w:r>
        <w:t>19,3% der Patienten (130/674) trugen pathogene/wahrscheinlich pathogene Varianten in 53 Krebs-Prädispositionsgenen; 8,6% (58) benötigten genetische Beratung. Häufigste Gene: TP53 (n=17), DICER1 (n=5), BRCA1 (n=4). 35% der Befunde waren nicht vorher bekannt. Zusätzlich 10 Patienten (1,5%) mit actionablen Varianten in Nicht-Krebs-Genen (Kardiomyopathien, familiäre Hyperholesterinämie). 98,6% der Familien stimmten Offenlegung zu.</w:t>
      </w:r>
    </w:p>
    <w:p>
      <w:r>
        <w:rPr>
          <w:b/>
          <w:sz w:val="19"/>
        </w:rPr>
        <w:t xml:space="preserve">Übertragbarkeit: </w:t>
      </w:r>
      <w:r>
        <w:rPr>
          <w:sz w:val="19"/>
        </w:rPr>
        <w:t>Frankreich; multidisziplinärer Rahmen übertragbar auf deutsche Zentren mit genetischer Beratung</w:t>
      </w:r>
    </w:p>
    <w:p>
      <w:r>
        <w:rPr>
          <w:color w:val="5A7D3A"/>
          <w:sz w:val="18"/>
        </w:rPr>
        <w:t>https://pubmed.ncbi.nlm.nih.gov/42843210/</w:t>
      </w:r>
    </w:p>
    <w:p>
      <w:pPr>
        <w:pStyle w:val="Heading2"/>
      </w:pPr>
      <w:r>
        <w:t>Screening-Intervalle für Mundhöhlenkrebs können auf zehn Jahre verlängert werden</w:t>
      </w:r>
    </w:p>
    <w:p>
      <w:r>
        <w:rPr>
          <w:i/>
          <w:color w:val="666666"/>
          <w:sz w:val="18"/>
        </w:rPr>
        <w:t>Cheung LC et al.  ·  J Natl Cancer Inst  ·  07.10.2026  ·  PMID 42842394</w:t>
      </w:r>
    </w:p>
    <w:p>
      <w:r>
        <w:t>Langzeitbeobachtung von 41.225 Kau- und Raucher aus der Kerala Oral Cancer Screening Trial (1996–2010): Analyse von Screening-Sensitivität, prädiktiven Werten und natürlicher Krankheitsgeschichte über multistate-Modelle.</w:t>
      </w:r>
    </w:p>
    <w:p>
      <w:r>
        <w:rPr>
          <w:b/>
        </w:rPr>
        <w:t xml:space="preserve">Ergebnis: </w:t>
      </w:r>
      <w:r>
        <w:t>Visuelles Screening über zwei aufeinanderfolgende Untersuchungen (Median 3,5 Jahre Abstand): Sensitivität 89,2%, positiv-prädiktiver Wert 1,55%, negativer Vorhersagewert 99,96% für prävalente Krebsfälle. Wiederholte Screening-Negative hatten 32-fach niedrigeres Krebsrisiko über 11 Jahre. Mittlere Dauer von Früh- zu Spätstadium: 2,7 Jahre. Mittlere Verweilzeit in Präkanzerose: 19,3 Jahre.</w:t>
      </w:r>
    </w:p>
    <w:p>
      <w:r>
        <w:rPr>
          <w:b/>
          <w:sz w:val="19"/>
        </w:rPr>
        <w:t xml:space="preserve">Übertragbarkeit: </w:t>
      </w:r>
      <w:r>
        <w:rPr>
          <w:sz w:val="19"/>
        </w:rPr>
        <w:t>Indien, hohe Prävalenz von Kau- und Rauchtabak; Screening-Algorithmus prinzipiell auf europäische Risikopopulationen übertragbar</w:t>
      </w:r>
    </w:p>
    <w:p>
      <w:r>
        <w:rPr>
          <w:color w:val="5A7D3A"/>
          <w:sz w:val="18"/>
        </w:rPr>
        <w:t>https://pubmed.ncbi.nlm.nih.gov/42842394/</w:t>
      </w:r>
    </w:p>
    <w:p>
      <w:pPr>
        <w:pStyle w:val="Heading2"/>
      </w:pPr>
      <w:r>
        <w:t>Daratumumab plus Lenalidomid/Dexamethason verlängert Überleben bei nicht transplantierbarem Myelom</w:t>
      </w:r>
    </w:p>
    <w:p>
      <w:r>
        <w:rPr>
          <w:i/>
          <w:color w:val="666666"/>
          <w:sz w:val="18"/>
        </w:rPr>
        <w:t>Facon T et al.  ·  Leukemia  ·  06.10.2026  ·  PMID 42839070</w:t>
      </w:r>
    </w:p>
    <w:p>
      <w:r>
        <w:t>Subgruppenanalyse der MAIA-Studie nach Frailty-Status bei älteren Patienten mit neu diagnostiziertem multiplem Myelom, die nicht für Stammzelltransplantation geeignet sind.</w:t>
      </w:r>
    </w:p>
    <w:p>
      <w:r>
        <w:rPr>
          <w:b/>
        </w:rPr>
        <w:t xml:space="preserve">Ergebnis: </w:t>
      </w:r>
      <w:r>
        <w:t>Bei nicht-frailen Patienten war das Gesamtüberleben unter D-Rd signifikant besser (Median nicht erreicht vs. 69,8 Monate; HR 0,53; 95%-KI 0,37–0,76; p=0,0004); bei frailen Patienten zeigte sich ein Trend ohne Signifikanz (HR 0,79; p=0,1128). Komplette Remissionsraten und MRD-Negativität waren über alle Frailty-Gruppen hinweg verbessert; längere Therapiedauer unter D-Rd deutete auf bessere Verträglichkeit hin.</w:t>
      </w:r>
    </w:p>
    <w:p>
      <w:r>
        <w:rPr>
          <w:b/>
          <w:sz w:val="19"/>
        </w:rPr>
        <w:t xml:space="preserve">Übertragbarkeit: </w:t>
      </w:r>
      <w:r>
        <w:rPr>
          <w:sz w:val="19"/>
        </w:rPr>
        <w:t>Europäische und kanadische Kliniken; direkter Bezug zu deutschen Behandlungsstandards beim älteren Myelom-Patient</w:t>
      </w:r>
    </w:p>
    <w:p>
      <w:r>
        <w:rPr>
          <w:color w:val="5A7D3A"/>
          <w:sz w:val="18"/>
        </w:rPr>
        <w:t>https://pubmed.ncbi.nlm.nih.gov/42839070/</w:t>
      </w:r>
    </w:p>
    <w:p>
      <w:pPr>
        <w:pStyle w:val="Heading2"/>
      </w:pPr>
      <w:r>
        <w:t>Blinatumomab-Kombination verbessert Überleben bei BCR::ABL1-negativer adulter ALL in Hochrisiko-Subtypen</w:t>
      </w:r>
    </w:p>
    <w:p>
      <w:r>
        <w:rPr>
          <w:i/>
          <w:color w:val="666666"/>
          <w:sz w:val="18"/>
        </w:rPr>
        <w:t>Zhong X et al.  ·  Blood  ·  05.10.2026  ·  PMID 42832396</w:t>
      </w:r>
    </w:p>
    <w:p>
      <w:r>
        <w:t>Genomische Charakterisierung von 569 Patienten der ECOG-ACRIN E1910-Studie zu Blinatumomab plus Chemotherapie bei BCR::ABL1-negativer B-ALL; Analyse von 23 Molekularsubtypen und Treibergenen.</w:t>
      </w:r>
    </w:p>
    <w:p>
      <w:r>
        <w:rPr>
          <w:b/>
        </w:rPr>
        <w:t xml:space="preserve">Ergebnis: </w:t>
      </w:r>
      <w:r>
        <w:t>Blinatumomab-Addition führte zu verbessertem rezidivfreiem und Gesamtüberleben bei hyperdiploidem, PAX5alt, PAX5 P80R, BCR::ABL1-ähnlichem JAK-STAT und KMT2A-R-Subtyp. TP53-Alterationen oder CHIP-assoziierte Mutationen (insgesamt 15,3% bzw. 9,8%) waren mit älterem Diagnose-Alter und schlechterem Ergebnis assoziiert. Analysen für einzelne Subtypen kleinerer Fallzahlen; Bestätigung erforderlich.</w:t>
      </w:r>
    </w:p>
    <w:p>
      <w:r>
        <w:rPr>
          <w:b/>
          <w:sz w:val="19"/>
        </w:rPr>
        <w:t xml:space="preserve">Übertragbarkeit: </w:t>
      </w:r>
      <w:r>
        <w:rPr>
          <w:sz w:val="19"/>
        </w:rPr>
        <w:t>USA; genomische Klassifikation und Therapiestrategie prinzipiell auf deutsche ALL-Zentren übertragbar</w:t>
      </w:r>
    </w:p>
    <w:p>
      <w:r>
        <w:rPr>
          <w:color w:val="5A7D3A"/>
          <w:sz w:val="18"/>
        </w:rPr>
        <w:t>https://pubmed.ncbi.nlm.nih.gov/42832396/</w:t>
      </w:r>
    </w:p>
    <w:p>
      <w:pPr>
        <w:pStyle w:val="Heading1"/>
      </w:pPr>
      <w:r>
        <w:t>Aufgenommen am 07.10.2026</w:t>
      </w:r>
    </w:p>
    <w:p>
      <w:pPr>
        <w:pStyle w:val="Heading2"/>
      </w:pPr>
      <w:r>
        <w:t>Saure Mikroumgebung vermindert CD8-Immunität: Zielstruktur für Immuntherapie-Resistenz bei Magenkrebs</w:t>
      </w:r>
    </w:p>
    <w:p>
      <w:r>
        <w:rPr>
          <w:i/>
          <w:color w:val="666666"/>
          <w:sz w:val="18"/>
        </w:rPr>
        <w:t>Wang T et al.  ·  Cancer Cell  ·  06.10.2026  ·  PMID 42838052</w:t>
      </w:r>
    </w:p>
    <w:p>
      <w:r>
        <w:t>Einzelzell-Chromatin-Accessibility-Atlas von 650 Proben aus 439 Patienten mit multistep-Magenkrebsentstehung zur Identifikation epigenomischer Subtypen und ihrer Immuntherapie-Sensitivität.</w:t>
      </w:r>
    </w:p>
    <w:p>
      <w:r>
        <w:rPr>
          <w:b/>
        </w:rPr>
        <w:t xml:space="preserve">Ergebnis: </w:t>
      </w:r>
      <w:r>
        <w:t>Drei epigenomische Subtypen: proliferativ und mesenchymal-inflammatorisch sind sensitiv für neoadjuvante Immuntherapie. Ein dritter, pseudo-gastraler Subtyp ist intrinsisch therapieresistent, gekennzeichnet durch FOSL2-getriebene H+/K+-ATPase-Expression und Acidifiez­rung. Inhibition durch FOSL2-Depletion oder Vonoprazan (verfügbarer H+-Blocker) sensibilisiert für Immuntherapie und unterdrückt CD8+ T-Zellen.</w:t>
      </w:r>
    </w:p>
    <w:p>
      <w:r>
        <w:rPr>
          <w:b/>
          <w:sz w:val="19"/>
        </w:rPr>
        <w:t xml:space="preserve">Übertragbarkeit: </w:t>
      </w:r>
      <w:r>
        <w:rPr>
          <w:sz w:val="19"/>
        </w:rPr>
        <w:t>China, Mechanismus epigenetisch fundiert; Vonoprazan in Deutschland zugelassen, klinische Translation noch offen.</w:t>
      </w:r>
    </w:p>
    <w:p>
      <w:r>
        <w:rPr>
          <w:color w:val="5A7D3A"/>
          <w:sz w:val="18"/>
        </w:rPr>
        <w:t>https://pubmed.ncbi.nlm.nih.gov/42838052/</w:t>
      </w:r>
    </w:p>
    <w:p>
      <w:pPr>
        <w:pStyle w:val="Heading2"/>
      </w:pPr>
      <w:r>
        <w:t>Glofitamab plus Polatuzumab-R-CHP: 95% Complete-Response-Rate bei DLBCL</w:t>
      </w:r>
    </w:p>
    <w:p>
      <w:r>
        <w:rPr>
          <w:i/>
          <w:color w:val="666666"/>
          <w:sz w:val="18"/>
        </w:rPr>
        <w:t>Crombie JL et al.  ·  Blood  ·  06.10.2026  ·  PMID 42837325</w:t>
      </w:r>
    </w:p>
    <w:p>
      <w:r>
        <w:t>Phase-II-Studie zur Kombination des CD3xCD20-Bispecific-Antikörpers Glofitamab mit Polatuzumab und Standardchemotherapie (pola-R-CHP) bei neu diagnostiziertem diffusem großzelligem B-Zell-Lymphom mit IPI ≥2.</w:t>
      </w:r>
    </w:p>
    <w:p>
      <w:r>
        <w:rPr>
          <w:b/>
        </w:rPr>
        <w:t xml:space="preserve">Ergebnis: </w:t>
      </w:r>
      <w:r>
        <w:t>Best Complete-Response-Rate 95% (39/41; 95%-KI 83–99), beide Patienten mit Partialremission konvertierten ohne Intervention. Bei Median-Follow-up 23,9 Monate: 24-Monats-PFS 95% (95%-KI 89–100). Cytokine-Release-Syndrome nur Grad 1 (n=4, 10%), keine Neurotoxizität. Vorläufig belastbare Ansprechraten und Verträglichkeit.</w:t>
      </w:r>
    </w:p>
    <w:p>
      <w:r>
        <w:rPr>
          <w:b/>
          <w:sz w:val="19"/>
        </w:rPr>
        <w:t xml:space="preserve">Übertragbarkeit: </w:t>
      </w:r>
      <w:r>
        <w:rPr>
          <w:sz w:val="19"/>
        </w:rPr>
        <w:t>USA, ähnlicher Ressourcenausstattung wie deutsches System; Zulassung noch zu klären.</w:t>
      </w:r>
    </w:p>
    <w:p>
      <w:r>
        <w:rPr>
          <w:color w:val="5A7D3A"/>
          <w:sz w:val="18"/>
        </w:rPr>
        <w:t>https://pubmed.ncbi.nlm.nih.gov/42837325/</w:t>
      </w:r>
    </w:p>
    <w:p>
      <w:pPr>
        <w:pStyle w:val="Heading2"/>
      </w:pPr>
      <w:r>
        <w:t>Telomerlänge prognostiziert Progression bei CLL unter Venetoclax-Therapie</w:t>
      </w:r>
    </w:p>
    <w:p>
      <w:r>
        <w:rPr>
          <w:i/>
          <w:color w:val="666666"/>
          <w:sz w:val="18"/>
        </w:rPr>
        <w:t>Jebaraj BMC et al.  ·  Blood  ·  06.10.2026  ·  PMID 42837320</w:t>
      </w:r>
    </w:p>
    <w:p>
      <w:r>
        <w:t>Prospektive Analyse von 917 Patientenproben aus den randomisierten Studien GAIA/CLL13 und CLL2-GIVe zu prognostischer Bedeutung der Telomerlänge unter modernen Targeted Therapies bei chronischer lymphatischer Leukämie.</w:t>
      </w:r>
    </w:p>
    <w:p>
      <w:r>
        <w:rPr>
          <w:b/>
        </w:rPr>
        <w:t xml:space="preserve">Ergebnis: </w:t>
      </w:r>
      <w:r>
        <w:t>Kurze Telomere (Cutoff 4,17 kb) korrelierten mit ungünstigen klinischen und genetischen Merkmalen (alle p&lt;0,01). Sie waren unabhängiger Prognosefaktor für verkürztes progressionsfreies Überleben in allen Behandlungsarmen (p&lt;0,01), in der Chemoimmunotherapie auch für Gesamtüberleben (p=0,024). Unter Venetoclax-basierten Kombinationen: Median-PFS 7 Jahre bei langen Telomeren, deutlich kürzer bei kurzen.</w:t>
      </w:r>
    </w:p>
    <w:p>
      <w:r>
        <w:rPr>
          <w:b/>
          <w:sz w:val="19"/>
        </w:rPr>
        <w:t xml:space="preserve">Übertragbarkeit: </w:t>
      </w:r>
      <w:r>
        <w:rPr>
          <w:sz w:val="19"/>
        </w:rPr>
        <w:t>Deutsche und europäische Multizenterstudie, direkt auf deutsches Krebszentrumsetting übertragbar.</w:t>
      </w:r>
    </w:p>
    <w:p>
      <w:r>
        <w:rPr>
          <w:color w:val="5A7D3A"/>
          <w:sz w:val="18"/>
        </w:rPr>
        <w:t>https://pubmed.ncbi.nlm.nih.gov/42837320/</w:t>
      </w:r>
    </w:p>
    <w:p>
      <w:pPr>
        <w:pStyle w:val="Heading2"/>
      </w:pPr>
      <w:r>
        <w:t>21-Gen-Recurrence-Score bei pN2-3 Brustkrebs: OS-Vorteil durch Chemotherapie</w:t>
      </w:r>
    </w:p>
    <w:p>
      <w:r>
        <w:rPr>
          <w:i/>
          <w:color w:val="666666"/>
          <w:sz w:val="18"/>
        </w:rPr>
        <w:t>Valenza C et al.  ·  J Natl Cancer Inst  ·  06.10.2026  ·  PMID 42836707</w:t>
      </w:r>
    </w:p>
    <w:p>
      <w:r>
        <w:t>Nationale retrospektive Kohortenstudie (USA, NCDB) an 3.110 von 50.229 Patienten mit hormonrezeptorpositivem/HER2-negativem Brustkrebs (pN2-3) und 21-Gen-RS ≤25 zum Nutzen adjuvanter Chemotherapie trotz niedriger genetischer Risikogruppe.</w:t>
      </w:r>
    </w:p>
    <w:p>
      <w:r>
        <w:rPr>
          <w:b/>
        </w:rPr>
        <w:t xml:space="preserve">Ergebnis: </w:t>
      </w:r>
      <w:r>
        <w:t>Unter 2.058 getesteten Patienten mit RS ≤25 (Median 15) erhielten 68% Chemotherapie. Bei Median-Follow-up 5,3 Jahre: Adjustierte HR für Gesamtüberleben (Chemotherapie vs. keine) 0,62 (95%-KI 0,48–0,81; p=0,0002). Autoren warnen vor Confounder-by-Indication und fordern RCTs – Ergebnis unter Vorbehalt.</w:t>
      </w:r>
    </w:p>
    <w:p>
      <w:r>
        <w:rPr>
          <w:b/>
          <w:sz w:val="19"/>
        </w:rPr>
        <w:t xml:space="preserve">Übertragbarkeit: </w:t>
      </w:r>
      <w:r>
        <w:rPr>
          <w:sz w:val="19"/>
        </w:rPr>
        <w:t>USA-Klinikdaten, System unterscheidet sich; 21-Gen-Test in Deutschland begrenzt verfügbar.</w:t>
      </w:r>
    </w:p>
    <w:p>
      <w:r>
        <w:rPr>
          <w:color w:val="5A7D3A"/>
          <w:sz w:val="18"/>
        </w:rPr>
        <w:t>https://pubmed.ncbi.nlm.nih.gov/42836707/</w:t>
      </w:r>
    </w:p>
    <w:p>
      <w:pPr>
        <w:pStyle w:val="Heading2"/>
      </w:pPr>
      <w:r>
        <w:t>Antibody-Drug-Conjugates versus Chemotherapie: unterschiedliche Lebensqualitäts-Profile</w:t>
      </w:r>
    </w:p>
    <w:p>
      <w:r>
        <w:rPr>
          <w:i/>
          <w:color w:val="666666"/>
          <w:sz w:val="18"/>
        </w:rPr>
        <w:t>Milani M et al.  ·  Oncologist  ·  05.10.2026  ·  PMID 42834440</w:t>
      </w:r>
    </w:p>
    <w:p>
      <w:r>
        <w:t>Prospektive italienische Kohortenstudie (DAMA-Framework) mit elektronischen Patienten-Reported Outcome Measures (ePROMs) bei 122 Patientinnen mit metastasiertem Brustkrebs unter Second-Line-Therapie: 51 ADC vs. 71 konventionelle Chemotherapie, 6-Monats-Follow-up.</w:t>
      </w:r>
    </w:p>
    <w:p>
      <w:r>
        <w:rPr>
          <w:b/>
        </w:rPr>
        <w:t xml:space="preserve">Ergebnis: </w:t>
      </w:r>
      <w:r>
        <w:t>ADC-Gruppe: stärkerer Gewichtsverlust bei 3 Monaten (–3,1 vs. –1,2 kg), größerer Rückgang wöchentlicher körperlicher Aktivität (–41 vs. –22 Min./Woche), höhere psychische Belastung und Caregiver-Burden, aber niedrigere Schmerzwerte (3,7 vs. 5,3). Bei 6 Monaten: mehrere Unterschiede attenuiert. Physische Aktivität korrelierte nicht mit Schmerz, Stress oder Angst.</w:t>
      </w:r>
    </w:p>
    <w:p>
      <w:r>
        <w:rPr>
          <w:b/>
          <w:sz w:val="19"/>
        </w:rPr>
        <w:t xml:space="preserve">Übertragbarkeit: </w:t>
      </w:r>
      <w:r>
        <w:rPr>
          <w:sz w:val="19"/>
        </w:rPr>
        <w:t>Italien, innerhalb Europas übertragbar; ePROM-Ansatz für deutsche Versorgungsforschung relevant.</w:t>
      </w:r>
    </w:p>
    <w:p>
      <w:r>
        <w:rPr>
          <w:color w:val="5A7D3A"/>
          <w:sz w:val="18"/>
        </w:rPr>
        <w:t>https://pubmed.ncbi.nlm.nih.gov/42834440/</w:t>
      </w:r>
    </w:p>
    <w:p>
      <w:pPr>
        <w:pStyle w:val="Heading2"/>
      </w:pPr>
      <w:r>
        <w:t>Krebsinzidenz bei Kindern, Jugendlichen und jungen Erwachsenen in England 2001–2020</w:t>
      </w:r>
    </w:p>
    <w:p>
      <w:r>
        <w:rPr>
          <w:i/>
          <w:color w:val="666666"/>
          <w:sz w:val="18"/>
        </w:rPr>
        <w:t>Thompson S et al.  ·  Eur J Cancer  ·  02.10.2026  ·  PMID 42833137</w:t>
      </w:r>
    </w:p>
    <w:p>
      <w:r>
        <w:t>Nationale Registerstudie aus England (NDRS) zu Trends bei Neudiagnosen von Krebserkrankungen bei Unter-25-Jährigen über 20 Jahre mit Joinpoint-Analyse und Geschlechterstratifizierung.</w:t>
      </w:r>
    </w:p>
    <w:p>
      <w:r>
        <w:rPr>
          <w:b/>
        </w:rPr>
        <w:t xml:space="preserve">Ergebnis: </w:t>
      </w:r>
      <w:r>
        <w:t>Gesamtinzidenz 147 pro Million (0–14 Jahre) und 273 pro Million (15–24 Jahre). Lymphoidale Leukämie und Hirn-/ZNS-Tumoren: 46% der Diagnosen bei Kindern. Bei jungen Erwachsenen: Hodgkin-Lymphom 15%, malignes Melanom 9%, Hodenkrebs 24% der Männer. Kolorektaler Krebs bei 15–24-Jährigen: Anstieg bis 2015, dann APC –37,59% (p&lt;0,001). Schilddrüsenkrebs: kontinuierlicher Anstieg (APC +5,49%, p&lt;0,001). Gebärmutterhalskrebs Rückgang seit 2015 (APC –21,9%, p=0,03).</w:t>
      </w:r>
    </w:p>
    <w:p>
      <w:r>
        <w:rPr>
          <w:b/>
          <w:sz w:val="19"/>
        </w:rPr>
        <w:t xml:space="preserve">Übertragbarkeit: </w:t>
      </w:r>
      <w:r>
        <w:rPr>
          <w:sz w:val="19"/>
        </w:rPr>
        <w:t>England, vergleichbares Versicherungssystem, ähnliche Registerqualität wie Deutschland.</w:t>
      </w:r>
    </w:p>
    <w:p>
      <w:r>
        <w:rPr>
          <w:color w:val="5A7D3A"/>
          <w:sz w:val="18"/>
        </w:rPr>
        <w:t>https://pubmed.ncbi.nlm.nih.gov/42833137/</w:t>
      </w:r>
    </w:p>
    <w:p>
      <w:pPr>
        <w:pStyle w:val="Heading2"/>
      </w:pPr>
      <w:r>
        <w:t>Vaginales Östrogen bei Brust- und Gynäkologie-Krebsüberlebenden: Sicherheit und Wirksamkeit</w:t>
      </w:r>
    </w:p>
    <w:p>
      <w:r>
        <w:rPr>
          <w:i/>
          <w:color w:val="666666"/>
          <w:sz w:val="18"/>
        </w:rPr>
        <w:t>Burns JB et al.  ·  JCO Oncol Pract  ·  05.10.2026  ·  PMID 42832731</w:t>
      </w:r>
    </w:p>
    <w:p>
      <w:r>
        <w:t>Narrative Review zur Sicherheit und Wirksamkeit von Low-Dose-Vaginaloestrogen bei Behandlung von Genitourinary-Syndrome-of-Menopause (GSM) in Patienten mit früherer Brust- oder Gynäkologiakrebserkrankung basierend auf aktueller Literatur und Leitlinien.</w:t>
      </w:r>
    </w:p>
    <w:p>
      <w:r>
        <w:rPr>
          <w:b/>
        </w:rPr>
        <w:t xml:space="preserve">Ergebnis: </w:t>
      </w:r>
      <w:r>
        <w:t>Vaginoestrogen zeigt konsistent signifikante Verbesserung von GSM-Symptomen und Lebensqualität. Minimale systemische Absorption bei Low-Dose-Formulierungen (Serum-Estradiol bleibt postmenopausal). Große observationale Studien und Metaanalysen zeigen keinen erhöhten Brustkrebs-Rezidiv- oder Mortalitätsrisiko, auch bei Östrogenrezeptor-positivem Krebs und Tamoxifen-Therapie. Daten für Aromatase-Inhibitor-Patienten limitiert. Sicherheit und Wirksamkeit unterstützt bei Shared Decision-Making; nicht-hormonale Therapie erste Linie, Low-Dose-Vaginaloestrogen effektive Option bei refraktären Symptomen.</w:t>
      </w:r>
    </w:p>
    <w:p>
      <w:r>
        <w:rPr>
          <w:b/>
          <w:sz w:val="19"/>
        </w:rPr>
        <w:t xml:space="preserve">Übertragbarkeit: </w:t>
      </w:r>
      <w:r>
        <w:rPr>
          <w:sz w:val="19"/>
        </w:rPr>
        <w:t>Systematische Literaturübersicht, internationale Evidenz; deutsches Versorgungsprinzip des Shared Decision-Making abgedeckt.</w:t>
      </w:r>
    </w:p>
    <w:p>
      <w:r>
        <w:rPr>
          <w:color w:val="5A7D3A"/>
          <w:sz w:val="18"/>
        </w:rPr>
        <w:t>https://pubmed.ncbi.nlm.nih.gov/42832731/</w:t>
      </w:r>
    </w:p>
    <w:p>
      <w:pPr>
        <w:pStyle w:val="Heading1"/>
      </w:pPr>
      <w:r>
        <w:t>Aufgenommen am 06.10.2026</w:t>
      </w:r>
    </w:p>
    <w:p>
      <w:pPr>
        <w:pStyle w:val="Heading2"/>
      </w:pPr>
      <w:r>
        <w:t>EGCG reduziert EBV-Reaktivierung bei Nasopharynxkarzinom nicht</w:t>
      </w:r>
    </w:p>
    <w:p>
      <w:r>
        <w:rPr>
          <w:i/>
          <w:color w:val="666666"/>
          <w:sz w:val="18"/>
        </w:rPr>
        <w:t>Tsai HJ et al.  ·  Eur J Cancer  ·  01.10.2026  ·  PMID 42833136</w:t>
      </w:r>
    </w:p>
    <w:p>
      <w:r>
        <w:t>Randomisierte Studie bei 353 Patienten mit Nasopharynxkarzinom in Remission: Epigallocatechingallat (EGCG) aus grünem Tee versus Placebo für 3 Jahre zur Verhinderung von EBV-Reaktivierung und Tumorrezidiv.</w:t>
      </w:r>
    </w:p>
    <w:p>
      <w:r>
        <w:rPr>
          <w:b/>
        </w:rPr>
        <w:t xml:space="preserve">Ergebnis: </w:t>
      </w:r>
      <w:r>
        <w:t>EGCG reduzierte weder die EBV-DNA-Reaktivierungsrate noch die Rezidivrate signifikant. Positive plasma-EBV-DNA war jedoch stark mit hoher Rezidivrate und kürzerer rezidivfreier sowie Gesamtüberlebenszeit assoziiert (alle p&lt;0,05). EBV-DNA eignet sich als Überwachungsmarker.</w:t>
      </w:r>
    </w:p>
    <w:p>
      <w:r>
        <w:rPr>
          <w:b/>
          <w:sz w:val="19"/>
        </w:rPr>
        <w:t xml:space="preserve">Übertragbarkeit: </w:t>
      </w:r>
      <w:r>
        <w:rPr>
          <w:sz w:val="19"/>
        </w:rPr>
        <w:t>Taiwan-Studie, aber Methodik und Ergebnis sind auf HNO-Zentren übertragbar</w:t>
      </w:r>
    </w:p>
    <w:p>
      <w:r>
        <w:rPr>
          <w:color w:val="5A7D3A"/>
          <w:sz w:val="18"/>
        </w:rPr>
        <w:t>https://pubmed.ncbi.nlm.nih.gov/42833136/</w:t>
      </w:r>
    </w:p>
    <w:p>
      <w:pPr>
        <w:pStyle w:val="Heading2"/>
      </w:pPr>
      <w:r>
        <w:t>Mosunetuzumab-Polatuzumab bei älteren fragilen Patienten mit großzelligem B-Lymphom</w:t>
      </w:r>
    </w:p>
    <w:p>
      <w:r>
        <w:rPr>
          <w:i/>
          <w:color w:val="666666"/>
          <w:sz w:val="18"/>
        </w:rPr>
        <w:t>Olszewski AJ et al.  ·  Blood  ·  05.10.2026  ·  PMID 42832423</w:t>
      </w:r>
    </w:p>
    <w:p>
      <w:r>
        <w:t>Offene Phase-I/II-Studie mit 101 älteren/unfitness Patienten mit neu diagnostiziertem diffusem großzelligem B-Lymphom (Medianalter 81 Jahre): Mosunetuzumab plus Polatuzumab vedotin für bis zu 8 Zyklen, bewertet nach geriatrischer Assessmentklassifikation.</w:t>
      </w:r>
    </w:p>
    <w:p>
      <w:r>
        <w:rPr>
          <w:b/>
        </w:rPr>
        <w:t xml:space="preserve">Ergebnis: </w:t>
      </w:r>
      <w:r>
        <w:t>ORR 61,4%, komplette Remission 56,4%. Zwei-Jahres-PFS 52,2%, Zwei-Jahres-OS 62,4% (Median nicht erreicht). Cytokine-Release-Syndrome in 30,6% (überwiegend Grad 1). Infektionsbedingte Mortalität vor allem bei als 'frail' klassifizierten Patienten und während COVID-19-Pandemie.</w:t>
      </w:r>
    </w:p>
    <w:p>
      <w:r>
        <w:rPr>
          <w:b/>
          <w:sz w:val="19"/>
        </w:rPr>
        <w:t xml:space="preserve">Übertragbarkeit: </w:t>
      </w:r>
      <w:r>
        <w:rPr>
          <w:sz w:val="19"/>
        </w:rPr>
        <w:t>Internationales Design, deutschsprachiger Co-Autor, vergleichbare Behandlungsstandards</w:t>
      </w:r>
    </w:p>
    <w:p>
      <w:r>
        <w:rPr>
          <w:color w:val="5A7D3A"/>
          <w:sz w:val="18"/>
        </w:rPr>
        <w:t>https://pubmed.ncbi.nlm.nih.gov/42832423/</w:t>
      </w:r>
    </w:p>
    <w:p>
      <w:pPr>
        <w:pStyle w:val="Heading2"/>
      </w:pPr>
      <w:r>
        <w:t>RVD-lite bewährt sich langfristig bei älteren Multiplem Myelom</w:t>
      </w:r>
    </w:p>
    <w:p>
      <w:r>
        <w:rPr>
          <w:i/>
          <w:color w:val="666666"/>
          <w:sz w:val="18"/>
        </w:rPr>
        <w:t>Gustine JN et al.  ·  Clin Cancer Res  ·  05.10.2026  ·  PMID 42832368</w:t>
      </w:r>
    </w:p>
    <w:p>
      <w:r>
        <w:t>Phase-II-Studie mit 50 transplantationsungeeigneten Myelom-Patienten (Medianalter 73 Jahre): modifizierte Intensität von Lenalidomid, Bortezomib, Dexamethason über 9 Induktions- und 6 Konsolidierungszyklen, Mediannachverfolgung 72 Monate.</w:t>
      </w:r>
    </w:p>
    <w:p>
      <w:r>
        <w:rPr>
          <w:b/>
        </w:rPr>
        <w:t xml:space="preserve">Ergebnis: </w:t>
      </w:r>
      <w:r>
        <w:t>ORR 90%, ≥VGPR 66%. Median-PFS 42 Monate (5-Jahres-PFS 40%), Median-OS 76 Monate (5-Jahres-OS 63%). ECOG-Status 2 assoziiert mit schlechterer PFS und OS. Nur 4% Therapieabbau wegen Toxizität, keine behandlungsbedingte Mortalität.</w:t>
      </w:r>
    </w:p>
    <w:p>
      <w:r>
        <w:rPr>
          <w:b/>
          <w:sz w:val="19"/>
        </w:rPr>
        <w:t xml:space="preserve">Übertragbarkeit: </w:t>
      </w:r>
      <w:r>
        <w:rPr>
          <w:sz w:val="19"/>
        </w:rPr>
        <w:t>US-akademisches Zentrum, aber Outcome-Daten für deutschsprachige Praxen relevant</w:t>
      </w:r>
    </w:p>
    <w:p>
      <w:r>
        <w:rPr>
          <w:color w:val="5A7D3A"/>
          <w:sz w:val="18"/>
        </w:rPr>
        <w:t>https://pubmed.ncbi.nlm.nih.gov/42832368/</w:t>
      </w:r>
    </w:p>
    <w:p>
      <w:pPr>
        <w:pStyle w:val="Heading2"/>
      </w:pPr>
      <w:r>
        <w:t>Finanzielle Anreize fördern Rauchstopp bei Lungenkrebsscreening</w:t>
      </w:r>
    </w:p>
    <w:p>
      <w:r>
        <w:rPr>
          <w:i/>
          <w:color w:val="666666"/>
          <w:sz w:val="18"/>
        </w:rPr>
        <w:t>Hart JL et al.  ·  JAMA  ·  05.10.2026  ·  PMID 42832220</w:t>
      </w:r>
    </w:p>
    <w:p>
      <w:r>
        <w:t>Randomisierte Studie mit 3.220 unterversorgten Rauchern beim Lungenkrebsscreening in USA: vier Strategien verglichen – Standardberatung, plus freie Pharmakotherapie, plus finanzielle Anreize bis 600 USD, plus mobile Health-App.</w:t>
      </w:r>
    </w:p>
    <w:p>
      <w:r>
        <w:rPr>
          <w:b/>
        </w:rPr>
        <w:t xml:space="preserve">Ergebnis: </w:t>
      </w:r>
      <w:r>
        <w:t>Sustained Abstinenz über 6 Monate: 4,3% (Standardberatung), 5,1% (Pharmaka), 8,8% (Anreize), 7,2% (Anreize+App). Anreize zeigten adjustierte Differenz von +4,6% gegenüber Standard (p&lt;0,001) und +4,1% gegenüber Standard+Pharmaka (p&lt;0,001). Freie Medikation allein war nicht überlegen.</w:t>
      </w:r>
    </w:p>
    <w:p>
      <w:r>
        <w:rPr>
          <w:b/>
          <w:sz w:val="19"/>
        </w:rPr>
        <w:t xml:space="preserve">Übertragbarkeit: </w:t>
      </w:r>
      <w:r>
        <w:rPr>
          <w:sz w:val="19"/>
        </w:rPr>
        <w:t>USA-System mit anderer Krankenversicherung, aber Befund zu Anreizmechanismen gesundheitssystemübergreifend relevant</w:t>
      </w:r>
    </w:p>
    <w:p>
      <w:r>
        <w:rPr>
          <w:color w:val="5A7D3A"/>
          <w:sz w:val="18"/>
        </w:rPr>
        <w:t>https://pubmed.ncbi.nlm.nih.gov/42832220/</w:t>
      </w:r>
    </w:p>
    <w:p>
      <w:pPr>
        <w:pStyle w:val="Heading2"/>
      </w:pPr>
      <w:r>
        <w:t>Sequenzierung von Regorafenib vor Anti-EGFR ist möglich – Studie aber unterbesetzt</w:t>
      </w:r>
    </w:p>
    <w:p>
      <w:r>
        <w:rPr>
          <w:i/>
          <w:color w:val="666666"/>
          <w:sz w:val="18"/>
        </w:rPr>
        <w:t>Abidoye OB et al.  ·  Oncologist  ·  03.10.2026  ·  PMID 42830449</w:t>
      </w:r>
    </w:p>
    <w:p>
      <w:r>
        <w:t>Phase-II-Randomisierungsstudie REVERCE II mit 22 Patienten mit RAS/BRAF-WT metastasiertem Kolorektalkarzinom nach Standardchemotherapie: Regorafenib → Anti-EGFR versus Anti-EGFR → Regorafenib sequenziell, primärer Endpunkt Gesamtüberleben.</w:t>
      </w:r>
    </w:p>
    <w:p>
      <w:r>
        <w:rPr>
          <w:b/>
        </w:rPr>
        <w:t xml:space="preserve">Ergebnis: </w:t>
      </w:r>
      <w:r>
        <w:t>Wegen langsamer Rekrutierung vorzeitig geschlossen. Median-OS: Regorafenib-First 21,9 vs. EGFR-First 13,3 Monate (einseitig p=0,114). PFS1 2,5 vs. 5,6 Monate (p=0,998), PFS2 3,7 vs. 2,0 Monate (p=0,086). Regorafenib-First zeigte numerischen OS-Vorteil ohne Signifikanz. Keine wesentlichen Unterschiede in Nebenwirkungen.</w:t>
      </w:r>
    </w:p>
    <w:p>
      <w:r>
        <w:rPr>
          <w:b/>
          <w:sz w:val="19"/>
        </w:rPr>
        <w:t xml:space="preserve">Übertragbarkeit: </w:t>
      </w:r>
      <w:r>
        <w:rPr>
          <w:sz w:val="19"/>
        </w:rPr>
        <w:t>USA-amerikanische Studie, unterbesetzt, aber Sequenzierungsfrage für deutsche Praxen relevant</w:t>
      </w:r>
    </w:p>
    <w:p>
      <w:r>
        <w:rPr>
          <w:color w:val="5A7D3A"/>
          <w:sz w:val="18"/>
        </w:rPr>
        <w:t>https://pubmed.ncbi.nlm.nih.gov/42830449/</w:t>
      </w:r>
    </w:p>
    <w:p>
      <w:pPr>
        <w:pStyle w:val="Heading2"/>
      </w:pPr>
      <w:r>
        <w:t>Molekulares Profiling von Schweißdrüsenkarzinomen identifiziert Therapieziele</w:t>
      </w:r>
    </w:p>
    <w:p>
      <w:r>
        <w:rPr>
          <w:i/>
          <w:color w:val="666666"/>
          <w:sz w:val="18"/>
        </w:rPr>
        <w:t>Racz L et al.  ·  Eur J Cancer  ·  16.10.2026  ·  PMID 42762558</w:t>
      </w:r>
    </w:p>
    <w:p>
      <w:r>
        <w:t>Narrative Übersicht über genetische Landschaft von über 20 seltenen Schweißdrüsenkarzinom-Entitäten (SGC) mit Fokus auf Mutationslandschaften und therapeutische Angriffspunkte für aggressive Tumoren ohne Therapieoptionen im fortgeschrittenen Stadium.</w:t>
      </w:r>
    </w:p>
    <w:p>
      <w:r>
        <w:rPr>
          <w:b/>
        </w:rPr>
        <w:t xml:space="preserve">Ergebnis: </w:t>
      </w:r>
      <w:r>
        <w:t>SGCs zeigen hohe Mutationslast, UV-induzierte DNA-Schädigungssignaturen, EGFR-Dysregulation, Defekte in Homolog-Rekombinations-Reparatur. Rezidivierende Alterationen in TP53, PIK3CA, CDKN2A/B identifiziert. Fusionsgene teilweise entitätsspezifisch; digital-papilläres Adenokarzinom einziges HPV42-getriebenes SGC. Empfehlung: umfassendes molekulares Profiling + Systemregistern für seltene Krebsarten.</w:t>
      </w:r>
    </w:p>
    <w:p>
      <w:r>
        <w:rPr>
          <w:b/>
          <w:sz w:val="19"/>
        </w:rPr>
        <w:t xml:space="preserve">Übertragbarkeit: </w:t>
      </w:r>
      <w:r>
        <w:rPr>
          <w:sz w:val="19"/>
        </w:rPr>
        <w:t>Deutsche und europäische Autor:innen, deutschsprachige Zentren einbezogen, gültig für Zertifizierungsanforderungen</w:t>
      </w:r>
    </w:p>
    <w:p>
      <w:r>
        <w:rPr>
          <w:color w:val="5A7D3A"/>
          <w:sz w:val="18"/>
        </w:rPr>
        <w:t>https://pubmed.ncbi.nlm.nih.gov/42762558/</w:t>
      </w:r>
    </w:p>
    <w:p>
      <w:pPr>
        <w:pStyle w:val="Heading1"/>
      </w:pPr>
      <w:r>
        <w:t>Aufgenommen am 05.10.2026</w:t>
      </w:r>
    </w:p>
    <w:p>
      <w:pPr>
        <w:pStyle w:val="Heading2"/>
      </w:pPr>
      <w:r>
        <w:t>3D-DNA-Architektur in IDH1- und DNMT3A-mutanter AML identifiziert IGF1R- und MAPK-Vulnerabilität</w:t>
      </w:r>
    </w:p>
    <w:p>
      <w:r>
        <w:rPr>
          <w:i/>
          <w:color w:val="666666"/>
          <w:sz w:val="18"/>
        </w:rPr>
        <w:t>Steinhäuser S et al.  ·  Leukemia  ·  01.10.2026  ·  PMID 42823507</w:t>
      </w:r>
    </w:p>
    <w:p>
      <w:r>
        <w:t>Deutsche Studie an Primärproben von AML-Patienten, die mutations-spezifische Veränderungen der 3D-Genom-Architektur analysierte und damit verbundene therapeutische Targets identifizierte.</w:t>
      </w:r>
    </w:p>
    <w:p>
      <w:r>
        <w:rPr>
          <w:b/>
        </w:rPr>
        <w:t xml:space="preserve">Ergebnis: </w:t>
      </w:r>
      <w:r>
        <w:t>IDH1-mutante AML zeigte Sensitivität gegen IGF1R-Inhibitor BMS-754807, DNMT3A-mutante AML gegen p38/MAPK-Inhibitor ralimetinib. Die 3D-DNA-Konformationsveränderungen waren spezifisch für die Mutationen und wurden in Zelllinien und Patientenproben bestätigt.</w:t>
      </w:r>
    </w:p>
    <w:p>
      <w:r>
        <w:rPr>
          <w:b/>
          <w:sz w:val="19"/>
        </w:rPr>
        <w:t xml:space="preserve">Übertragbarkeit: </w:t>
      </w:r>
      <w:r>
        <w:rPr>
          <w:sz w:val="19"/>
        </w:rPr>
        <w:t>Deutsche Universitätsklinika (Kiel, Dresden, Berlin), identifiziert Therapieoptionen für AML-Subtypen</w:t>
      </w:r>
    </w:p>
    <w:p>
      <w:r>
        <w:rPr>
          <w:color w:val="5A7D3A"/>
          <w:sz w:val="18"/>
        </w:rPr>
        <w:t>https://pubmed.ncbi.nlm.nih.gov/42823507/</w:t>
      </w:r>
    </w:p>
    <w:p>
      <w:pPr>
        <w:pStyle w:val="Heading2"/>
      </w:pPr>
      <w:r>
        <w:t>Rassische Disparitäten in der Behandlung von Myelom-Knochenschaden: Afroamerikaner erhalten weniger BMAs</w:t>
      </w:r>
    </w:p>
    <w:p>
      <w:r>
        <w:rPr>
          <w:i/>
          <w:color w:val="666666"/>
          <w:sz w:val="18"/>
        </w:rPr>
        <w:t>Irimia RM et al.  ·  JCO Oncol Pract  ·  01.10.2026  ·  PMID 42821828</w:t>
      </w:r>
    </w:p>
    <w:p>
      <w:r>
        <w:t>Retrospektive Kohortenstudie an 350 neu diagnostizierten Myelompatienten (149 Afroamerikaner, 201 Weiße) zum Vergleich von Knochenereignissen und knochenmodifizierender Therapie im ersten Jahr nach Diagnose.</w:t>
      </w:r>
    </w:p>
    <w:p>
      <w:r>
        <w:rPr>
          <w:b/>
        </w:rPr>
        <w:t xml:space="preserve">Ergebnis: </w:t>
      </w:r>
      <w:r>
        <w:t>Afroamerikaner erhielten im ersten Jahr signifikant weniger knochenmodifizierende Agenzien (BMA): 64% vs. 77% (p=0,013), Mediandosen 5 vs. 7/Jahr (p&lt;0,001). Bei frühen Knochenereignissen (&lt;peridiagnostisch) waren Afroamerikaner weniger wahrscheinlich, ≥4 BMA-Dosen zu erhalten (46% vs. 76%, p&lt;0,001). Kumulatives SRE-Risiko post-peridiagnostisch unterschied sich nicht (16% vs. 21%, p=0,24).</w:t>
      </w:r>
    </w:p>
    <w:p>
      <w:r>
        <w:rPr>
          <w:b/>
          <w:sz w:val="19"/>
        </w:rPr>
        <w:t xml:space="preserve">Übertragbarkeit: </w:t>
      </w:r>
      <w:r>
        <w:rPr>
          <w:sz w:val="19"/>
        </w:rPr>
        <w:t>USA-Zentren, aber Erkenntnis zu Therapiedisparitäten und Unterbehandlung relevant für deutsche Versorgungsqualität</w:t>
      </w:r>
    </w:p>
    <w:p>
      <w:r>
        <w:rPr>
          <w:color w:val="5A7D3A"/>
          <w:sz w:val="18"/>
        </w:rPr>
        <w:t>https://pubmed.ncbi.nlm.nih.gov/42821828/</w:t>
      </w:r>
    </w:p>
    <w:p>
      <w:pPr>
        <w:pStyle w:val="Heading2"/>
      </w:pPr>
      <w:r>
        <w:t>Nivolumab + Ipilimumab + Strahlentherapie in mikrosatellit-stabiler CRC: ORR 10%, aber 25% bei Patienten ohne Lebermetastasen</w:t>
      </w:r>
    </w:p>
    <w:p>
      <w:r>
        <w:rPr>
          <w:i/>
          <w:color w:val="666666"/>
          <w:sz w:val="18"/>
        </w:rPr>
        <w:t>Pappas L et al.  ·  Clin Cancer Res  ·  01.10.2026  ·  PMID 42820689</w:t>
      </w:r>
    </w:p>
    <w:p>
      <w:r>
        <w:t>US-amerikanische Phase-II-Studie zur Kombination von Immune-Checkpoint-Inhibitoren mit nicht-ablativer Strahlentherapie bei refraktärer mikrosatellit-stabiler metastasierter CRC.</w:t>
      </w:r>
    </w:p>
    <w:p>
      <w:r>
        <w:rPr>
          <w:b/>
        </w:rPr>
        <w:t xml:space="preserve">Ergebnis: </w:t>
      </w:r>
      <w:r>
        <w:t>30 Patienten eingeschlossen: Gesamtansprechrate 10,0%, Krankheitskontrollrate 33,3% (unbestrahlte Läsionen). Bei Patienten ohne aktive Lebermetastasen (n=8) ORR 25%, bei Lebermetastasen (n=22) ORR 4,6%. Mediane PFS 2,4 Monate, mediane OS 12,8 Monate (95% KI 6,8–17,9). Nur 10% Grad-4-Toxizität (Lymphopenie).</w:t>
      </w:r>
    </w:p>
    <w:p>
      <w:r>
        <w:rPr>
          <w:b/>
          <w:sz w:val="19"/>
        </w:rPr>
        <w:t xml:space="preserve">Übertragbarkeit: </w:t>
      </w:r>
      <w:r>
        <w:rPr>
          <w:sz w:val="19"/>
        </w:rPr>
        <w:t>USA-Zentren, Mechanismus (Strahlentherapie + ICI) auf deutsche Zentren übertragbar</w:t>
      </w:r>
    </w:p>
    <w:p>
      <w:r>
        <w:rPr>
          <w:color w:val="5A7D3A"/>
          <w:sz w:val="18"/>
        </w:rPr>
        <w:t>https://pubmed.ncbi.nlm.nih.gov/42820689/</w:t>
      </w:r>
    </w:p>
    <w:p>
      <w:pPr>
        <w:pStyle w:val="Heading2"/>
      </w:pPr>
      <w:r>
        <w:t>TROP2-ADC F0024 in triple-negativer Brustkrebs: ORR 37,9% bei 10 mg/kg, mediane PFS 10,5 Monate</w:t>
      </w:r>
    </w:p>
    <w:p>
      <w:r>
        <w:rPr>
          <w:i/>
          <w:color w:val="666666"/>
          <w:sz w:val="18"/>
        </w:rPr>
        <w:t>Du Y et al.  ·  Eur J Cancer  ·  24.09.2026  ·  PMID 42810148</w:t>
      </w:r>
    </w:p>
    <w:p>
      <w:r>
        <w:t>Phase-I-Studie mit Dosisexpansion eines TROP2-gerichteten Antikörper-Wirkstoff-Konjugats in fortgeschrittenen Tumoren, Fokus triple-negative Brustkrebs (TNBC).</w:t>
      </w:r>
    </w:p>
    <w:p>
      <w:r>
        <w:rPr>
          <w:b/>
        </w:rPr>
        <w:t xml:space="preserve">Ergebnis: </w:t>
      </w:r>
      <w:r>
        <w:t>Bei 10 mg/kg (empfohlene Phase-II-Dosis): ORR 37,9%, mediane PFS 10,5 Monate in TNBC-Kohorte (n=29). Grad-≥3-Nebenwirkungen bei 57,7% (vorwiegend Hämatotoxizität). Dosiseskalation bei 15 mg/kg wegen kumulativer Toxizität gestoppt.</w:t>
      </w:r>
    </w:p>
    <w:p>
      <w:r>
        <w:rPr>
          <w:b/>
          <w:sz w:val="19"/>
        </w:rPr>
        <w:t xml:space="preserve">Übertragbarkeit: </w:t>
      </w:r>
      <w:r>
        <w:rPr>
          <w:sz w:val="19"/>
        </w:rPr>
        <w:t>China, aber Wirkmuster und Sicherheitsprofil für Phase-II-Planung international relevant</w:t>
      </w:r>
    </w:p>
    <w:p>
      <w:r>
        <w:rPr>
          <w:color w:val="5A7D3A"/>
          <w:sz w:val="18"/>
        </w:rPr>
        <w:t>https://pubmed.ncbi.nlm.nih.gov/42810148/</w:t>
      </w:r>
    </w:p>
    <w:p>
      <w:pPr>
        <w:pStyle w:val="Heading2"/>
      </w:pPr>
      <w:r>
        <w:t>Zugang zu klinischen Studien bei Nierenzellkarzinom: Innovation erreicht unterversorgte Gemeinschaften nicht</w:t>
      </w:r>
    </w:p>
    <w:p>
      <w:r>
        <w:rPr>
          <w:i/>
          <w:color w:val="666666"/>
          <w:sz w:val="18"/>
        </w:rPr>
        <w:t>Nandakumar V et al.  ·  JCO Oncol Pract  ·  29.09.2026  ·  PMID 42809806</w:t>
      </w:r>
    </w:p>
    <w:p>
      <w:r>
        <w:t>Qualitative Analyse der Barrieren für den Zugang zu klinischen Studien bei Nierenzellkarzinom in den USA, mit Fokus auf strukturelle und sozioökonomische Ungleichheiten.</w:t>
      </w:r>
    </w:p>
    <w:p>
      <w:r>
        <w:rPr>
          <w:b/>
        </w:rPr>
        <w:t xml:space="preserve">Ergebnis: </w:t>
      </w:r>
      <w:r>
        <w:t>Identifizierte Schlüsselbarrieren: geografische Distanz, finanzielle Belastung, mangelnde Informationen, Transportprobleme und systeminterne Aufnahmekriterien. Unterrepräsentierte Patienten hatten deutlich niedrigere Teilnahmeraten. Patienten in ländlichen Gegenden und mit niedrigerem Einkommen waren systematisch ausgeschlossen.</w:t>
      </w:r>
    </w:p>
    <w:p>
      <w:r>
        <w:rPr>
          <w:b/>
          <w:sz w:val="19"/>
        </w:rPr>
        <w:t xml:space="preserve">Übertragbarkeit: </w:t>
      </w:r>
      <w:r>
        <w:rPr>
          <w:sz w:val="19"/>
        </w:rPr>
        <w:t>USA-System, aber Erkenntnisse zu Zugangsungleichheiten gelten teilweise für deutsche Versorgungsregionen</w:t>
      </w:r>
    </w:p>
    <w:p>
      <w:r>
        <w:rPr>
          <w:color w:val="5A7D3A"/>
          <w:sz w:val="18"/>
        </w:rPr>
        <w:t>https://pubmed.ncbi.nlm.nih.gov/42809806/</w:t>
      </w:r>
    </w:p>
    <w:p>
      <w:pPr>
        <w:pStyle w:val="Heading2"/>
      </w:pPr>
      <w:r>
        <w:t>Sentinelbiopsie nach Neoadjuvanz bei lokal fortgeschrittener Brustkrebs: Falsch-negativ-Rate 2,1%</w:t>
      </w:r>
    </w:p>
    <w:p>
      <w:r>
        <w:rPr>
          <w:i/>
          <w:color w:val="666666"/>
          <w:sz w:val="18"/>
        </w:rPr>
        <w:t>Barrio AV et al.  ·  J Clin Oncol  ·  29.09.2026  ·  PMID 42809799</w:t>
      </w:r>
    </w:p>
    <w:p>
      <w:r>
        <w:t>Prospektive US-amerikanische Studie zum Staging der Axilla mittels Sentinelbiopsie nach neoadjuvanter Chemotherapie bei Patientinnen mit lokal fortgeschrittenem Brustkrebs (cT4/cN2-N3).</w:t>
      </w:r>
    </w:p>
    <w:p>
      <w:r>
        <w:rPr>
          <w:b/>
        </w:rPr>
        <w:t xml:space="preserve">Ergebnis: </w:t>
      </w:r>
      <w:r>
        <w:t>Von 145 Patienten wurden 87 mit adäquatem Mapping ausgewertet; Sentinelknoten wurden in 74% identifiziert. Falsch-negativ-Rate 2,1% (95% KI 0,1–12,7%), pathologische komplette Response 46%, nur 1 falsch-negativ in 47 Patienten mit Resterkrankung.</w:t>
      </w:r>
    </w:p>
    <w:p>
      <w:r>
        <w:rPr>
          <w:b/>
          <w:sz w:val="19"/>
        </w:rPr>
        <w:t xml:space="preserve">Übertragbarkeit: </w:t>
      </w:r>
      <w:r>
        <w:rPr>
          <w:sz w:val="19"/>
        </w:rPr>
        <w:t>USA-Zentren, aber Sentinelbiopsie-Standard übertragbar auf deutsche Zentren</w:t>
      </w:r>
    </w:p>
    <w:p>
      <w:r>
        <w:rPr>
          <w:color w:val="5A7D3A"/>
          <w:sz w:val="18"/>
        </w:rPr>
        <w:t>https://pubmed.ncbi.nlm.nih.gov/42809799/</w:t>
      </w:r>
    </w:p>
    <w:p>
      <w:pPr>
        <w:pStyle w:val="Heading1"/>
      </w:pPr>
      <w:r>
        <w:t>Aufgenommen am 04.10.2026</w:t>
      </w:r>
    </w:p>
    <w:p>
      <w:pPr>
        <w:pStyle w:val="Heading2"/>
      </w:pPr>
      <w:r>
        <w:t>Urin-cfRNA detektiert Blasenkrebs mit 95% Sensitivität, sagt BCG-Response voraus</w:t>
      </w:r>
    </w:p>
    <w:p>
      <w:r>
        <w:rPr>
          <w:i/>
          <w:color w:val="666666"/>
          <w:sz w:val="18"/>
        </w:rPr>
        <w:t>Liu KJ et al.  ·  Nat Med  ·  02.10.2026  ·  PMID 42827132</w:t>
      </w:r>
    </w:p>
    <w:p>
      <w:r>
        <w:t>Prospektive Validierungsstudie einer Liquid-Biopsy-Methode (uRARE-seq) für tumorspezifische RNA-Fragmente im Urin bei 683 Patienten mit und ohne Urogenital-Karzinome.</w:t>
      </w:r>
    </w:p>
    <w:p>
      <w:r>
        <w:rPr>
          <w:b/>
        </w:rPr>
        <w:t xml:space="preserve">Ergebnis: </w:t>
      </w:r>
      <w:r>
        <w:t>Für lokalisiertes Blasenkarzinom: 95% Sensitivität bei 90% Spezifität. Urin-cfRNA übertraf tumor-DNA-Analyse und war unaffiziert von Feldeffekt-Mutationen. Biomarker in Urin vor BCG-Therapie (Area-under-the-Curve 0,93) sagte BCG-Response voraus: Responder zeigten T-Zell- und Immun-Signaturen, Nicht-Responder Proliferations-Gene. Minimal Residual Disease wurde sensitiv detektiert. Ein Ansatz mit klinischem Nutzenpotential für Blasenkarzinom-Stratifizierung.</w:t>
      </w:r>
    </w:p>
    <w:p>
      <w:r>
        <w:rPr>
          <w:b/>
          <w:sz w:val="19"/>
        </w:rPr>
        <w:t xml:space="preserve">Übertragbarkeit: </w:t>
      </w:r>
      <w:r>
        <w:rPr>
          <w:sz w:val="19"/>
        </w:rPr>
        <w:t>USA-basierte Studie; Liquid-Biopsy-Methode technisch übertragbar, prospektive Validierung erforderlich.</w:t>
      </w:r>
    </w:p>
    <w:p>
      <w:r>
        <w:rPr>
          <w:color w:val="5A7D3A"/>
          <w:sz w:val="18"/>
        </w:rPr>
        <w:t>https://pubmed.ncbi.nlm.nih.gov/42827132/</w:t>
      </w:r>
    </w:p>
    <w:p>
      <w:pPr>
        <w:pStyle w:val="Heading2"/>
      </w:pPr>
      <w:r>
        <w:t>Ibrutinib-Venetoclax senkt Gesamtüberleben bei älteren CLL-Patienten deutlich</w:t>
      </w:r>
    </w:p>
    <w:p>
      <w:r>
        <w:rPr>
          <w:i/>
          <w:color w:val="666666"/>
          <w:sz w:val="18"/>
        </w:rPr>
        <w:t>U Niemann C et al.  ·  Leukemia  ·  02.10.2026  ·  PMID 42827117</w:t>
      </w:r>
    </w:p>
    <w:p>
      <w:r>
        <w:t>Randomisierte Phase-III-Studie (GLOW) verglich Ibrutinib-Venetoclax mit Chlorambucil-Obinutuzumab bei älteren/komorbiditätsbelasteten CLL-Patienten mit 67-Monat-Nachverfolgung.</w:t>
      </w:r>
    </w:p>
    <w:p>
      <w:r>
        <w:rPr>
          <w:b/>
        </w:rPr>
        <w:t xml:space="preserve">Ergebnis: </w:t>
      </w:r>
      <w:r>
        <w:t>Gesamtüberleben nach 66 Monaten: 79,0% vs 60,8% (Hazard Ratio 0,46). Ibrutinib-Venetoclax reduzierte das Risiko für Zweitlinientherapie um 77,4%. Progressionsfreies Überleben nach 66 Monaten: 51,7% vs 18,1% (HR 0,27). Grade-3/4-toxizitätsfreies PFS 21,4 Monate länger (51,6 vs 30,2 Monate). Eine klare Überlegenheit für die fixierte Zweierkombination bei älteren Patienten.</w:t>
      </w:r>
    </w:p>
    <w:p>
      <w:r>
        <w:rPr>
          <w:b/>
          <w:sz w:val="19"/>
        </w:rPr>
        <w:t xml:space="preserve">Übertragbarkeit: </w:t>
      </w:r>
      <w:r>
        <w:rPr>
          <w:sz w:val="19"/>
        </w:rPr>
        <w:t>Europäische Multicenterstudie mit HOVON-Zentren, deutschem Versorgungsstandard entsprechend.</w:t>
      </w:r>
    </w:p>
    <w:p>
      <w:r>
        <w:rPr>
          <w:color w:val="5A7D3A"/>
          <w:sz w:val="18"/>
        </w:rPr>
        <w:t>https://pubmed.ncbi.nlm.nih.gov/42827117/</w:t>
      </w:r>
    </w:p>
    <w:p>
      <w:pPr>
        <w:pStyle w:val="Heading2"/>
      </w:pPr>
      <w:r>
        <w:t>Chemotherapie + Krebsimpfstoff: TCF1+-T-Zellen erklären synergistischen Effekt</w:t>
      </w:r>
    </w:p>
    <w:p>
      <w:r>
        <w:rPr>
          <w:i/>
          <w:color w:val="666666"/>
          <w:sz w:val="18"/>
        </w:rPr>
        <w:t>Noblecourt L et al.  ·  Cancer Cell  ·  02.10.2026  ·  PMID 42826713</w:t>
      </w:r>
    </w:p>
    <w:p>
      <w:r>
        <w:t>Präklinische und erste translatorische Studie zur mechanistischen Erklärung, warum Carboplatin-Paclitaxel und Cyclophosphamid die Effizienz von Virus-Vektor-Impfstoffen gegen Tumorantigen erhöhen; Experimente mit Maus- und Patientenzellen.</w:t>
      </w:r>
    </w:p>
    <w:p>
      <w:r>
        <w:rPr>
          <w:b/>
        </w:rPr>
        <w:t xml:space="preserve">Ergebnis: </w:t>
      </w:r>
      <w:r>
        <w:t>Carboplatin-Paclitaxel induziert frühe, antigen-unabhängige Expansion von Stamm-ähnlichen TCF1+CD8+-T-Zellen. Genetische oder pharmakologische TCF1-Blockierung hebt den Immunaduvans-Effekt auf. Kombinationstriple (Vakzin + CarboTaxol + PD-1-Blockade) verbessert Tumorkon trolle und Überleben in Mausmodellen stärker als Einzelbehandlungen. Der TCF1-abhängige Mechanismus erklärt Synergie und identifiziert neue Kombinationsstrategien für klinische Evaluation.</w:t>
      </w:r>
    </w:p>
    <w:p>
      <w:r>
        <w:rPr>
          <w:b/>
          <w:sz w:val="19"/>
        </w:rPr>
        <w:t xml:space="preserve">Übertragbarkeit: </w:t>
      </w:r>
      <w:r>
        <w:rPr>
          <w:sz w:val="19"/>
        </w:rPr>
        <w:t>UK/Niederlande-Kohorte, mechanistisches Verständnis transkulturell relevant für Impfstoff-Kombinationen.</w:t>
      </w:r>
    </w:p>
    <w:p>
      <w:r>
        <w:rPr>
          <w:color w:val="5A7D3A"/>
          <w:sz w:val="18"/>
        </w:rPr>
        <w:t>https://pubmed.ncbi.nlm.nih.gov/42826713/</w:t>
      </w:r>
    </w:p>
    <w:p>
      <w:pPr>
        <w:pStyle w:val="Heading2"/>
      </w:pPr>
      <w:r>
        <w:t>ERBB2-Mutationen in Lungenkarzinom: Heterogenität und Trastuzumab-Deruxtecan-Benefit</w:t>
      </w:r>
    </w:p>
    <w:p>
      <w:r>
        <w:rPr>
          <w:i/>
          <w:color w:val="666666"/>
          <w:sz w:val="18"/>
        </w:rPr>
        <w:t>Yamashita M et al.  ·  Eur J Cancer  ·  29.09.2026  ·  PMID 42826440</w:t>
      </w:r>
    </w:p>
    <w:p>
      <w:r>
        <w:t>Japanische Real-World-Kohorte von 319 Patienten mit ERBB2-aktivierenden Mutationen im NSCLC mittels Genomik-Datenbank untersucht.</w:t>
      </w:r>
    </w:p>
    <w:p>
      <w:r>
        <w:rPr>
          <w:b/>
        </w:rPr>
        <w:t xml:space="preserve">Ergebnis: </w:t>
      </w:r>
      <w:r>
        <w:t>74% hatten kanonische Tyrosinkinase-Domänen-Insertionen; 26% nonkanonische Varianten (TKD-Missense 8%, transmembran 10%, extrazelluläre Domäne 8%). Co-driver-Alterationen in nur 5,6% (überwiegend nonkanonisch). 27% der 288 Patienten (78 von 288) erhielten Trastuzumab-Deruxtecan; time-abhängige T-DXd-Exposition assoziiert mit reduziertem Mortalitätsrisiko (adjusted HR 0,63; 95% KI 0,39-1,01; p=0,057). Wesentliche molekulare Heterogenität mit therapeutischen Implikationen.</w:t>
      </w:r>
    </w:p>
    <w:p>
      <w:r>
        <w:rPr>
          <w:b/>
          <w:sz w:val="19"/>
        </w:rPr>
        <w:t xml:space="preserve">Übertragbarkeit: </w:t>
      </w:r>
      <w:r>
        <w:rPr>
          <w:sz w:val="19"/>
        </w:rPr>
        <w:t>Japan, vergleichbare Genomik-Strukturen; Trastuzumab-Deruxtecan in Deutschland verfügbar.</w:t>
      </w:r>
    </w:p>
    <w:p>
      <w:r>
        <w:rPr>
          <w:color w:val="5A7D3A"/>
          <w:sz w:val="18"/>
        </w:rPr>
        <w:t>https://pubmed.ncbi.nlm.nih.gov/42826440/</w:t>
      </w:r>
    </w:p>
    <w:p>
      <w:pPr>
        <w:pStyle w:val="Heading2"/>
      </w:pPr>
      <w:r>
        <w:t>Tirabrutinib für rezidivertes primäres ZNS-Lymphom: 67% Ansprechquote, rascher Wirkeintritt</w:t>
      </w:r>
    </w:p>
    <w:p>
      <w:r>
        <w:rPr>
          <w:i/>
          <w:color w:val="666666"/>
          <w:sz w:val="18"/>
        </w:rPr>
        <w:t>Grommes C et al.  ·  Blood  ·  01.10.2026  ·  PMID 42821736</w:t>
      </w:r>
    </w:p>
    <w:p>
      <w:r>
        <w:t>Phase-1b/2-Studie zu dem BTK-Inhibitor Tirabrutinib als Monotherapie bei 48 Patienten mit rezidiviertem/refraktärem pCNSL nach Hochdosis-Methotrexat-Vorbehandlung.</w:t>
      </w:r>
    </w:p>
    <w:p>
      <w:r>
        <w:rPr>
          <w:b/>
        </w:rPr>
        <w:t xml:space="preserve">Ergebnis: </w:t>
      </w:r>
      <w:r>
        <w:t>Objektive Ansprechquote 67% (95% KI 52–80%), vollständige Remission 44% (95% KI 29–59%). Mediane Ansprechdauer 9,3 Monate (95% KI 4,6–14,6), mediane Zeit bis Ansprechen 1,0 Monat. Treatment-related adverse events in 75% (häufig Anämie 19%, Ausschlag 17%, Fatigue 15%), Grade-≥3 in 27% (Neutropenie 8%). Ein behandelbares Toxizitätsprofil für rare Indikation mit hohem ungedecktem Bedarf.</w:t>
      </w:r>
    </w:p>
    <w:p>
      <w:r>
        <w:rPr>
          <w:b/>
          <w:sz w:val="19"/>
        </w:rPr>
        <w:t xml:space="preserve">Übertragbarkeit: </w:t>
      </w:r>
      <w:r>
        <w:rPr>
          <w:sz w:val="19"/>
        </w:rPr>
        <w:t>USA-Studie, BTK-Inhibitor-Klasse europaweit verfügbar; Zentrumserfordernis für pCNSL-Versorgung prüfen.</w:t>
      </w:r>
    </w:p>
    <w:p>
      <w:r>
        <w:rPr>
          <w:color w:val="5A7D3A"/>
          <w:sz w:val="18"/>
        </w:rPr>
        <w:t>https://pubmed.ncbi.nlm.nih.gov/42821736/</w:t>
      </w:r>
    </w:p>
    <w:p>
      <w:pPr>
        <w:pStyle w:val="Heading2"/>
      </w:pPr>
      <w:r>
        <w:t>Leitlinie Multiples Myelom 2026 – kontinuierliche Aktualisierung basierend auf neuer Evidenz</w:t>
      </w:r>
    </w:p>
    <w:p>
      <w:r>
        <w:rPr>
          <w:i/>
          <w:color w:val="666666"/>
          <w:sz w:val="18"/>
        </w:rPr>
        <w:t>Banerjee R et al.  ·  J Clin Oncol  ·  30.09.2026  ·  PMID 42814948</w:t>
      </w:r>
    </w:p>
    <w:p>
      <w:r>
        <w:t>ASCO Living Guideline für Behandlung des Multiplen Myeloms mit regelmäßigen Aktualisierungen durch Expertengruppe bei schnell wechselnder Evidenz.</w:t>
      </w:r>
    </w:p>
    <w:p>
      <w:r>
        <w:rPr>
          <w:b/>
        </w:rPr>
        <w:t xml:space="preserve">Ergebnis: </w:t>
      </w:r>
      <w:r>
        <w:t>Leitlinie wird kontinuierlich aktualisiert; konkrete Therapie-Empfehlungen folgen Systematische-Review-Prozeduren und werden mindestens jährlich überprüft. Die aktuelle Version 2026.1.3 berücksichtigt neue Kombinationsprotokolle, CAR-T und zielgerichtete Therapien mit prognose-adaptiven Strategien für Risiko-Stratifizierung.</w:t>
      </w:r>
    </w:p>
    <w:p>
      <w:r>
        <w:rPr>
          <w:b/>
          <w:sz w:val="19"/>
        </w:rPr>
        <w:t xml:space="preserve">Übertragbarkeit: </w:t>
      </w:r>
      <w:r>
        <w:rPr>
          <w:sz w:val="19"/>
        </w:rPr>
        <w:t>USA-ASCO-Guideline; weit überwiegend international anwendbar, Dosierungen/Verfügbarkeiten lokal zu prüfen.</w:t>
      </w:r>
    </w:p>
    <w:p>
      <w:r>
        <w:rPr>
          <w:color w:val="5A7D3A"/>
          <w:sz w:val="18"/>
        </w:rPr>
        <w:t>https://pubmed.ncbi.nlm.nih.gov/42814948/</w:t>
      </w:r>
    </w:p>
    <w:p>
      <w:pPr>
        <w:pStyle w:val="Heading2"/>
      </w:pPr>
      <w:r>
        <w:t>Aglatimagene bei lokalisiertem Prostatakarzinom: kritische Neubeobachtung</w:t>
      </w:r>
    </w:p>
    <w:p>
      <w:r>
        <w:rPr>
          <w:i/>
          <w:color w:val="666666"/>
          <w:sz w:val="18"/>
        </w:rPr>
        <w:t>Büttner T et al.  ·  Lancet Oncol  ·  Okt. 2026  ·  PMID 42805200</w:t>
      </w:r>
    </w:p>
    <w:p>
      <w:r>
        <w:t>Kommentar deutschsprachiger Urologen zur Neubewertung des Viren-Therapiestoffs Aglatimagene bei lokalisiertem Prostatakarzinom.</w:t>
      </w:r>
    </w:p>
    <w:p>
      <w:r>
        <w:rPr>
          <w:b/>
        </w:rPr>
        <w:t xml:space="preserve">Ergebnis: </w:t>
      </w:r>
      <w:r>
        <w:t>Keine konkreten Endpunkte im Abstract; die Arbeit erörtert Limitationen bisheriger Daten zu einer experimentellen Therapie mit unklarer klinischer Rolle. Die Autoren fordern Klärung vor breiter Anwendung.</w:t>
      </w:r>
    </w:p>
    <w:p>
      <w:r>
        <w:rPr>
          <w:b/>
          <w:sz w:val="19"/>
        </w:rPr>
        <w:t xml:space="preserve">Übertragbarkeit: </w:t>
      </w:r>
      <w:r>
        <w:rPr>
          <w:sz w:val="19"/>
        </w:rPr>
        <w:t>Deutschland (Bonn, Erlangen), deutsches Versorgungssystem betroffen.</w:t>
      </w:r>
    </w:p>
    <w:p>
      <w:r>
        <w:rPr>
          <w:color w:val="5A7D3A"/>
          <w:sz w:val="18"/>
        </w:rPr>
        <w:t>https://pubmed.ncbi.nlm.nih.gov/42805200/</w:t>
      </w:r>
    </w:p>
    <w:p>
      <w:pPr>
        <w:pStyle w:val="Heading1"/>
      </w:pPr>
      <w:r>
        <w:t>Aufgenommen am 03.10.2026</w:t>
      </w:r>
    </w:p>
    <w:p>
      <w:pPr>
        <w:pStyle w:val="Heading2"/>
      </w:pPr>
      <w:r>
        <w:t>Leitlinie Infektionsprophylaxe bei pädiatrischer Onkologie: aktualisierte Empfehlungen</w:t>
      </w:r>
    </w:p>
    <w:p>
      <w:r>
        <w:rPr>
          <w:i/>
          <w:color w:val="666666"/>
          <w:sz w:val="18"/>
        </w:rPr>
        <w:t>Morgan JE et al.  ·  J Clin Oncol  ·  02.10.2026  ·  PMID 42826360</w:t>
      </w:r>
    </w:p>
    <w:p>
      <w:r>
        <w:t>Systematische Überprüfung und Harmonisierung von Leitlinienempfehlungen zur antibakteriellen und antimykotischen Prophylaxe bei Kindern mit Krebs und nach Stammzelltransplantation.</w:t>
      </w:r>
    </w:p>
    <w:p>
      <w:r>
        <w:rPr>
          <w:b/>
        </w:rPr>
        <w:t xml:space="preserve">Ergebnis: </w:t>
      </w:r>
      <w:r>
        <w:t>Starke Empfehlung für Antifungal-Prophylaxe (Echinocandin oder Mold-active Azol) bei AML und allogener Transplantation; konditionale Empfehlung für Antibakteriell-Prophylaxe mit Levofloxacin bei AML und rezidivierter ALL. 13 neue randomisierte Studien seit 2019 identifiziert; insgesamt 195 Studien berücksichtigt.</w:t>
      </w:r>
    </w:p>
    <w:p>
      <w:r>
        <w:rPr>
          <w:b/>
          <w:sz w:val="19"/>
        </w:rPr>
        <w:t xml:space="preserve">Übertragbarkeit: </w:t>
      </w:r>
      <w:r>
        <w:rPr>
          <w:sz w:val="19"/>
        </w:rPr>
        <w:t>Deutschland und europäische Systeme, international konsentiertes Vorgehen</w:t>
      </w:r>
    </w:p>
    <w:p>
      <w:r>
        <w:rPr>
          <w:color w:val="5A7D3A"/>
          <w:sz w:val="18"/>
        </w:rPr>
        <w:t>https://pubmed.ncbi.nlm.nih.gov/42826360/</w:t>
      </w:r>
    </w:p>
    <w:p>
      <w:pPr>
        <w:pStyle w:val="Heading2"/>
      </w:pPr>
      <w:r>
        <w:t>Pembrolizumab-GVD plus Stammzelltransplantation bei rezidiviertem Hodgkin-Lymphom: 5-Jahres-Follow-up</w:t>
      </w:r>
    </w:p>
    <w:p>
      <w:r>
        <w:rPr>
          <w:i/>
          <w:color w:val="666666"/>
          <w:sz w:val="18"/>
        </w:rPr>
        <w:t>Patel K et al.  ·  Blood  ·  08.09.2026  ·  PMID 42825495</w:t>
      </w:r>
    </w:p>
    <w:p>
      <w:r>
        <w:t>Phase-2-Studie bei transplantationsgeeigneten Patienten mit rezidiviertem/refraktärem Hodgkin-Lymphom: Pembrolizumab plus Gemcitabin/Vinorelbine/liposomales Doxorubicin gefolgt von Hochdosis-Chemotherapie mit autologer Stammzellrescue.</w:t>
      </w:r>
    </w:p>
    <w:p>
      <w:r>
        <w:rPr>
          <w:b/>
        </w:rPr>
        <w:t xml:space="preserve">Ergebnis: </w:t>
      </w:r>
      <w:r>
        <w:t>Komplettremissionsrate 95% nach bis zu 4 Zyklen Pembrolizumab-GVD. Nach Median 57 Monaten: geschätzte 5-Jahres-PFS 91%, Gesamtüberleben 94%. Nur 1 Rezidiv nach Protokoll-Therapie, 2 therapieassoziierte Todesfälle. Keine neuen Sicherheitssignale.</w:t>
      </w:r>
    </w:p>
    <w:p>
      <w:r>
        <w:rPr>
          <w:b/>
          <w:sz w:val="19"/>
        </w:rPr>
        <w:t xml:space="preserve">Übertragbarkeit: </w:t>
      </w:r>
      <w:r>
        <w:rPr>
          <w:sz w:val="19"/>
        </w:rPr>
        <w:t>USA-basiert, aber intensive Chemotherapie + Immuntherapie + Transplantation ist in deutschen Zentren etabliert</w:t>
      </w:r>
    </w:p>
    <w:p>
      <w:r>
        <w:rPr>
          <w:color w:val="5A7D3A"/>
          <w:sz w:val="18"/>
        </w:rPr>
        <w:t>https://pubmed.ncbi.nlm.nih.gov/42825495/</w:t>
      </w:r>
    </w:p>
    <w:p>
      <w:pPr>
        <w:pStyle w:val="Heading2"/>
      </w:pPr>
      <w:r>
        <w:t>Tuberkulose-Netzwerk als Werkzeug für frühe Lungenkrebserkennung: Modell Brasilien</w:t>
      </w:r>
    </w:p>
    <w:p>
      <w:r>
        <w:rPr>
          <w:i/>
          <w:color w:val="666666"/>
          <w:sz w:val="18"/>
        </w:rPr>
        <w:t>Gruber K  ·  Lancet Oncol  ·  01.10.2026  ·  PMID 42822486</w:t>
      </w:r>
    </w:p>
    <w:p>
      <w:r>
        <w:t>Bericht über das Potenzial, bestehende Tuberkulose-Überwachungssysteme in Brasilien für die Frühdiagnose von Lungenkrebs zu nutzen.</w:t>
      </w:r>
    </w:p>
    <w:p>
      <w:r>
        <w:rPr>
          <w:b/>
        </w:rPr>
        <w:t xml:space="preserve">Ergebnis: </w:t>
      </w:r>
      <w:r>
        <w:t>TB-Netzwerk mit etablierten Screening- und Diagnostik-Strukturen könnte Lungenkrebserkennung beschleunigen; bisherige Aktivitäten und Barrieren werden erörtert, ohne quantitative Endpunkte.</w:t>
      </w:r>
    </w:p>
    <w:p>
      <w:r>
        <w:rPr>
          <w:b/>
          <w:sz w:val="19"/>
        </w:rPr>
        <w:t xml:space="preserve">Übertragbarkeit: </w:t>
      </w:r>
      <w:r>
        <w:rPr>
          <w:sz w:val="19"/>
        </w:rPr>
        <w:t>Niedrig-Ressourcen-Länder, für Deutschland ohne unmittelbare Anwendung</w:t>
      </w:r>
    </w:p>
    <w:p>
      <w:r>
        <w:rPr>
          <w:color w:val="5A7D3A"/>
          <w:sz w:val="18"/>
        </w:rPr>
        <w:t>https://pubmed.ncbi.nlm.nih.gov/42822486/</w:t>
      </w:r>
    </w:p>
    <w:p>
      <w:pPr>
        <w:pStyle w:val="Heading2"/>
      </w:pPr>
      <w:r>
        <w:t>Androgen-Rezeptor-Inhibitoren bessern PFS bei metastasiertem hormonsensitivem Prostatakarzinom</w:t>
      </w:r>
    </w:p>
    <w:p>
      <w:r>
        <w:rPr>
          <w:i/>
          <w:color w:val="666666"/>
          <w:sz w:val="18"/>
        </w:rPr>
        <w:t>Nwogu IB et al.  ·  JCO Oncol Pract  ·  01.10.2026  ·  PMID 42821836</w:t>
      </w:r>
    </w:p>
    <w:p>
      <w:r>
        <w:t>Real-World-Vergleichsstudie von Abiraterone, Apalutamide, Enzalutamide und Docetaxel je mit ADT bei metastasiertem hormonsensitivem Prostatakarzinom (mHSPC) in den USA 2019–2023.</w:t>
      </w:r>
    </w:p>
    <w:p>
      <w:r>
        <w:rPr>
          <w:b/>
        </w:rPr>
        <w:t xml:space="preserve">Ergebnis: </w:t>
      </w:r>
      <w:r>
        <w:t>Unter 9.141 Männern: ARPI-Dubletten zeigten gegenüber Docetaxel-Dubletten überlegene PFS (Abiraterone: aHR 0,60 [95% CI 0,55–0,66]; Apalutamide: aHR 0,64; Enzalutamide: aHR 0,57). Gesamtüberleben vergleichbar. TTP und Zeit bis neue Therapie ebenfalls besser unter ARPIs. Keine Unterschiede zwischen den ARPIs.</w:t>
      </w:r>
    </w:p>
    <w:p>
      <w:r>
        <w:rPr>
          <w:b/>
          <w:sz w:val="19"/>
        </w:rPr>
        <w:t xml:space="preserve">Übertragbarkeit: </w:t>
      </w:r>
      <w:r>
        <w:rPr>
          <w:sz w:val="19"/>
        </w:rPr>
        <w:t>USA-Gesundheitssystem mit unterschiedlicher Finanzierung, Ergebnis (ARPI-Überlegenheit) ist aber geräteunabhängig übertragbar</w:t>
      </w:r>
    </w:p>
    <w:p>
      <w:r>
        <w:rPr>
          <w:color w:val="5A7D3A"/>
          <w:sz w:val="18"/>
        </w:rPr>
        <w:t>https://pubmed.ncbi.nlm.nih.gov/42821836/</w:t>
      </w:r>
    </w:p>
    <w:p>
      <w:pPr>
        <w:pStyle w:val="Heading2"/>
      </w:pPr>
      <w:r>
        <w:t>Platinchemoresistentes Ovarialkarzinom: Behandlungsintensivierung verbessert Remissionsraten</w:t>
      </w:r>
    </w:p>
    <w:p>
      <w:r>
        <w:rPr>
          <w:i/>
          <w:color w:val="666666"/>
          <w:sz w:val="18"/>
        </w:rPr>
        <w:t>You B et al.  ·  JAMA Oncol  ·  01.10.2026  ·  PMID 42821287</w:t>
      </w:r>
    </w:p>
    <w:p>
      <w:r>
        <w:t>Systematische Übersicht über Strategien zur Chemosensitivierung bei schlecht chemosensitivem fortgeschrittenem serösen Ovarialkarzinom anhand von retrospektiven Post-hoc-Analysen prospektiver Phase-3-Studien.</w:t>
      </w:r>
    </w:p>
    <w:p>
      <w:r>
        <w:rPr>
          <w:b/>
        </w:rPr>
        <w:t xml:space="preserve">Ergebnis: </w:t>
      </w:r>
      <w:r>
        <w:t>Wöchentlich dosiertes Paclitaxel zeigte in der "2 red flags"-Subgruppe (schlechte Chemosensitivität) der ICON-8-Studie verbesserte Überlebensergebnisse. Bevacizumab addiert zu neoadjuvanter Chemotherapie oder Standardchemotherapie: Überlebenssignale in hochrisiko- und schlecht chemosensitiven Subgruppen. Phase-3-Studien SALVOVAR und Phase-1/2-Studie RegeNovar laufen prospektiv.</w:t>
      </w:r>
    </w:p>
    <w:p>
      <w:r>
        <w:rPr>
          <w:b/>
          <w:sz w:val="19"/>
        </w:rPr>
        <w:t xml:space="preserve">Übertragbarkeit: </w:t>
      </w:r>
      <w:r>
        <w:rPr>
          <w:sz w:val="19"/>
        </w:rPr>
        <w:t>Europäische Studienstandorte und ESMO-Guidelines, Therapiesequenzierung in deutschen Tumorzentren relevant</w:t>
      </w:r>
    </w:p>
    <w:p>
      <w:r>
        <w:rPr>
          <w:color w:val="5A7D3A"/>
          <w:sz w:val="18"/>
        </w:rPr>
        <w:t>https://pubmed.ncbi.nlm.nih.gov/42821287/</w:t>
      </w:r>
    </w:p>
    <w:p>
      <w:pPr>
        <w:pStyle w:val="Heading2"/>
      </w:pPr>
      <w:r>
        <w:t>Genomische Instabilität treibt gegensätzliche Immunantworten: Mechanismus für Immuntherapie-Resistenz</w:t>
      </w:r>
    </w:p>
    <w:p>
      <w:r>
        <w:rPr>
          <w:i/>
          <w:color w:val="666666"/>
          <w:sz w:val="18"/>
        </w:rPr>
        <w:t>Alouani E et al.  ·  Cancer Discov  ·  01.10.2026  ·  PMID 42817715</w:t>
      </w:r>
    </w:p>
    <w:p>
      <w:r>
        <w:t>Übersichtsarbeit zu zwei Formen genomischer Instabilität: Mutationsinstabilität versus Chromosomeninstabilität und deren gegensätzliche Effekte auf Tumor-Immunität.</w:t>
      </w:r>
    </w:p>
    <w:p>
      <w:r>
        <w:rPr>
          <w:b/>
        </w:rPr>
        <w:t xml:space="preserve">Ergebnis: </w:t>
      </w:r>
      <w:r>
        <w:t>Hypermutierte Tumoren generieren Neoantigene und sind sensibel für Checkpoint-Blockade. Chromosomeninstabilität triggert chronische angeborene Immunaktivierung mit Immunsuppression durch Myeloid- und T-Zell-Dysfunktion. Diese gegensätzlichen Mechanismen erfordern unterschiedliche Immuntherapie-Strategien.</w:t>
      </w:r>
    </w:p>
    <w:p>
      <w:r>
        <w:rPr>
          <w:b/>
          <w:sz w:val="19"/>
        </w:rPr>
        <w:t xml:space="preserve">Übertragbarkeit: </w:t>
      </w:r>
      <w:r>
        <w:rPr>
          <w:sz w:val="19"/>
        </w:rPr>
        <w:t>Grundlagenarbeit zur Immuntherapie-Resistenz, Basis für Stratifizierungsansätze in der Praxis</w:t>
      </w:r>
    </w:p>
    <w:p>
      <w:r>
        <w:rPr>
          <w:color w:val="5A7D3A"/>
          <w:sz w:val="18"/>
        </w:rPr>
        <w:t>https://pubmed.ncbi.nlm.nih.gov/42817715/</w:t>
      </w:r>
    </w:p>
    <w:p>
      <w:pPr>
        <w:pStyle w:val="Heading1"/>
      </w:pPr>
      <w:r>
        <w:t>Aufgenommen am 02.10.2026</w:t>
      </w:r>
    </w:p>
    <w:p>
      <w:pPr>
        <w:pStyle w:val="Heading2"/>
      </w:pPr>
      <w:r>
        <w:t>Stereotaktische MRT-gesteuerte adaptive Strahlentherapie verbessert Lokalkontrolle bei fortgeschrittenem Pankreaskarzinom</w:t>
      </w:r>
    </w:p>
    <w:p>
      <w:r>
        <w:rPr>
          <w:i/>
          <w:color w:val="666666"/>
          <w:sz w:val="18"/>
        </w:rPr>
        <w:t>Hartfelt PB et al.  ·  Radiother Oncol  ·  01.10.2026  ·  PMID 42822782</w:t>
      </w:r>
    </w:p>
    <w:p>
      <w:r>
        <w:t>Prospektive Studie zur MRT-gesteuerten adaptiven Strahlentherapie (SMART) bei 118 Patienten mit lokal fortgeschrittenem Pankreaskarzinom (50 Gy/5 Fraktionen).</w:t>
      </w:r>
    </w:p>
    <w:p>
      <w:r>
        <w:rPr>
          <w:b/>
        </w:rPr>
        <w:t xml:space="preserve">Ergebnis: </w:t>
      </w:r>
      <w:r>
        <w:t>Medianes Gesamtüberleben 13,2 Monate ab Therapiestart (95%-CI 10,4–15,9), 2-Jahres-Überleben 23,9%. Lokale Progression bei 15,0% nach 1 Jahr und 22,2% nach 2 Jahren. Akute Grad-≥III-Toxizität bei 5,4%, späte bei 3,2%. Fernprogression war dominantes Versagensmus ter.</w:t>
      </w:r>
    </w:p>
    <w:p>
      <w:r>
        <w:rPr>
          <w:b/>
          <w:sz w:val="19"/>
        </w:rPr>
        <w:t xml:space="preserve">Übertragbarkeit: </w:t>
      </w:r>
      <w:r>
        <w:rPr>
          <w:sz w:val="19"/>
        </w:rPr>
        <w:t>Dänemark (Odense), vergleichbares europäisches Gesundheitssystem, Technologie in deutschen Zentren verfügbar.</w:t>
      </w:r>
    </w:p>
    <w:p>
      <w:r>
        <w:rPr>
          <w:color w:val="5A7D3A"/>
          <w:sz w:val="18"/>
        </w:rPr>
        <w:t>https://pubmed.ncbi.nlm.nih.gov/42822782/</w:t>
      </w:r>
    </w:p>
    <w:p>
      <w:pPr>
        <w:pStyle w:val="Heading2"/>
      </w:pPr>
      <w:r>
        <w:t>Hohe SMAD4-Expression prognostiziert besseres Überleben nach Pankreaskarzinom-Resektion</w:t>
      </w:r>
    </w:p>
    <w:p>
      <w:r>
        <w:rPr>
          <w:i/>
          <w:color w:val="666666"/>
          <w:sz w:val="18"/>
        </w:rPr>
        <w:t>Williams TM et al.  ·  Int J Radiat Oncol Biol Phys  ·  01.10.2026  ·  PMID 42822544</w:t>
      </w:r>
    </w:p>
    <w:p>
      <w:r>
        <w:t>Biomarker-Analyse von 141 Tumorproben aus der Phase-III-Studie RTOG 9704 zur SMAD4-Expression und Überleben nach adjuvanter Chemoradiotherapie.</w:t>
      </w:r>
    </w:p>
    <w:p>
      <w:r>
        <w:rPr>
          <w:b/>
        </w:rPr>
        <w:t xml:space="preserve">Ergebnis: </w:t>
      </w:r>
      <w:r>
        <w:t>Hohe SMAD4-Expression assoziiert mit verbessertem rezidivfreiem Überleben (HR 0,68, 95%-CI 0,48–0,97, p=0,03) und Gesamtüberleben (HR 0,69, 95%-CI 0,48–0,99, p=0,04). Fernmetastasen-Risiko gesenkt (HR 0,69, p=0,048). Multivariable Analyse bestätigte unabhängige Assoziation für rezidivfreies Überleben (HR 0,66, p=0,03) und Fernmetastasen (HR 0,68, p=0,052).</w:t>
      </w:r>
    </w:p>
    <w:p>
      <w:r>
        <w:rPr>
          <w:b/>
          <w:sz w:val="19"/>
        </w:rPr>
        <w:t xml:space="preserve">Übertragbarkeit: </w:t>
      </w:r>
      <w:r>
        <w:rPr>
          <w:sz w:val="19"/>
        </w:rPr>
        <w:t>USA, Biomarker-Definition auf deutsche Pankreaskarzinom-Patienten übertragbar, Prognose-Stratifizierung möglich.</w:t>
      </w:r>
    </w:p>
    <w:p>
      <w:r>
        <w:rPr>
          <w:color w:val="5A7D3A"/>
          <w:sz w:val="18"/>
        </w:rPr>
        <w:t>https://pubmed.ncbi.nlm.nih.gov/42822544/</w:t>
      </w:r>
    </w:p>
    <w:p>
      <w:pPr>
        <w:pStyle w:val="Heading2"/>
      </w:pPr>
      <w:r>
        <w:t>Immuntherapie vor Lebertransplantation senkt Rezidivrisiko bei Hepatozellulärkarzinom</w:t>
      </w:r>
    </w:p>
    <w:p>
      <w:r>
        <w:rPr>
          <w:i/>
          <w:color w:val="666666"/>
          <w:sz w:val="18"/>
        </w:rPr>
        <w:t>Ong M et al.  ·  JAMA Oncol  ·  01.10.2026  ·  PMID 42821267</w:t>
      </w:r>
    </w:p>
    <w:p>
      <w:r>
        <w:t>Retrospektive Matched-Cohort-Studie mit 416 Patienten zur ICI-basierten Downstaging-Therapie vor Lebertransplantation bei initial über Milan-Kriterien liegendem Hepatozellulärkarzinom in acht hochvolumigen chinesischen Transplantationszentren.</w:t>
      </w:r>
    </w:p>
    <w:p>
      <w:r>
        <w:rPr>
          <w:b/>
        </w:rPr>
        <w:t xml:space="preserve">Ergebnis: </w:t>
      </w:r>
      <w:r>
        <w:t>Medianes Gesamtüberleben 4,57 Jahre (ICI-Gruppe, 95%-CI 4,34-n.e.) vs. 2,53 Jahre (Kontrollgruppe, p&lt;0,001). Medianes rezidivfreies Überleben 1,47 Jahre vs. 0,89 Jahre (p=0,02). Postoperatives Rezidivrisiko: HR 0,54 (95%-CI 0,40–0,72). Akute Abstoßung häufiger in ICI-Gruppe (16,3% vs. 8,2%, p=0,01).</w:t>
      </w:r>
    </w:p>
    <w:p>
      <w:r>
        <w:rPr>
          <w:b/>
          <w:sz w:val="19"/>
        </w:rPr>
        <w:t xml:space="preserve">Übertragbarkeit: </w:t>
      </w:r>
      <w:r>
        <w:rPr>
          <w:sz w:val="19"/>
        </w:rPr>
        <w:t>Studiendesign auf europäische Transplantationszentren übertragbar, aber China-spezifische Organverfügbarkeit und Immunsuppression – Sicherheit vor Wirksamkeit klären.</w:t>
      </w:r>
    </w:p>
    <w:p>
      <w:r>
        <w:rPr>
          <w:color w:val="5A7D3A"/>
          <w:sz w:val="18"/>
        </w:rPr>
        <w:t>https://pubmed.ncbi.nlm.nih.gov/42821267/</w:t>
      </w:r>
    </w:p>
    <w:p>
      <w:pPr>
        <w:pStyle w:val="Heading2"/>
      </w:pPr>
      <w:r>
        <w:t>Immuntherapie in der Pädiatrie reduziert Spätfolgen-Mortalität beim Hodgkin-Lymphom</w:t>
      </w:r>
    </w:p>
    <w:p>
      <w:r>
        <w:rPr>
          <w:i/>
          <w:color w:val="666666"/>
          <w:sz w:val="18"/>
        </w:rPr>
        <w:t>Rogers JR et al.  ·  J Natl Cancer Inst  ·  01.10.2026  ·  PMID 42820770</w:t>
      </w:r>
    </w:p>
    <w:p>
      <w:r>
        <w:t>Simulationsmodell zur Lebenszeitprognose von 118 Kindern und Adoleszenten mit fortgeschrittenem Hodgkin-Lymphom unter modernen Brentuximab-vedotin- oder Nivolumab-Regimen vs. historischen Chemotherapie-Schemata.</w:t>
      </w:r>
    </w:p>
    <w:p>
      <w:r>
        <w:rPr>
          <w:b/>
        </w:rPr>
        <w:t xml:space="preserve">Ergebnis: </w:t>
      </w:r>
      <w:r>
        <w:t>Überlebensrate im Alter von 50 Jahren: 86% nach historischen und 92–93% nach modernen Immuntherapie-basierten Regimen (vs. 100% in Allgemeinbevölkerung). Überlebensvorteil persistiert, solange immuntherapie-assoziierte Spätsterblichkeit unter ca. 8% bleibt. Modell suggeriert Reduktion der Spätfolge-Last trotz Überlebensvorteil.</w:t>
      </w:r>
    </w:p>
    <w:p>
      <w:r>
        <w:rPr>
          <w:b/>
          <w:sz w:val="19"/>
        </w:rPr>
        <w:t xml:space="preserve">Übertragbarkeit: </w:t>
      </w:r>
      <w:r>
        <w:rPr>
          <w:sz w:val="19"/>
        </w:rPr>
        <w:t>USA-basiert, aber Endpunkt (Langzeitüberleben, Spätfolgen) tumorentitäts- und systemunabhängig.</w:t>
      </w:r>
    </w:p>
    <w:p>
      <w:r>
        <w:rPr>
          <w:color w:val="5A7D3A"/>
          <w:sz w:val="18"/>
        </w:rPr>
        <w:t>https://pubmed.ncbi.nlm.nih.gov/42820770/</w:t>
      </w:r>
    </w:p>
    <w:p>
      <w:pPr>
        <w:pStyle w:val="Heading2"/>
      </w:pPr>
      <w:r>
        <w:t>Onkolytisches Adenovirus mit Hyaluronidase verbessert Überleben bei metastasiertem Pankreaskarzinom</w:t>
      </w:r>
    </w:p>
    <w:p>
      <w:r>
        <w:rPr>
          <w:i/>
          <w:color w:val="666666"/>
          <w:sz w:val="18"/>
        </w:rPr>
        <w:t>Garcia-Carbonero R et al.  ·  Nat Med  ·  30.09.2026  ·  PMID 42816596</w:t>
      </w:r>
    </w:p>
    <w:p>
      <w:r>
        <w:t>Randomisierte Phase-2b-Studie mit 101 Patienten (53 VCN-01+Gemcitabin/nab-Paclitaxel, 48 Chemotherapie allein) zur First-Line-Therapie des metastasierten Pankreaskarzinoms.</w:t>
      </w:r>
    </w:p>
    <w:p>
      <w:r>
        <w:rPr>
          <w:b/>
        </w:rPr>
        <w:t xml:space="preserve">Ergebnis: </w:t>
      </w:r>
      <w:r>
        <w:t>Medianes Gesamtüberleben in Full-Analysis-Set: 10,8 Monate (VCN-01-Gruppe) vs. 8,6 Monate (Kontrolle; HR 0,57, 95%-CI 0,34–0,96, p=0,055). Progressionsfreies Überleben 7,0 vs. 4,6 Monate (HR 0,55, p=0,011). 15-Monats-Überleben 35,5% vs. 12,8%, 18-Monats-Überleben 31,1% vs. 8,5%. Ansprechdauer 11,2 vs. 5,4 Monate (p=0,004).</w:t>
      </w:r>
    </w:p>
    <w:p>
      <w:r>
        <w:rPr>
          <w:b/>
          <w:sz w:val="19"/>
        </w:rPr>
        <w:t xml:space="preserve">Übertragbarkeit: </w:t>
      </w:r>
      <w:r>
        <w:rPr>
          <w:sz w:val="19"/>
        </w:rPr>
        <w:t>Spanien und USA, Zulassung in Phase-3 ausstehend – Transfer zu AMNOG-Bewertung notwendig.</w:t>
      </w:r>
    </w:p>
    <w:p>
      <w:r>
        <w:rPr>
          <w:color w:val="5A7D3A"/>
          <w:sz w:val="18"/>
        </w:rPr>
        <w:t>https://pubmed.ncbi.nlm.nih.gov/42816596/</w:t>
      </w:r>
    </w:p>
    <w:p>
      <w:pPr>
        <w:pStyle w:val="Heading1"/>
      </w:pPr>
      <w:r>
        <w:t>Aufgenommen am 01.10.2026</w:t>
      </w:r>
    </w:p>
    <w:p>
      <w:pPr>
        <w:pStyle w:val="Heading2"/>
      </w:pPr>
      <w:r>
        <w:t>Strahlentherapie mit Antikörper-Wirkstoff-Konjugaten bei Brustkrebs: Sicherheit belegt</w:t>
      </w:r>
    </w:p>
    <w:p>
      <w:r>
        <w:rPr>
          <w:i/>
          <w:color w:val="666666"/>
          <w:sz w:val="18"/>
        </w:rPr>
        <w:t>Visani L et al.  ·  Radiother Oncol  ·  30.09.2026  ·  PMID 42815776</w:t>
      </w:r>
    </w:p>
    <w:p>
      <w:r>
        <w:t>Systematische Übersicht mit Metaanalyse von 29 Studien (3.817 Patienten) zur Verträglichkeit kombinierter Radiotherapie und Antikörper-Wirkstoff-Konjugaten bei frühem und metastasiertem Brustkrebs.</w:t>
      </w:r>
    </w:p>
    <w:p>
      <w:r>
        <w:rPr>
          <w:b/>
        </w:rPr>
        <w:t xml:space="preserve">Ergebnis: </w:t>
      </w:r>
      <w:r>
        <w:t>Schwere Strahlengewebsnekrose trat in 5% der Fälle auf (95%-KI: 1–12%). Bei intracranialer Stereotaxie waren 8% der Ereignisse ≥Grad 3 (95%-KI: 3–15%), mit T-DM1 13% (95%-KI: 1–34%). Pneumonitis und Hautreaktionen ≥Grad 3 waren selten (je 0%). Außerhalb des Schädels ist die Therapiekombination sicher; intracraniell, besonders mit T-DM1, ist Vorsicht geboten.</w:t>
      </w:r>
    </w:p>
    <w:p>
      <w:r>
        <w:rPr>
          <w:b/>
          <w:sz w:val="19"/>
        </w:rPr>
        <w:t xml:space="preserve">Übertragbarkeit: </w:t>
      </w:r>
      <w:r>
        <w:rPr>
          <w:sz w:val="19"/>
        </w:rPr>
        <w:t>Europa, internationale Konsensusgruppe; übertragbar auf deutsche Zentren.</w:t>
      </w:r>
    </w:p>
    <w:p>
      <w:r>
        <w:rPr>
          <w:color w:val="5A7D3A"/>
          <w:sz w:val="18"/>
        </w:rPr>
        <w:t>https://pubmed.ncbi.nlm.nih.gov/42815776/</w:t>
      </w:r>
    </w:p>
    <w:p>
      <w:pPr>
        <w:pStyle w:val="Heading2"/>
      </w:pPr>
      <w:r>
        <w:t>Erdafitinib verlängert Überleben bei FGFR-verändertem Urothelkarzinom deutlich</w:t>
      </w:r>
    </w:p>
    <w:p>
      <w:r>
        <w:rPr>
          <w:i/>
          <w:color w:val="666666"/>
          <w:sz w:val="18"/>
        </w:rPr>
        <w:t>Loriot Y et al.  ·  ESMO Open  ·  30.09.2026  ·  PMID 42815410</w:t>
      </w:r>
    </w:p>
    <w:p>
      <w:r>
        <w:t>Phase-III-Studie THOR mit 278 Patienten mit FGFR3/2-alteriertem metastasiertem Urothelkarzinom nach PD-(L)1-Progression: Erdafitinib gegen Chemotherapie (Docetaxel/Vinflunin).</w:t>
      </w:r>
    </w:p>
    <w:p>
      <w:r>
        <w:rPr>
          <w:b/>
        </w:rPr>
        <w:t xml:space="preserve">Ergebnis: </w:t>
      </w:r>
      <w:r>
        <w:t>Medianes Gesamtüberleben: 12,1 vs. 8,7 Monate (HR 0,65; 95%-KI 0,48–0,86; p=0,0031). Progressionsfreies Überleben: 5,4 vs. 2,7 Monate (HR 0,59; p&lt;0,0001). Ansprechrate: 46,9% vs. 12,6% (RR 3,74). Schwere Nebenwirkungen 67,6% vs. 65,8%; therapieassoziierte Todesfälle 0,7% vs. 6,0%.</w:t>
      </w:r>
    </w:p>
    <w:p>
      <w:r>
        <w:rPr>
          <w:b/>
          <w:sz w:val="19"/>
        </w:rPr>
        <w:t xml:space="preserve">Übertragbarkeit: </w:t>
      </w:r>
      <w:r>
        <w:rPr>
          <w:sz w:val="19"/>
        </w:rPr>
        <w:t>Internationale Studie; Zulassung relevant für Deutschland.</w:t>
      </w:r>
    </w:p>
    <w:p>
      <w:r>
        <w:rPr>
          <w:color w:val="5A7D3A"/>
          <w:sz w:val="18"/>
        </w:rPr>
        <w:t>https://pubmed.ncbi.nlm.nih.gov/42815410/</w:t>
      </w:r>
    </w:p>
    <w:p>
      <w:pPr>
        <w:pStyle w:val="Heading2"/>
      </w:pPr>
      <w:r>
        <w:t>Verzögerte Übelkeit unter moderater Chemoemesis-Gefährdung: Untererfassung über 120 Stunden hinaus</w:t>
      </w:r>
    </w:p>
    <w:p>
      <w:r>
        <w:rPr>
          <w:i/>
          <w:color w:val="666666"/>
          <w:sz w:val="18"/>
        </w:rPr>
        <w:t>Iimura Y et al.  ·  ESMO Open  ·  30.09.2026  ·  PMID 42815409</w:t>
      </w:r>
    </w:p>
    <w:p>
      <w:r>
        <w:t>Scoping Review systematischer Erfassung verzögerter chemotherapieassoziierter Übelkeit/Erbrechen (&gt;120 h) in 26 prospektiven Antiemetika-Studien (15 Phase III, 11 Phase II).</w:t>
      </w:r>
    </w:p>
    <w:p>
      <w:r>
        <w:rPr>
          <w:b/>
        </w:rPr>
        <w:t xml:space="preserve">Ergebnis: </w:t>
      </w:r>
      <w:r>
        <w:t>80,8% der Studien beschränkten Erfassung auf konventionelle 24–120 h. Komplette Remissionsquoten fielen von 71% in der Standardphase auf 62% in der Langzeitphase (&gt;120 h). Neurokinin-1-Antagonisten und ältere Patienten zeigten bessere Raten, höherer Frauenanteil schlechtere. Verlängerung der Erfassung wird empfohlen.</w:t>
      </w:r>
    </w:p>
    <w:p>
      <w:r>
        <w:rPr>
          <w:b/>
          <w:sz w:val="19"/>
        </w:rPr>
        <w:t xml:space="preserve">Übertragbarkeit: </w:t>
      </w:r>
      <w:r>
        <w:rPr>
          <w:sz w:val="19"/>
        </w:rPr>
        <w:t>Multizentrisch mit deutschen Autoren; Versorgungsforschungsfrage.</w:t>
      </w:r>
    </w:p>
    <w:p>
      <w:r>
        <w:rPr>
          <w:color w:val="5A7D3A"/>
          <w:sz w:val="18"/>
        </w:rPr>
        <w:t>https://pubmed.ncbi.nlm.nih.gov/42815409/</w:t>
      </w:r>
    </w:p>
    <w:p>
      <w:pPr>
        <w:pStyle w:val="Heading2"/>
      </w:pPr>
      <w:r>
        <w:t>Abemaciclib plus endokrine Therapie bei HR-positivem Brustkrebs: Nutzen über Lymphknoten-Subgruppen konsistent</w:t>
      </w:r>
    </w:p>
    <w:p>
      <w:r>
        <w:rPr>
          <w:i/>
          <w:color w:val="666666"/>
          <w:sz w:val="18"/>
        </w:rPr>
        <w:t>Cortes J et al.  ·  ESMO Open  ·  30.09.2026  ·  PMID 42815408</w:t>
      </w:r>
    </w:p>
    <w:p>
      <w:r>
        <w:t>Nachfolgeanalyse monarchE-Studie, Kohort 1 (91% der Gesamtpopulation): Abemaciclib + endokrine Therapie über 2 Jahre bei knoten-positiven Hochrisiko-Patienten mit HR-positivem, HER2-negativem frühem Brustkrebs nach medianer Nachbeobachtung 76,8 Monate.</w:t>
      </w:r>
    </w:p>
    <w:p>
      <w:r>
        <w:rPr>
          <w:b/>
        </w:rPr>
        <w:t xml:space="preserve">Ergebnis: </w:t>
      </w:r>
      <w:r>
        <w:t>Konsistent anhaltender Rückgang des Rezidivrisikos (invasives krankheitsfreies Überleben) und fernmetastasenfreies Überleben über alle Lymphknoten-Subgruppen (N1-Hochrisiko, N2, N3). Ähnliches Rezidivrisiko zwischen N1-Hochrisiko (68,6% Grad 3) und N2; Nutzen in allen Subgruppen bestätigt.</w:t>
      </w:r>
    </w:p>
    <w:p>
      <w:r>
        <w:rPr>
          <w:b/>
          <w:sz w:val="19"/>
        </w:rPr>
        <w:t xml:space="preserve">Übertragbarkeit: </w:t>
      </w:r>
      <w:r>
        <w:rPr>
          <w:sz w:val="19"/>
        </w:rPr>
        <w:t>Zulassungsrelevante Phase-III-Studie; Zentrenstandard.</w:t>
      </w:r>
    </w:p>
    <w:p>
      <w:r>
        <w:rPr>
          <w:color w:val="5A7D3A"/>
          <w:sz w:val="18"/>
        </w:rPr>
        <w:t>https://pubmed.ncbi.nlm.nih.gov/42815408/</w:t>
      </w:r>
    </w:p>
    <w:p>
      <w:pPr>
        <w:pStyle w:val="Heading2"/>
      </w:pPr>
      <w:r>
        <w:t>Giredestrant + Everolimus verdoppelt progressionsfreies Überleben bei HR+/HER2- metastasiertem Brustkrebs</w:t>
      </w:r>
    </w:p>
    <w:p>
      <w:r>
        <w:rPr>
          <w:i/>
          <w:color w:val="666666"/>
          <w:sz w:val="18"/>
        </w:rPr>
        <w:t>Mayer EL et al.  ·  N Engl J Med  ·  01.10.2026  ·  PMID 42814929</w:t>
      </w:r>
    </w:p>
    <w:p>
      <w:r>
        <w:t>Phase-III-Studie evERA mit 373 Patienten HR-positiv/HER2-negativ fortgeschrittenem Brustkrebs nach CDK4/6-Inhibitor-Versagen: Giredestrant + Everolimus vs. Standard endokrine Therapie + Everolimus.</w:t>
      </w:r>
    </w:p>
    <w:p>
      <w:r>
        <w:rPr>
          <w:b/>
        </w:rPr>
        <w:t xml:space="preserve">Ergebnis: </w:t>
      </w:r>
      <w:r>
        <w:t>Medianes progressionsfreies Überleben gesamt: 8,8 vs. 5,5 Monate (HR 0,56; 95%-KI 0,44–0,71; p&lt;0,001). Bei ESR1-mutiert (n=207): 10,0 vs. 5,5 Monate (HR 0,38; 95%-KI 0,27–0,54). Nebenwirkungsraten ähnlich: Stomatitis 47,3% vs. 48,9%, Diarrhö 26,9% vs. 22,6%, Anämie 23,6% vs. 21,0%.</w:t>
      </w:r>
    </w:p>
    <w:p>
      <w:r>
        <w:rPr>
          <w:b/>
          <w:sz w:val="19"/>
        </w:rPr>
        <w:t xml:space="preserve">Übertragbarkeit: </w:t>
      </w:r>
      <w:r>
        <w:rPr>
          <w:sz w:val="19"/>
        </w:rPr>
        <w:t>Zulassungsrelevant; breites europäisches Netzwerk.</w:t>
      </w:r>
    </w:p>
    <w:p>
      <w:r>
        <w:rPr>
          <w:color w:val="5A7D3A"/>
          <w:sz w:val="18"/>
        </w:rPr>
        <w:t>https://pubmed.ncbi.nlm.nih.gov/42814929/</w:t>
      </w:r>
    </w:p>
    <w:p>
      <w:pPr>
        <w:pStyle w:val="Heading2"/>
      </w:pPr>
      <w:r>
        <w:t>Tumor-Adipozyten-Kontakt prognostiziert schlechteres Überleben beim Pankreaskarzinom unabhängig</w:t>
      </w:r>
    </w:p>
    <w:p>
      <w:r>
        <w:rPr>
          <w:i/>
          <w:color w:val="666666"/>
          <w:sz w:val="18"/>
        </w:rPr>
        <w:t>Günther M et al.  ·  Eur J Cancer  ·  16.10.2026  ·  PMID 42777382</w:t>
      </w:r>
    </w:p>
    <w:p>
      <w:r>
        <w:t>Internationale Multicenter-Studie (941 resezierte PDAC aus 5 Kohorten: München n=400, Bern n=215, Graz n=111, Erlangen n=101, TCGA n=114): Direkte Tumor-Adipozyten-Kontaktflächen (TAC/SARIFA) auf H&amp;E-Schnitten als prognostisches Merkmal.</w:t>
      </w:r>
    </w:p>
    <w:p>
      <w:r>
        <w:rPr>
          <w:b/>
        </w:rPr>
        <w:t xml:space="preserve">Ergebnis: </w:t>
      </w:r>
      <w:r>
        <w:t>TAC/SARIFA in 53% positiv, Cohen's Kappa 0,71 (Interobserver-Agreement). TAC+ assoziiert mit höherem N-Stadium, höherem Grad, älteren Patienten (alle p&lt;0,01). Medianes Gesamtüberleben 14,1 vs. 28,0 Monate (p&lt;0,001); unabhängiger Prognosefaktor (gepoolte HR 1,84; 95%-KI 1,59–2,14; p&lt;0,001). Geschlechtsspezifischer Effekt: HR 2,46 bei Männern vs. 1,50 bei Frauen.</w:t>
      </w:r>
    </w:p>
    <w:p>
      <w:r>
        <w:rPr>
          <w:b/>
          <w:sz w:val="19"/>
        </w:rPr>
        <w:t xml:space="preserve">Übertragbarkeit: </w:t>
      </w:r>
      <w:r>
        <w:rPr>
          <w:sz w:val="19"/>
        </w:rPr>
        <w:t>Deutschsprachige Klinikdaten, vergleichbare Dokumentation; Routine-H&amp;E-Slides.</w:t>
      </w:r>
    </w:p>
    <w:p>
      <w:r>
        <w:rPr>
          <w:color w:val="5A7D3A"/>
          <w:sz w:val="18"/>
        </w:rPr>
        <w:t>https://pubmed.ncbi.nlm.nih.gov/42777382/</w:t>
      </w:r>
    </w:p>
    <w:p>
      <w:pPr>
        <w:pStyle w:val="Heading2"/>
      </w:pPr>
      <w:r>
        <w:t>Futibatinib nach nicht-kovalenten FGFR-Inhibitoren bei FGFR2-verändertem Gallengangskarzinom wirksam</w:t>
      </w:r>
    </w:p>
    <w:p>
      <w:r>
        <w:rPr>
          <w:i/>
          <w:color w:val="666666"/>
          <w:sz w:val="18"/>
        </w:rPr>
        <w:t>Casalino S et al.  ·  Eur J Cancer  ·  16.10.2026  ·  PMID 42731348</w:t>
      </w:r>
    </w:p>
    <w:p>
      <w:r>
        <w:t>Retrospektive europäische Multicenter-Studie (3 Zentren) an 16 Patienten mit FGFR2-rearrangiertem intrahepatischem Cholangiokarziom: Futibatinib nach Progression unter nicht-kovalenten FGFR-Inhibitoren.</w:t>
      </w:r>
    </w:p>
    <w:p>
      <w:r>
        <w:rPr>
          <w:b/>
        </w:rPr>
        <w:t xml:space="preserve">Ergebnis: </w:t>
      </w:r>
      <w:r>
        <w:t>Medianes PFS unter nicht-kovalenten Inhibitoren: 10,2 Monate (95%-KI 7,0–15,5), Ansprechrate 60,0%. Mit Futibatinib (Viertlinien-Median): ORR 31,3%, Kontrolle 50,0%, medianes PFS 4,5 Monate (95%-KI 2,0–9,1), medianes OS 9,9 Monate (95%-KI 5,7–nicht erreicht). FGFR2-Resistenzmutationen in 100% (n=11), polyklonal 45,5%. Effizienz unabhängig von Anzahl Resistenzmutationen.</w:t>
      </w:r>
    </w:p>
    <w:p>
      <w:r>
        <w:rPr>
          <w:b/>
          <w:sz w:val="19"/>
        </w:rPr>
        <w:t xml:space="preserve">Übertragbarkeit: </w:t>
      </w:r>
      <w:r>
        <w:rPr>
          <w:sz w:val="19"/>
        </w:rPr>
        <w:t>Deutschland und italienische/britische Zentren; Mechanismus-Beweis für kovalente Nachfolgetherapie.</w:t>
      </w:r>
    </w:p>
    <w:p>
      <w:r>
        <w:rPr>
          <w:color w:val="5A7D3A"/>
          <w:sz w:val="18"/>
        </w:rPr>
        <w:t>https://pubmed.ncbi.nlm.nih.gov/42731348/</w:t>
      </w:r>
    </w:p>
    <w:p>
      <w:pPr>
        <w:pStyle w:val="Heading1"/>
      </w:pPr>
      <w:r>
        <w:t>Aufgenommen am 30.09.2026</w:t>
      </w:r>
    </w:p>
    <w:p>
      <w:pPr>
        <w:pStyle w:val="Heading2"/>
      </w:pPr>
      <w:r>
        <w:t>Bewegungsintervention verbessert Aufmerksamkeit bei Brustkrebsüberlebenden.</w:t>
      </w:r>
    </w:p>
    <w:p>
      <w:r>
        <w:rPr>
          <w:i/>
          <w:color w:val="666666"/>
          <w:sz w:val="18"/>
        </w:rPr>
        <w:t>Hartman SJ et al.  ·  J Natl Cancer Inst  ·  30.09.2026  ·  PMID 42810736</w:t>
      </w:r>
    </w:p>
    <w:p>
      <w:r>
        <w:t>Randomisierte kontrollierte Studie mit 253 Brustkrebsüberlebenden: 12 Monate ferngesteuerte Bewegungsintervention vs. Kontakt-gematchte Health-&amp;-Wellness-Kontrolle auf Kognition und körperliche Aktivität.</w:t>
      </w:r>
    </w:p>
    <w:p>
      <w:r>
        <w:rPr>
          <w:b/>
        </w:rPr>
        <w:t xml:space="preserve">Ergebnis: </w:t>
      </w:r>
      <w:r>
        <w:t>Bewegungsarm zeigte größere Zunahme an moderater bis intensiver Aktivität (18 auf 23,5 Min./Tag vs. 15 auf 15,5 Min.). Kein signifikanter Unterschied in primären Outcomes (Selbstbericht Kognition, Processing Speed, 6 und 12 Monate, p &gt; 0,05). Sekundäre Outcomes: Bewegungsarm bessere Aufmerksamkeit (6 Mo.: b = 0,14, p = 0,03; 12 Mo.: b = 0,21, p = 0,002) und kurzfristig besseres Gedächtnis (6 Mo.: b = 0,18, p &lt; 0,01).</w:t>
      </w:r>
    </w:p>
    <w:p>
      <w:r>
        <w:rPr>
          <w:b/>
          <w:sz w:val="19"/>
        </w:rPr>
        <w:t xml:space="preserve">Übertragbarkeit: </w:t>
      </w:r>
      <w:r>
        <w:rPr>
          <w:sz w:val="19"/>
        </w:rPr>
        <w:t>USA-amerikanisches Forschungssetting, aber patientenrelevanter Endpunkt und gut skalierbare Fernintervention.</w:t>
      </w:r>
    </w:p>
    <w:p>
      <w:r>
        <w:rPr>
          <w:color w:val="5A7D3A"/>
          <w:sz w:val="18"/>
        </w:rPr>
        <w:t>https://pubmed.ncbi.nlm.nih.gov/42810736/</w:t>
      </w:r>
    </w:p>
    <w:p>
      <w:pPr>
        <w:pStyle w:val="Heading2"/>
      </w:pPr>
      <w:r>
        <w:t>Bewegung verlangsamt epigenetisches Altern bei Brustkrebsüberlebenden.</w:t>
      </w:r>
    </w:p>
    <w:p>
      <w:r>
        <w:rPr>
          <w:i/>
          <w:color w:val="666666"/>
          <w:sz w:val="18"/>
        </w:rPr>
        <w:t>Carlin D et al.  ·  J Natl Cancer Inst  ·  30.09.2026  ·  PMID 42810733</w:t>
      </w:r>
    </w:p>
    <w:p>
      <w:r>
        <w:t>Sekundäranalyse einer RCT mit 124 Brustkrebsüberlebenden: Auswirkung einer 12-Monate-Bewegungsintervention auf DNA-Methylierungsmuster (epigenetische Uhren).</w:t>
      </w:r>
    </w:p>
    <w:p>
      <w:r>
        <w:rPr>
          <w:b/>
        </w:rPr>
        <w:t xml:space="preserve">Ergebnis: </w:t>
      </w:r>
      <w:r>
        <w:t>Bewegungsarm zeigte verlangsamtes epigenetisches Altern nach GrimAge2 (p = 0,02) und DNAmFitAge (p = 0,002) vs. Kontrolle über 12 Monate. Schnelleres epigenetisches Altern mit größerem kognitiven Abbau assoziiert. Genomweite Analyse: differenziell methylierte Stellen mit Anreicherung in BDNF-Signalwegen. Epigenetisches Altern als modifizierbar durch Bewegung und möglicherweise mechanistisches Bindeglied zu kognitiven Effekten.</w:t>
      </w:r>
    </w:p>
    <w:p>
      <w:r>
        <w:rPr>
          <w:b/>
          <w:sz w:val="19"/>
        </w:rPr>
        <w:t xml:space="preserve">Übertragbarkeit: </w:t>
      </w:r>
      <w:r>
        <w:rPr>
          <w:sz w:val="19"/>
        </w:rPr>
        <w:t>USA-Studie, aber biologischer Mechanismus und patientenrelevantes Outcome übertragbar.</w:t>
      </w:r>
    </w:p>
    <w:p>
      <w:r>
        <w:rPr>
          <w:color w:val="5A7D3A"/>
          <w:sz w:val="18"/>
        </w:rPr>
        <w:t>https://pubmed.ncbi.nlm.nih.gov/42810733/</w:t>
      </w:r>
    </w:p>
    <w:p>
      <w:pPr>
        <w:pStyle w:val="Heading2"/>
      </w:pPr>
      <w:r>
        <w:t>Pembrolizumab-Monotherapie beim Nierenzellkarzinom: Biomarker und Langzeitergebnisse.</w:t>
      </w:r>
    </w:p>
    <w:p>
      <w:r>
        <w:rPr>
          <w:i/>
          <w:color w:val="666666"/>
          <w:sz w:val="18"/>
        </w:rPr>
        <w:t>McDermott DF et al.  ·  Ann Oncol  ·  29.09.2026  ·  PMID 42810586</w:t>
      </w:r>
    </w:p>
    <w:p>
      <w:r>
        <w:t>Phase-II-Studie KEYNOTE-427 nach Median 61 Monaten Follow-up: Objektives Ansprechen und Prognosefaktoren für Pembrolizumab ohne Kombinationstherapie bei klarzelliger und nicht-klarzelliger RCC.</w:t>
      </w:r>
    </w:p>
    <w:p>
      <w:r>
        <w:rPr>
          <w:b/>
        </w:rPr>
        <w:t xml:space="preserve">Ergebnis: </w:t>
      </w:r>
      <w:r>
        <w:t>Objektive Ansprechrate 36,4 % (klarzelliges RCC) und 26,7 % (nicht-klarzelliges RCC). T-Zell-entzündliches Genexpressionsprofil (TcellinfGEP) assoziiert mit höherem Ansprechen (p = 0,0208 bzw. p = 0,0021). PD-L1 CPS kontinuierlich mit Gesamtüberleben korreliert (nicht-klarzelliges RCC: p = 0,0014). Patienten mit nachweisbarer ctDNA am Baseline hatten kürzeres OS (30,5 vs. 53,7 Monate). Treibermutationen zeigten keine konsistenten Muster.</w:t>
      </w:r>
    </w:p>
    <w:p>
      <w:r>
        <w:rPr>
          <w:b/>
          <w:sz w:val="19"/>
        </w:rPr>
        <w:t xml:space="preserve">Übertragbarkeit: </w:t>
      </w:r>
      <w:r>
        <w:rPr>
          <w:sz w:val="19"/>
        </w:rPr>
        <w:t>Nordamerikanische Kohorte, internationale Zentren, Biomarker-Erkenntnisse für Präzisionstherapie übertragbar.</w:t>
      </w:r>
    </w:p>
    <w:p>
      <w:r>
        <w:rPr>
          <w:color w:val="5A7D3A"/>
          <w:sz w:val="18"/>
        </w:rPr>
        <w:t>https://pubmed.ncbi.nlm.nih.gov/42810586/</w:t>
      </w:r>
    </w:p>
    <w:p>
      <w:pPr>
        <w:pStyle w:val="Heading2"/>
      </w:pPr>
      <w:r>
        <w:t>Lebensqualität in Adjuvansstudien: Neue Standards zur Berichterstattung.</w:t>
      </w:r>
    </w:p>
    <w:p>
      <w:r>
        <w:rPr>
          <w:i/>
          <w:color w:val="666666"/>
          <w:sz w:val="18"/>
        </w:rPr>
        <w:t>Tannock IF et al.  ·  Lancet Oncol  ·  29.09.2026  ·  PMID 42810369</w:t>
      </w:r>
    </w:p>
    <w:p>
      <w:r>
        <w:t>Konsensempfehlungen europäischer und kanadischer Leitlinienautoren zur Erfassung und Darstellung der gesundheitsbezogenen Lebensqualität in Publikationen von Zulassungsstudien der adjuvanten Systemtherapie.</w:t>
      </w:r>
    </w:p>
    <w:p>
      <w:r>
        <w:rPr>
          <w:b/>
        </w:rPr>
        <w:t xml:space="preserve">Ergebnis: </w:t>
      </w:r>
      <w:r>
        <w:t>Die Studienautoren empfehlen, den Anteil der Patienten mit vordefinierter Verschlechterung in validierten Lebensqualitätsskalen sowie die Dauer dieser Beeinträchtigung während und nach Therapie zu dokumentieren. Symptome, Funktionsfähigkeit und Gesamtlebensqualität sollen differenzieren zwischen Patienten mit und ohne klinisch bedeutsame Toxizität. Diese Angaben sind im Primärbericht essentiell für informed treatment decisions.</w:t>
      </w:r>
    </w:p>
    <w:p>
      <w:r>
        <w:rPr>
          <w:b/>
          <w:sz w:val="19"/>
        </w:rPr>
        <w:t xml:space="preserve">Übertragbarkeit: </w:t>
      </w:r>
      <w:r>
        <w:rPr>
          <w:sz w:val="19"/>
        </w:rPr>
        <w:t>Europäische Autorenschaft, Standard für randomisierte Therapiestudien, übertragbar auf deutsches Zulassungswesen.</w:t>
      </w:r>
    </w:p>
    <w:p>
      <w:r>
        <w:rPr>
          <w:color w:val="5A7D3A"/>
          <w:sz w:val="18"/>
        </w:rPr>
        <w:t>https://pubmed.ncbi.nlm.nih.gov/42810369/</w:t>
      </w:r>
    </w:p>
    <w:p>
      <w:pPr>
        <w:pStyle w:val="Heading2"/>
      </w:pPr>
      <w:r>
        <w:t>Pembrolizumab-Lenvatinib bei metastasiertem Endometriumkarzinom: Real-World-Wirksamkeit.</w:t>
      </w:r>
    </w:p>
    <w:p>
      <w:r>
        <w:rPr>
          <w:i/>
          <w:color w:val="666666"/>
          <w:sz w:val="18"/>
        </w:rPr>
        <w:t>Bello Roufai D et al.  ·  ESMO Open  ·  29.09.2026  ·  PMID 42810020</w:t>
      </w:r>
    </w:p>
    <w:p>
      <w:r>
        <w:t>Französisches Programm für frühzeitigen Zugang: Wirksamkeit und Sicherheit von Pembrolizumab-Lenvatinib bei 351 Patienten mit metastasiertem Endometriumkarzinom in 25 Zentren, einschließlich älterer und fragiler Patienten.</w:t>
      </w:r>
    </w:p>
    <w:p>
      <w:r>
        <w:rPr>
          <w:b/>
        </w:rPr>
        <w:t xml:space="preserve">Ergebnis: </w:t>
      </w:r>
      <w:r>
        <w:t>Medianes Progressions-freies Überleben 6,0 Monate, medianes Gesamtüberleben 21 Monate. Objektive Ansprechrate 41 %, klinischer Benefit 68 %. Mismatch-Repair-Defizienz mit verlängertem PFS assoziiert (16 vs. 6 Monate, p &lt; 0,001). 27,6 % permanentes Absetzen von Lenvatinib wegen Toxizität; reduzierte Startdosen (37,2 %) beeinträchtigten PFS nicht. Wirksam auch in realen Populationen jenseits von Studienbedingungen.</w:t>
      </w:r>
    </w:p>
    <w:p>
      <w:r>
        <w:rPr>
          <w:b/>
          <w:sz w:val="19"/>
        </w:rPr>
        <w:t xml:space="preserve">Übertragbarkeit: </w:t>
      </w:r>
      <w:r>
        <w:rPr>
          <w:sz w:val="19"/>
        </w:rPr>
        <w:t>Französisches Versicherungssystem, Zentrumserfahrung, klinische Kohorten ähnlich deutschem Patientengut.</w:t>
      </w:r>
    </w:p>
    <w:p>
      <w:r>
        <w:rPr>
          <w:color w:val="5A7D3A"/>
          <w:sz w:val="18"/>
        </w:rPr>
        <w:t>https://pubmed.ncbi.nlm.nih.gov/42810020/</w:t>
      </w:r>
    </w:p>
    <w:p>
      <w:pPr>
        <w:pStyle w:val="Heading2"/>
      </w:pPr>
      <w:r>
        <w:t>Entscheidungshilfe für Palliativbehandlung beim Pankreaskarzinom: Real-World-Implementierung.</w:t>
      </w:r>
    </w:p>
    <w:p>
      <w:r>
        <w:rPr>
          <w:i/>
          <w:color w:val="666666"/>
          <w:sz w:val="18"/>
        </w:rPr>
        <w:t>Graus MUJE et al.  ·  Oncologist  ·  29.09.2026  ·  PMID 42809229</w:t>
      </w:r>
    </w:p>
    <w:p>
      <w:r>
        <w:t>Prospektive Multizenter-Studie an 10 niederländischen Expertenzentren: Einsatz einer Shared-Decision-Making-Hilfe bei 181 Patienten mit metastasiertem Pankreaskarzinom zur Unterstützung von Therapieentscheidungen.</w:t>
      </w:r>
    </w:p>
    <w:p>
      <w:r>
        <w:rPr>
          <w:b/>
        </w:rPr>
        <w:t xml:space="preserve">Ergebnis: </w:t>
      </w:r>
      <w:r>
        <w:t>Patienten mit ausreichend Bedenkzeit verwendeten die Entscheidungshilfe häufiger (p &lt; 0,01). Mediane Bewertung durch Patienten und Kliniker: 8/10. Diskordanz zwischen Arzt- und Patientenpreferenzen in 37 % beobachtet; Unterschiede zur finalen Therapieentscheidung häufig. Struktur-unterstützte SDM-Hilfe wird hochwertig akzeptiert und kann erfolgreich implementiert werden.</w:t>
      </w:r>
    </w:p>
    <w:p>
      <w:r>
        <w:rPr>
          <w:b/>
          <w:sz w:val="19"/>
        </w:rPr>
        <w:t xml:space="preserve">Übertragbarkeit: </w:t>
      </w:r>
      <w:r>
        <w:rPr>
          <w:sz w:val="19"/>
        </w:rPr>
        <w:t>Niederländisches System, vergleichbar mit deutschem Gesundheitswesen, SDM-Verfahren direkt übertragbar.</w:t>
      </w:r>
    </w:p>
    <w:p>
      <w:r>
        <w:rPr>
          <w:color w:val="5A7D3A"/>
          <w:sz w:val="18"/>
        </w:rPr>
        <w:t>https://pubmed.ncbi.nlm.nih.gov/42809229/</w:t>
      </w:r>
    </w:p>
    <w:p>
      <w:pPr>
        <w:pStyle w:val="Heading1"/>
      </w:pPr>
      <w:r>
        <w:t>Aufgenommen am 29.09.2026</w:t>
      </w:r>
    </w:p>
    <w:p>
      <w:pPr>
        <w:pStyle w:val="Heading2"/>
      </w:pPr>
      <w:r>
        <w:t>Hypofractionierte Postmastektomie-Radiotherapie ohne Anstieg schwerer Toxizitäten</w:t>
      </w:r>
    </w:p>
    <w:p>
      <w:r>
        <w:rPr>
          <w:i/>
          <w:color w:val="666666"/>
          <w:sz w:val="18"/>
        </w:rPr>
        <w:t>Sun GY et al.  ·  Lancet Oncol  ·  Okt. 2026  ·  PMID 42805199</w:t>
      </w:r>
    </w:p>
    <w:p>
      <w:r>
        <w:t>Randomisierte Phase-3-Studie mit 10-Jahres-Nachbeobachtung von 820 Patientinnen mit hochrisiko-Brustkrebs nach Mastektomie.</w:t>
      </w:r>
    </w:p>
    <w:p>
      <w:r>
        <w:rPr>
          <w:b/>
        </w:rPr>
        <w:t xml:space="preserve">Ergebnis: </w:t>
      </w:r>
      <w:r>
        <w:t>Lokoregionales Rezidiv nach 10 Jahren: 10,3 % (konventionell) vs. 12,0 % (hypofraktioniert; Hazard Ratio 1,19; 95%-KI 0,79–1,82). Grade-3-Toxizitäten waren selten und ähnlich in beiden Gruppen (je &lt;1–2 %). Hypofraktionierung ist zeiteffizient und gleichwertig sicher.</w:t>
      </w:r>
    </w:p>
    <w:p>
      <w:r>
        <w:rPr>
          <w:b/>
          <w:sz w:val="19"/>
        </w:rPr>
        <w:t xml:space="preserve">Übertragbarkeit: </w:t>
      </w:r>
      <w:r>
        <w:rPr>
          <w:sz w:val="19"/>
        </w:rPr>
        <w:t>China, vergleichbare onkologische Versorgung; Ergebnis sollte Leitlinien beeinflussen.</w:t>
      </w:r>
    </w:p>
    <w:p>
      <w:r>
        <w:rPr>
          <w:color w:val="5A7D3A"/>
          <w:sz w:val="18"/>
        </w:rPr>
        <w:t>https://pubmed.ncbi.nlm.nih.gov/42805199/</w:t>
      </w:r>
    </w:p>
    <w:p>
      <w:pPr>
        <w:pStyle w:val="Heading2"/>
      </w:pPr>
      <w:r>
        <w:t>2,3 Millionen Krebsfälle weltweit durch Infektionen: Prävention möglich</w:t>
      </w:r>
    </w:p>
    <w:p>
      <w:r>
        <w:rPr>
          <w:i/>
          <w:color w:val="666666"/>
          <w:sz w:val="18"/>
        </w:rPr>
        <w:t>Rumgay H et al.  ·  Lancet Oncol  ·  Okt. 2026  ·  PMID 42805198</w:t>
      </w:r>
    </w:p>
    <w:p>
      <w:r>
        <w:t>Analyse der Global Cancer Observatory 2024 zu Krebslast durch 12 klassifizierten Karzinogene (H. pylori, HPV, HBV, HCV, EBV u. a.).</w:t>
      </w:r>
    </w:p>
    <w:p>
      <w:r>
        <w:rPr>
          <w:b/>
        </w:rPr>
        <w:t xml:space="preserve">Ergebnis: </w:t>
      </w:r>
      <w:r>
        <w:t>12 % aller Krebsinzidenz 2024 (2,3 Mio. Fälle) attributabel: H. pylori 760.000 (4 %), HPV 750.000 (4 %), HBV 360.000 (2 %). Höchste Lasten in Ostasien (990.000 Fälle; 31,9/100.000), Sub-Sahara-Afrika (28,5/100.000). Prävention durch Impfung, Test-and-Treat möglich.</w:t>
      </w:r>
    </w:p>
    <w:p>
      <w:r>
        <w:rPr>
          <w:b/>
          <w:sz w:val="19"/>
        </w:rPr>
        <w:t xml:space="preserve">Übertragbarkeit: </w:t>
      </w:r>
      <w:r>
        <w:rPr>
          <w:sz w:val="19"/>
        </w:rPr>
        <w:t>Global applikabel, auch für Deutschland bei Präventionsplanung relevant.</w:t>
      </w:r>
    </w:p>
    <w:p>
      <w:r>
        <w:rPr>
          <w:color w:val="5A7D3A"/>
          <w:sz w:val="18"/>
        </w:rPr>
        <w:t>https://pubmed.ncbi.nlm.nih.gov/42805198/</w:t>
      </w:r>
    </w:p>
    <w:p>
      <w:pPr>
        <w:pStyle w:val="Heading2"/>
      </w:pPr>
      <w:r>
        <w:t>Keimbahnvariantenscreening: Nutzen vs. Schaden für Population?</w:t>
      </w:r>
    </w:p>
    <w:p>
      <w:r>
        <w:rPr>
          <w:i/>
          <w:color w:val="666666"/>
          <w:sz w:val="18"/>
        </w:rPr>
        <w:t>Turnbull C et al.  ·  Lancet Oncol  ·  25.09.2026  ·  PMID 42790443</w:t>
      </w:r>
    </w:p>
    <w:p>
      <w:r>
        <w:t>Policy Review von Experten zu Expansion von Cancer-Susceptibility-Testing von Genetik-Kliniken in die Bevölkerung; Fokus auf klinische Evidenz und Health-System-Implikationen.</w:t>
      </w:r>
    </w:p>
    <w:p>
      <w:r>
        <w:rPr>
          <w:b/>
        </w:rPr>
        <w:t xml:space="preserve">Ergebnis: </w:t>
      </w:r>
      <w:r>
        <w:t>Nur für wenige Gene (BRCA1, BRCA2, MLH1, MSH2) etablierte Risiken und evidenzgestützte Interventionen. Für viele Panel-Gene: unsichere Penetranz, fehlende Mortalitätsreduktion und Kosteneffektivität. Polygene Risikoscores diskriminatorisch begrenzt, abhängig von Ethnizität. Tiered, kontextabhängiger Implementierungsansatz empfohlen.</w:t>
      </w:r>
    </w:p>
    <w:p>
      <w:r>
        <w:rPr>
          <w:b/>
          <w:sz w:val="19"/>
        </w:rPr>
        <w:t xml:space="preserve">Übertragbarkeit: </w:t>
      </w:r>
      <w:r>
        <w:rPr>
          <w:sz w:val="19"/>
        </w:rPr>
        <w:t>Direkt auf Deutschland übertragbar; könnte AMNOG-, Zertifizierungs- und Leitlinien-Entscheidungen beeinflussen.</w:t>
      </w:r>
    </w:p>
    <w:p>
      <w:r>
        <w:rPr>
          <w:color w:val="5A7D3A"/>
          <w:sz w:val="18"/>
        </w:rPr>
        <w:t>https://pubmed.ncbi.nlm.nih.gov/42790443/</w:t>
      </w:r>
    </w:p>
    <w:p>
      <w:pPr>
        <w:pStyle w:val="Heading2"/>
      </w:pPr>
      <w:r>
        <w:t>Real-World-Überleben HER2-positiver metastastischer Brustkrebs: 41,4 Monate</w:t>
      </w:r>
    </w:p>
    <w:p>
      <w:r>
        <w:rPr>
          <w:i/>
          <w:color w:val="666666"/>
          <w:sz w:val="18"/>
        </w:rPr>
        <w:t>Lee SC et al.  ·  ESMO Open  ·  25.09.2026  ·  PMID 42790263</w:t>
      </w:r>
    </w:p>
    <w:p>
      <w:r>
        <w:t>Retrospektive HER2 REAL Study aus 6 Ländern mit 763 Patienten und HER2-positivem metastasiertem Brustkrebs; Treatment Patterns und OS.</w:t>
      </w:r>
    </w:p>
    <w:p>
      <w:r>
        <w:rPr>
          <w:b/>
        </w:rPr>
        <w:t xml:space="preserve">Ergebnis: </w:t>
      </w:r>
      <w:r>
        <w:t>Mediales Gesamtüberleben: 41,4 Monate (95%-KI 38,1–45,8). Erste Linie Trastuzumab+Pertuzumab+CT: 58,1 % erhalten, medianes OS 46,8 Monate. Zweite Linie T-DM1: 45,5 %, medianes OS 23,9 Monate. Heterogenes Therapiemuster, Optimierungsbedarf identifiziert.</w:t>
      </w:r>
    </w:p>
    <w:p>
      <w:r>
        <w:rPr>
          <w:b/>
          <w:sz w:val="19"/>
        </w:rPr>
        <w:t xml:space="preserve">Übertragbarkeit: </w:t>
      </w:r>
      <w:r>
        <w:rPr>
          <w:sz w:val="19"/>
        </w:rPr>
        <w:t>6 Länder, Patientenauswahl pragmatisch, Real-World-Vergleichswert aber limitiert aussagekräftig für Deutschland.</w:t>
      </w:r>
    </w:p>
    <w:p>
      <w:r>
        <w:rPr>
          <w:color w:val="5A7D3A"/>
          <w:sz w:val="18"/>
        </w:rPr>
        <w:t>https://pubmed.ncbi.nlm.nih.gov/42790263/</w:t>
      </w:r>
    </w:p>
    <w:p>
      <w:pPr>
        <w:pStyle w:val="Heading2"/>
      </w:pPr>
      <w:r>
        <w:t>Daratumumab mit VRd verbessert Remissionstiefe bei transplantuntauglichem Myelom</w:t>
      </w:r>
    </w:p>
    <w:p>
      <w:r>
        <w:rPr>
          <w:i/>
          <w:color w:val="666666"/>
          <w:sz w:val="18"/>
        </w:rPr>
        <w:t>Usmani SZ et al.  ·  J Clin Oncol  ·  25.09.2026  ·  PMID 42789828</w:t>
      </w:r>
    </w:p>
    <w:p>
      <w:r>
        <w:t>Phase-3-Studie CEPHEUS mit 289 transplantuntauglichen Patienten (median 58,7 Monate Nachfolge): DVRd versus VRd.</w:t>
      </w:r>
    </w:p>
    <w:p>
      <w:r>
        <w:rPr>
          <w:b/>
        </w:rPr>
        <w:t xml:space="preserve">Ergebnis: </w:t>
      </w:r>
      <w:r>
        <w:t>MRD-Negativität (10⁻⁵): 60,4 % (DVRd) vs. 39,3 % (VRd; p=0,0004). Progressionsfreies Überleben: HR 0,51 (95%-KI 0,35–0,74; p=0,0003). Nachhaltige MRD ≥12 Monate: 47,2 % vs. 28,3 % (p=0,0010).</w:t>
      </w:r>
    </w:p>
    <w:p>
      <w:r>
        <w:rPr>
          <w:b/>
          <w:sz w:val="19"/>
        </w:rPr>
        <w:t xml:space="preserve">Übertragbarkeit: </w:t>
      </w:r>
      <w:r>
        <w:rPr>
          <w:sz w:val="19"/>
        </w:rPr>
        <w:t>Zulassungsrelevante Studie, Datenlage für AMNOG-Bewertung verfügbar.</w:t>
      </w:r>
    </w:p>
    <w:p>
      <w:r>
        <w:rPr>
          <w:color w:val="5A7D3A"/>
          <w:sz w:val="18"/>
        </w:rPr>
        <w:t>https://pubmed.ncbi.nlm.nih.gov/42789828/</w:t>
      </w:r>
    </w:p>
    <w:p>
      <w:pPr>
        <w:pStyle w:val="Heading2"/>
      </w:pPr>
      <w:r>
        <w:t>Symptomcluster nach Schilddrüsenkrebs-OP beeinflussen Lebensqualität</w:t>
      </w:r>
    </w:p>
    <w:p>
      <w:r>
        <w:rPr>
          <w:i/>
          <w:color w:val="666666"/>
          <w:sz w:val="18"/>
        </w:rPr>
        <w:t>Gao J et al.  ·  Oncologist  ·  24.09.2026  ·  PMID 42786665</w:t>
      </w:r>
    </w:p>
    <w:p>
      <w:r>
        <w:t>Nationale multizentrische Querschnittsstudie mit 1.093 Patienten 4 Wochen post-Thyreoidektomie; Symptome und Lebensqualität mittels EORTC QLQ erhoben.</w:t>
      </w:r>
    </w:p>
    <w:p>
      <w:r>
        <w:rPr>
          <w:b/>
        </w:rPr>
        <w:t xml:space="preserve">Ergebnis: </w:t>
      </w:r>
      <w:r>
        <w:t>Drei Symptomcluster identifiziert: psychologisch-somatisch, Schilddrüsenhormon-bezogen, Operations-bezogen. Psychologisch-somatischer Cluster stärker mit schlechterer Lebensqualität assoziiert (β=−0,596; 95%-KI −0,713 bis −0,581). Frauen und Totalthyreoidektomie zeigten höhere Risikomarker.</w:t>
      </w:r>
    </w:p>
    <w:p>
      <w:r>
        <w:rPr>
          <w:b/>
          <w:sz w:val="19"/>
        </w:rPr>
        <w:t xml:space="preserve">Übertragbarkeit: </w:t>
      </w:r>
      <w:r>
        <w:rPr>
          <w:sz w:val="19"/>
        </w:rPr>
        <w:t>China, Symptomerfassung übertragbar, strukturierte Nachsorge-Interventionen ableitbar.</w:t>
      </w:r>
    </w:p>
    <w:p>
      <w:r>
        <w:rPr>
          <w:color w:val="5A7D3A"/>
          <w:sz w:val="18"/>
        </w:rPr>
        <w:t>https://pubmed.ncbi.nlm.nih.gov/42786665/</w:t>
      </w:r>
    </w:p>
    <w:p>
      <w:pPr>
        <w:pStyle w:val="Heading2"/>
      </w:pPr>
      <w:r>
        <w:t>TA-Wiederholungen als Schwachstelle extrachromosomaler DNA im Tumor</w:t>
      </w:r>
    </w:p>
    <w:p>
      <w:r>
        <w:rPr>
          <w:i/>
          <w:color w:val="666666"/>
          <w:sz w:val="18"/>
        </w:rPr>
        <w:t>Billing D et al.  ·  Nature  ·  23.09.2026  ·  PMID 42778593</w:t>
      </w:r>
    </w:p>
    <w:p>
      <w:r>
        <w:t>Grundlagenarbeit zur Mechanik der Aufrechterhaltung extrachromosomaler DNA (ecDNA) in Krebszellen mittels Single-Cell-Sequenzierung und funktionellen Studien.</w:t>
      </w:r>
    </w:p>
    <w:p>
      <w:r>
        <w:rPr>
          <w:b/>
        </w:rPr>
        <w:t xml:space="preserve">Ergebnis: </w:t>
      </w:r>
      <w:r>
        <w:t>Polymerase-θ (Polθ) und FANCM supprimieren Bruchbildung an TA-reichen Stellen. MMEJ-Reparatur hält ecDNA stabil; Polθ-Inhibition destabilisiert ecDNA selektiv, induziert Fitnessverlust in ecDNA-abhängigen Tumoren. Therapeutisches Potenzial identifiziert.</w:t>
      </w:r>
    </w:p>
    <w:p>
      <w:r>
        <w:rPr>
          <w:b/>
          <w:sz w:val="19"/>
        </w:rPr>
        <w:t xml:space="preserve">Übertragbarkeit: </w:t>
      </w:r>
      <w:r>
        <w:rPr>
          <w:sz w:val="19"/>
        </w:rPr>
        <w:t>USA und Deutschland (Charité beteiligt); Zielstruktur für neue Wirkstoff-entwicklung, noch präklinisch.</w:t>
      </w:r>
    </w:p>
    <w:p>
      <w:r>
        <w:rPr>
          <w:color w:val="5A7D3A"/>
          <w:sz w:val="18"/>
        </w:rPr>
        <w:t>https://pubmed.ncbi.nlm.nih.gov/42778593/</w:t>
      </w:r>
    </w:p>
    <w:p>
      <w:pPr>
        <w:pStyle w:val="Heading1"/>
      </w:pPr>
      <w:r>
        <w:t>Aufgenommen am 28.09.2026</w:t>
      </w:r>
    </w:p>
    <w:p>
      <w:pPr>
        <w:pStyle w:val="Heading2"/>
      </w:pPr>
      <w:r>
        <w:t>Kanonische Action Research verbessert Protontherapie-Zuweisungsquoten: Niederländische Versorgungsstudie zeigt Implementierungsdefizite</w:t>
      </w:r>
    </w:p>
    <w:p>
      <w:r>
        <w:rPr>
          <w:i/>
          <w:color w:val="666666"/>
          <w:sz w:val="18"/>
        </w:rPr>
        <w:t>Ho F et al.  ·  Radiother Oncol  ·  27.09.2026  ·  PMID 42801959</w:t>
      </w:r>
    </w:p>
    <w:p>
      <w:r>
        <w:t>Qualitative Implementierungsstudie mit Canonical Action Research in niederländischen Radiotherapie-Zentren zu Barrieren und Interventionen bei Protontherapie-Zuweisungen für Lungen- und Ösophaguskarzinome.</w:t>
      </w:r>
    </w:p>
    <w:p>
      <w:r>
        <w:rPr>
          <w:b/>
        </w:rPr>
        <w:t xml:space="preserve">Ergebnis: </w:t>
      </w:r>
      <w:r>
        <w:t>Diagnose-Phase identifizierte Barrieren (Wissenslücken, unzureichende Koordination, Logistik). Implementierte stakeholder-entwickelte Interventionen (Logistik-Verbesserungen, Patienten-Begleiter) waren mit erhöhten Überweisungs- und Behandlungsraten an einem Zentrum assoziiert. Stakeholder-Wahrnehmung von Pathway-Design und Intervention-Angemessenheit verbesserte sich; Patienten-Zufriedenheit blieb stabil.</w:t>
      </w:r>
    </w:p>
    <w:p>
      <w:r>
        <w:rPr>
          <w:b/>
          <w:sz w:val="19"/>
        </w:rPr>
        <w:t xml:space="preserve">Übertragbarkeit: </w:t>
      </w:r>
      <w:r>
        <w:rPr>
          <w:sz w:val="19"/>
        </w:rPr>
        <w:t>Niederlande, vergleichbares Versicherungssystem; Modell übertragbar auf deutsche Zentrumsvernetzung</w:t>
      </w:r>
    </w:p>
    <w:p>
      <w:r>
        <w:rPr>
          <w:color w:val="5A7D3A"/>
          <w:sz w:val="18"/>
        </w:rPr>
        <w:t>https://pubmed.ncbi.nlm.nih.gov/42801959/</w:t>
      </w:r>
    </w:p>
    <w:p>
      <w:pPr>
        <w:pStyle w:val="Heading2"/>
      </w:pPr>
      <w:r>
        <w:t>Schlafstörungen und Müdigkeit bei Oropharyngeal-Karzinom-Radiotherapie-Überlebenden korrelieren mit Gesamtüberleben</w:t>
      </w:r>
    </w:p>
    <w:p>
      <w:r>
        <w:rPr>
          <w:i/>
          <w:color w:val="666666"/>
          <w:sz w:val="18"/>
        </w:rPr>
        <w:t>Carevic G et al.  ·  Radiother Oncol  ·  26.09.2026  ·  PMID 42800678</w:t>
      </w:r>
    </w:p>
    <w:p>
      <w:r>
        <w:t>Prospektive Longitudinalkohorte (372 Patienten mit Oropharyngeal-Karzinom unter kurativer Strahlentherapie ± Chemotherapie) zum Symptom-Verlauf und Überleben anhand patientenberichteter Outcomes (MDASI-HN).</w:t>
      </w:r>
    </w:p>
    <w:p>
      <w:r>
        <w:rPr>
          <w:b/>
        </w:rPr>
        <w:t xml:space="preserve">Ergebnis: </w:t>
      </w:r>
      <w:r>
        <w:t>Schwere Müdigkeit, Schlafstörung und Schläfrigkeit erreichten Höhepunkt bei RT-Ende (26%, 15%, 18%) und normalisierten sich bis Monat 6. Schwere longitudinale Müdigkeit (HR 5,05), Schlafstörung (HR 3,86) und Schläfrigkeit (HR 8,24) waren unabhängig mit schlechterer Overall Survival assoziiert (p &lt; 0,05). Effekt blieb nach multivariater Anpassung signifikant.</w:t>
      </w:r>
    </w:p>
    <w:p>
      <w:r>
        <w:rPr>
          <w:b/>
          <w:sz w:val="19"/>
        </w:rPr>
        <w:t xml:space="preserve">Übertragbarkeit: </w:t>
      </w:r>
      <w:r>
        <w:rPr>
          <w:sz w:val="19"/>
        </w:rPr>
        <w:t>USA-Tertiary Center; Symptom-basierte Risikoidentifikation übertragbar auf deutsche Nachsorge-Protokolle</w:t>
      </w:r>
    </w:p>
    <w:p>
      <w:r>
        <w:rPr>
          <w:color w:val="5A7D3A"/>
          <w:sz w:val="18"/>
        </w:rPr>
        <w:t>https://pubmed.ncbi.nlm.nih.gov/42800678/</w:t>
      </w:r>
    </w:p>
    <w:p>
      <w:pPr>
        <w:pStyle w:val="Heading2"/>
      </w:pPr>
      <w:r>
        <w:t>Präzisionsmedizin bei ungleicher Zugangsverteilung: Global-Audit zeigt massive Lücken zwischen Anspruch und Versorgung</w:t>
      </w:r>
    </w:p>
    <w:p>
      <w:r>
        <w:rPr>
          <w:i/>
          <w:color w:val="666666"/>
          <w:sz w:val="18"/>
        </w:rPr>
        <w:t>Casolino R et al.  ·  Lancet Oncol  ·  25.09.2026  ·  PMID 42790448</w:t>
      </w:r>
    </w:p>
    <w:p>
      <w:r>
        <w:t>Lancet-Onkologie-Kommission analysierte die globale Lage der Krebsgenetik und Präzisionsmedizin und bewertete Implementierungsbarrieren, Ungleichheiten und den Nutzen biomarker-gestützter Therapien.</w:t>
      </w:r>
    </w:p>
    <w:p>
      <w:r>
        <w:rPr>
          <w:b/>
        </w:rPr>
        <w:t xml:space="preserve">Ergebnis: </w:t>
      </w:r>
      <w:r>
        <w:t>Nur wenige validierte Biomarker-Therapie-Paare zeigen konsistente klinische Gewinne; umfassendere genomische Profiling-Ansätze erweitern Optionen für Patienten, doch profitiert nur ein kleiner Anteil von angepasster Therapie. Massive Ungleichheiten bei Zugang zur Genomik und Präzisionsmedizin bestehen länder- und populationsübergreifend. Die Studie liefert ein Implementierungs-Framework für gerechte, nachhaltige Skalierung.</w:t>
      </w:r>
    </w:p>
    <w:p>
      <w:r>
        <w:rPr>
          <w:b/>
          <w:sz w:val="19"/>
        </w:rPr>
        <w:t xml:space="preserve">Übertragbarkeit: </w:t>
      </w:r>
      <w:r>
        <w:rPr>
          <w:sz w:val="19"/>
        </w:rPr>
        <w:t>Deutsches Gesundheitssystem: zentral für Zertifizierung der Zentren und AMNOG-Bewertung</w:t>
      </w:r>
    </w:p>
    <w:p>
      <w:r>
        <w:rPr>
          <w:color w:val="5A7D3A"/>
          <w:sz w:val="18"/>
        </w:rPr>
        <w:t>https://pubmed.ncbi.nlm.nih.gov/42790448/</w:t>
      </w:r>
    </w:p>
    <w:p>
      <w:pPr>
        <w:pStyle w:val="Heading2"/>
      </w:pPr>
      <w:r>
        <w:t>Gesamtüberleben als primärer Endpunkt in Phase-III-Onkologie-Studien: Metaanalyse zeigt konsistente Gewinne</w:t>
      </w:r>
    </w:p>
    <w:p>
      <w:r>
        <w:rPr>
          <w:i/>
          <w:color w:val="666666"/>
          <w:sz w:val="18"/>
        </w:rPr>
        <w:t>Sherry AD et al.  ·  Oncologist  ·  09.09.2026  ·  PMID 42789933</w:t>
      </w:r>
    </w:p>
    <w:p>
      <w:r>
        <w:t>OPTIMA-Metaanalyse mit individualisierten Patientendaten von 159 Phase-III-Studien mit Gesamt-Überleben als primärem Endpunkt (104.740 Patienten).</w:t>
      </w:r>
    </w:p>
    <w:p>
      <w:r>
        <w:rPr>
          <w:b/>
        </w:rPr>
        <w:t xml:space="preserve">Ergebnis: </w:t>
      </w:r>
      <w:r>
        <w:t>Experimentelle Arme zeigten im Zwei-Stufen-Cox-Modell verbesserte Overall Survival (Hazard Ratio 0,87; 95%-KI 0,85–0,89; p &lt; 0,0001), bestätigt im einstufigen stratifizierten Modell (HR 0,88; 95%-KI 0,85–0,90). Befund dokumentiert, dass randomisierte Phase-III-Studien mit OS-Primärendpunkt konsistent therapeutische Fortschritte nachweisen.</w:t>
      </w:r>
    </w:p>
    <w:p>
      <w:r>
        <w:rPr>
          <w:b/>
          <w:sz w:val="19"/>
        </w:rPr>
        <w:t xml:space="preserve">Übertragbarkeit: </w:t>
      </w:r>
      <w:r>
        <w:rPr>
          <w:sz w:val="19"/>
        </w:rPr>
        <w:t>Multinationale Studienpopulation; Befunde unterstützen Regulierungs- und Finanzierungsprioritäten für OS-fokussierte Trials</w:t>
      </w:r>
    </w:p>
    <w:p>
      <w:r>
        <w:rPr>
          <w:color w:val="5A7D3A"/>
          <w:sz w:val="18"/>
        </w:rPr>
        <w:t>https://pubmed.ncbi.nlm.nih.gov/42789933/</w:t>
      </w:r>
    </w:p>
    <w:p>
      <w:pPr>
        <w:pStyle w:val="Heading2"/>
      </w:pPr>
      <w:r>
        <w:t>Alkoholkonsum und Kolorektalkarzinom-Risiko bei Prä-Diabetes und Diabetes: Südkoreanische Kohorten zeigen Synergien</w:t>
      </w:r>
    </w:p>
    <w:p>
      <w:r>
        <w:rPr>
          <w:i/>
          <w:color w:val="666666"/>
          <w:sz w:val="18"/>
        </w:rPr>
        <w:t>Kim TS et al.  ·  J Natl Cancer Inst  ·  24.09.2026  ·  PMID 42786582</w:t>
      </w:r>
    </w:p>
    <w:p>
      <w:r>
        <w:t>Nationale südkoreanische Kohortenstudie (4,475.492 Erwachsene, Median-Follow-up 9,33 Jahre) zur Dosis-Wirkung zwischen Alkoholkonsum und Kolorektalkrebs-Inzidenz nach glykämischem Status.</w:t>
      </w:r>
    </w:p>
    <w:p>
      <w:r>
        <w:rPr>
          <w:b/>
        </w:rPr>
        <w:t xml:space="preserve">Ergebnis: </w:t>
      </w:r>
      <w:r>
        <w:t>51.592 CRC-Fälle dokumentiert. Leichter bis mäßiger Alkoholkonsum erhöhte CRC-Risiko synergistisch bei Prä-Diabetes (HR 1,23; 95%-KI 1,19–1,27; Synergieindex 1,72) und Diabetes (HR 1,48; 95%-KI 1,42–1,54; Synergieindex 2,04). Dose-abhängige lineare Assoziation über alle kolorektalen Subsites, steiler bei Diabetes.</w:t>
      </w:r>
    </w:p>
    <w:p>
      <w:r>
        <w:rPr>
          <w:b/>
          <w:sz w:val="19"/>
        </w:rPr>
        <w:t xml:space="preserve">Übertragbarkeit: </w:t>
      </w:r>
      <w:r>
        <w:rPr>
          <w:sz w:val="19"/>
        </w:rPr>
        <w:t>Südkorea, hohes Screening-Aufkommen; Prävention bei Stoffwechselvorstufen setzt patientenrelevante Endpunkte voraus</w:t>
      </w:r>
    </w:p>
    <w:p>
      <w:r>
        <w:rPr>
          <w:color w:val="5A7D3A"/>
          <w:sz w:val="18"/>
        </w:rPr>
        <w:t>https://pubmed.ncbi.nlm.nih.gov/42786582/</w:t>
      </w:r>
    </w:p>
    <w:p>
      <w:pPr>
        <w:pStyle w:val="Heading2"/>
      </w:pPr>
      <w:r>
        <w:t>KI-Modelle zur Risikoprognose in der Magenkrebsnachsorge: Transfernutzen unklar</w:t>
      </w:r>
    </w:p>
    <w:p>
      <w:r>
        <w:rPr>
          <w:i/>
          <w:color w:val="666666"/>
          <w:sz w:val="18"/>
        </w:rPr>
        <w:t>Rabasco Meneghetti A  ·  Ann Oncol  ·  Okt. 2026  ·  PMID 42760040</w:t>
      </w:r>
    </w:p>
    <w:p>
      <w:r>
        <w:t>Kommentar zu DeepComp, einem KI-System für postoperative Risikostratifizierung beim Magenkarzinom; erörtert Vorhersagekompetenz und Umsetzungserfordernisse.</w:t>
      </w:r>
    </w:p>
    <w:p>
      <w:r>
        <w:rPr>
          <w:b/>
        </w:rPr>
        <w:t xml:space="preserve">Ergebnis: </w:t>
      </w:r>
      <w:r>
        <w:t>Der Kommentar diskutiert Chancen maschineller Lernverfahren zur Risikoklassifizierung, warnt aber vor Interpretationsfallen und nennt fehlende Validierung in prospektiven Kohorten als zentrale Hürde für klinische Adoption.</w:t>
      </w:r>
    </w:p>
    <w:p>
      <w:r>
        <w:rPr>
          <w:b/>
          <w:sz w:val="19"/>
        </w:rPr>
        <w:t xml:space="preserve">Übertragbarkeit: </w:t>
      </w:r>
      <w:r>
        <w:rPr>
          <w:sz w:val="19"/>
        </w:rPr>
        <w:t>Deutschland: Validierung in Zentren notwendig vor Einsatz in AMNOG- und Zertifizierungskontexten</w:t>
      </w:r>
    </w:p>
    <w:p>
      <w:r>
        <w:rPr>
          <w:color w:val="5A7D3A"/>
          <w:sz w:val="18"/>
        </w:rPr>
        <w:t>https://pubmed.ncbi.nlm.nih.gov/42760040/</w:t>
      </w:r>
    </w:p>
    <w:p>
      <w:pPr>
        <w:pStyle w:val="Heading1"/>
      </w:pPr>
      <w:r>
        <w:t>Aufgenommen am 27.09.2026</w:t>
      </w:r>
    </w:p>
    <w:p>
      <w:pPr>
        <w:pStyle w:val="Heading2"/>
      </w:pPr>
      <w:r>
        <w:t>Single-Fraction SABR gleichwertig zu Multi-Fraction bei frühem NSCLC</w:t>
      </w:r>
    </w:p>
    <w:p>
      <w:r>
        <w:rPr>
          <w:i/>
          <w:color w:val="666666"/>
          <w:sz w:val="18"/>
        </w:rPr>
        <w:t>Aguirre-Meneses KA et al.  ·  Radiother Oncol  ·  26.09.2026  ·  PMID 42800679</w:t>
      </w:r>
    </w:p>
    <w:p>
      <w:r>
        <w:t>Bevölkerungsbasierte retrospektive Analyse aus British Columbia (2021-2024): 814 Läsionen bei 778 Patienten mit peripher gelegenem T1-2N0-NSCLC, behandelt mit Single-Fraction (SF) oder Multi-Fraction (MF) SABR, Nachverfolgung median 25,8 Monate.</w:t>
      </w:r>
    </w:p>
    <w:p>
      <w:r>
        <w:rPr>
          <w:b/>
        </w:rPr>
        <w:t xml:space="preserve">Ergebnis: </w:t>
      </w:r>
      <w:r>
        <w:t>Keine signifikanten Unterschiede in 2-Jahres-Lokalversagen (3,5% vs. 4,8%, p=0,11) oder 2-Jahres-Gesamtüberleben (79,3% vs. 79,4%, p=0,62). Grad-2-Toxizität 11,5% vs. 12,4%, Grad-3-5-Toxizität 1,5% vs. 3,9% (p=0,08), Brustwandtoxizität identisch 5,0%. SF-SABR war kein unabhängiger Prädiktor für Lokalversagen oder Toxizität.</w:t>
      </w:r>
    </w:p>
    <w:p>
      <w:r>
        <w:rPr>
          <w:b/>
          <w:sz w:val="19"/>
        </w:rPr>
        <w:t xml:space="preserve">Übertragbarkeit: </w:t>
      </w:r>
      <w:r>
        <w:rPr>
          <w:sz w:val="19"/>
        </w:rPr>
        <w:t>Kanadisches System mit vergleichbarem öffentlichem Versicherungsauftrag; Kostenwirksamkeit für deutsche Strahlenkliniken relevant.</w:t>
      </w:r>
    </w:p>
    <w:p>
      <w:r>
        <w:rPr>
          <w:color w:val="5A7D3A"/>
          <w:sz w:val="18"/>
        </w:rPr>
        <w:t>https://pubmed.ncbi.nlm.nih.gov/42800679/</w:t>
      </w:r>
    </w:p>
    <w:p>
      <w:pPr>
        <w:pStyle w:val="Heading2"/>
      </w:pPr>
      <w:r>
        <w:t>Tumor-First DNA-Testing effizienter als Familienanamnese für BRCA-Screening</w:t>
      </w:r>
    </w:p>
    <w:p>
      <w:r>
        <w:rPr>
          <w:i/>
          <w:color w:val="666666"/>
          <w:sz w:val="18"/>
        </w:rPr>
        <w:t>Kloots ISH et al.  ·  Eur J Cancer  ·  19.09.2026  ·  PMID 42800309</w:t>
      </w:r>
    </w:p>
    <w:p>
      <w:r>
        <w:t>Prospektive Studie (PROMPT) mit 452 Patienten mit metastasiertem Prostatakarzinom: Vergleich tumor-first-workflow (TFW) versus familienanamnese-basierte Testung für Keimbahnvarianten in BRCA1/2, PALB2, ATM, CHEK2.</w:t>
      </w:r>
    </w:p>
    <w:p>
      <w:r>
        <w:rPr>
          <w:b/>
        </w:rPr>
        <w:t xml:space="preserve">Ergebnis: </w:t>
      </w:r>
      <w:r>
        <w:t>TFW identifizierte 22/36 (61%) aller Träger pathogener Keimbahnvarianten mit technischer Sensitivität von 97%. Gegenüber modellierter Familienanamnese-Strategie (8 vs. 22 Träger identifiziert; p&lt;0,001) war TFW deutlich überlegen mit positiv-prädiktivem Wert 51% vs. 13% und niedrigerer Anzahl zum Testen (2,0 vs. 7,9). Kosten pro entdeckter Variante: 998 € vs. 12.246 €.</w:t>
      </w:r>
    </w:p>
    <w:p>
      <w:r>
        <w:rPr>
          <w:b/>
          <w:sz w:val="19"/>
        </w:rPr>
        <w:t xml:space="preserve">Übertragbarkeit: </w:t>
      </w:r>
      <w:r>
        <w:rPr>
          <w:sz w:val="19"/>
        </w:rPr>
        <w:t>Niederländisches Gesundheitssystem mit direkter Übertragbarkeit auf deutsches Mutationsscreening-Protokoll.</w:t>
      </w:r>
    </w:p>
    <w:p>
      <w:r>
        <w:rPr>
          <w:color w:val="5A7D3A"/>
          <w:sz w:val="18"/>
        </w:rPr>
        <w:t>https://pubmed.ncbi.nlm.nih.gov/42800309/</w:t>
      </w:r>
    </w:p>
    <w:p>
      <w:pPr>
        <w:pStyle w:val="Heading2"/>
      </w:pPr>
      <w:r>
        <w:t>Spirituelle Überzeugungen hemmen Studienteilnahme schwarzer Krebspatienten massiv</w:t>
      </w:r>
    </w:p>
    <w:p>
      <w:r>
        <w:rPr>
          <w:i/>
          <w:color w:val="666666"/>
          <w:sz w:val="18"/>
        </w:rPr>
        <w:t>Gomez C et al.  ·  Int J Radiat Oncol Biol Phys  ·  25.09.2026  ·  PMID 42790602</w:t>
      </w:r>
    </w:p>
    <w:p>
      <w:r>
        <w:t>Querschnittstudie an 172 von 247 Patienten (70% Teilnahmequote) nach definitiver Strahlentherapie für GI-, thorakale, gynäkologische und HNO-Malignome (Oktober 2023–Februar 2024): Psychosoziale Faktoren und Studieneinschlusshindernisse.</w:t>
      </w:r>
    </w:p>
    <w:p>
      <w:r>
        <w:rPr>
          <w:b/>
        </w:rPr>
        <w:t xml:space="preserve">Ergebnis: </w:t>
      </w:r>
      <w:r>
        <w:t>Schwarze Patienten (n=42, 24%) waren weniger verheiratet (16,7% vs. 68,8%; p&lt;0,001), geringer gebildet und hatten niedrigeres Einkommen ($69.318 vs. $106.823; p&lt;0,001). Obwohl gleich viele zur Teilnahme eingeladen (17,9% vs. 21,7%), stimmten weniger schwarze Patienten zu (17,1% vs. 31,9%; p&lt;0,001). Höhere Religiosität senkte Teilnahmebereitschaft um 44% (p=0,036). 48% schwarzer vs. 17,3% weißer Patienten glaubten, dass Gott Heilung bestimmt (p=0,024); 18% schwarzer vs. 3,6% weißer Patienten misstrauten klinischer Forschung (p=0,001).</w:t>
      </w:r>
    </w:p>
    <w:p>
      <w:r>
        <w:rPr>
          <w:b/>
          <w:sz w:val="19"/>
        </w:rPr>
        <w:t xml:space="preserve">Übertragbarkeit: </w:t>
      </w:r>
      <w:r>
        <w:rPr>
          <w:sz w:val="19"/>
        </w:rPr>
        <w:t>USA - Disparitäten-fokussiertes qualitatives Forschungsdesign; deutsche Rekrutierungsstrategien müssen kulturelle und religiöse Faktoren adressieren.</w:t>
      </w:r>
    </w:p>
    <w:p>
      <w:r>
        <w:rPr>
          <w:color w:val="5A7D3A"/>
          <w:sz w:val="18"/>
        </w:rPr>
        <w:t>https://pubmed.ncbi.nlm.nih.gov/42790602/</w:t>
      </w:r>
    </w:p>
    <w:p>
      <w:pPr>
        <w:pStyle w:val="Heading2"/>
      </w:pPr>
      <w:r>
        <w:t>Komplexe Genomik verzögert Zugang zu Essential Cancer Medicines global</w:t>
      </w:r>
    </w:p>
    <w:p>
      <w:r>
        <w:rPr>
          <w:i/>
          <w:color w:val="666666"/>
          <w:sz w:val="18"/>
        </w:rPr>
        <w:t>Vokinger KN et al.  ·  Lancet Oncol  ·  25.09.2026  ·  PMID 42790449</w:t>
      </w:r>
    </w:p>
    <w:p>
      <w:r>
        <w:t>Retrospektive Analyse der Verfügbarkeit von 41 Essential Cancer Medicines auf der WHO-Liste zwischen 2002 und 2023 in 71 Ländern, unterschieden nach Anforderung an Immunhistochemie, komplexe Genomik oder keine Diagnostik.</w:t>
      </w:r>
    </w:p>
    <w:p>
      <w:r>
        <w:rPr>
          <w:b/>
        </w:rPr>
        <w:t xml:space="preserve">Ergebnis: </w:t>
      </w:r>
      <w:r>
        <w:t>Arzneien, die komplexe genomische Diagnostik erfordern, zeigen 65% niedrigere Aufnahmevolumina als solche ohne Diagnostik-Anforderung (Regressionskoeffizient −0,453, p&lt;0,0001). In Ländern mit niedrigem BIP (&lt;11.000 USD) werden nur 44% der Arzneien mit komplexer Genomik eingesetzt, gegenüber 79% in Ländern mit hohem BIP (&gt;33.000 USD). Die Aufnahme zeigt, dass WHO-EML-Listung allein für Zugang insufficient ist.</w:t>
      </w:r>
    </w:p>
    <w:p>
      <w:r>
        <w:rPr>
          <w:b/>
          <w:sz w:val="19"/>
        </w:rPr>
        <w:t xml:space="preserve">Übertragbarkeit: </w:t>
      </w:r>
      <w:r>
        <w:rPr>
          <w:sz w:val="19"/>
        </w:rPr>
        <w:t>Zeigt strukturelle Barrieren für Precision Oncology in Ländern mit begrenzter diagnostischer Infrastruktur; international vergleichbar.</w:t>
      </w:r>
    </w:p>
    <w:p>
      <w:r>
        <w:rPr>
          <w:color w:val="5A7D3A"/>
          <w:sz w:val="18"/>
        </w:rPr>
        <w:t>https://pubmed.ncbi.nlm.nih.gov/42790449/</w:t>
      </w:r>
    </w:p>
    <w:p>
      <w:pPr>
        <w:pStyle w:val="Heading2"/>
      </w:pPr>
      <w:r>
        <w:t>Venetoclax + Inotuzumab ozogamicin erzielt 95% komplette Remission im rezidivierten/refraktären B-ALL</w:t>
      </w:r>
    </w:p>
    <w:p>
      <w:r>
        <w:rPr>
          <w:i/>
          <w:color w:val="666666"/>
          <w:sz w:val="18"/>
        </w:rPr>
        <w:t>Luskin MR et al.  ·  Blood  ·  25.09.2026  ·  PMID 42789493</w:t>
      </w:r>
    </w:p>
    <w:p>
      <w:r>
        <w:t>Phase-1-Studie (23 Patienten, 15 ALL, 8 LBL): Kombination BCL-2-Inhibitor Venetoclax (VEN 400 mg/Tag 21 Tage) plus CD22-Antikörper-Wirkstoff-Konjugat Inotuzumab ozogamicin (Standard-Dosis) bei rezidiviertem/refraktärem CD22+ B-ALL/lymphoblastischem Lymphom.</w:t>
      </w:r>
    </w:p>
    <w:p>
      <w:r>
        <w:rPr>
          <w:b/>
        </w:rPr>
        <w:t xml:space="preserve">Ergebnis: </w:t>
      </w:r>
      <w:r>
        <w:t>Von 22 evaluablen Patienten erreichten 21 (95,5%) komplette Remission, 19 nach einem Zyklus. Messbare Resterkrankung (MRD) negativ in 88,9% (Flow &lt;10⁻⁴) und 73,7% (NGS &lt;10⁻⁶). Zwei-Jahres-krankheitsfreies Überleben 48% (95% KI 24–72%), medianes Gesamtüberleben nicht erreicht. Nebenwirkungen Grad ≥3: Thrombozytopenie 43,5%, Neutropenie 39,1%, sinusoidales obstruktives Syndrom 4 Patienten. MRD-Negativität korrelierte mit BCL-2-Abhängigkeit; Progression verband sich mit MCL-1-Abhängigkeit, CD22-Escape, ABCB1-Expression.</w:t>
      </w:r>
    </w:p>
    <w:p>
      <w:r>
        <w:rPr>
          <w:b/>
          <w:sz w:val="19"/>
        </w:rPr>
        <w:t xml:space="preserve">Übertragbarkeit: </w:t>
      </w:r>
      <w:r>
        <w:rPr>
          <w:sz w:val="19"/>
        </w:rPr>
        <w:t>USA-Zentrum, Phase 1; internationale Wirkstoffkombination, Übertragung auf Deutschland abhängig von Zulassung und lokaler ALL-Protokoll-Integration.</w:t>
      </w:r>
    </w:p>
    <w:p>
      <w:r>
        <w:rPr>
          <w:color w:val="5A7D3A"/>
          <w:sz w:val="18"/>
        </w:rPr>
        <w:t>https://pubmed.ncbi.nlm.nih.gov/42789493/</w:t>
      </w:r>
    </w:p>
    <w:p>
      <w:pPr>
        <w:pStyle w:val="Heading2"/>
      </w:pPr>
      <w:r>
        <w:t>Körperliche Aktivität verbessert Krankheitsfreies Überleben bei ctDNA-negativem Kolonkarzinom</w:t>
      </w:r>
    </w:p>
    <w:p>
      <w:r>
        <w:rPr>
          <w:i/>
          <w:color w:val="666666"/>
          <w:sz w:val="18"/>
        </w:rPr>
        <w:t>Zhang GQ et al.  ·  J Natl Cancer Inst  ·  24.09.2026  ·  PMID 42786576</w:t>
      </w:r>
    </w:p>
    <w:p>
      <w:r>
        <w:t>Post-hoc-Analyse der Phase-III-Studie CALGB/SWOG 80702 (763 Patienten Stage III Kolonkarzinom): Assoziation von körperlicher Aktivität (gemessen in MET-Stunden/Woche) und postoperativem Überleben, stratifiziert nach zirkulierender Tumor-DNA (ctDNA).</w:t>
      </w:r>
    </w:p>
    <w:p>
      <w:r>
        <w:rPr>
          <w:b/>
        </w:rPr>
        <w:t xml:space="preserve">Ergebnis: </w:t>
      </w:r>
      <w:r>
        <w:t>Bei ctDNA-negativen Patienten zeigten moderate (HR 0,58, 95% KI 0,37–0,91) und hohe körperliche Aktivität (HR 0,49, 95% KI 0,27–0,86) versus Inaktivität verbessertes krankheitsfreies Überleben. Bei ctDNA-positiven Patienten war körperliche Aktivität nicht prognostisch (p&gt;0,05). Physische Aktivität plus adjuvantes Celecoxib zeigte Vorteil in beiden Gruppen (ctDNA-positiv: HR 0,29, 95% KI 0,15–0,57).</w:t>
      </w:r>
    </w:p>
    <w:p>
      <w:r>
        <w:rPr>
          <w:b/>
          <w:sz w:val="19"/>
        </w:rPr>
        <w:t xml:space="preserve">Übertragbarkeit: </w:t>
      </w:r>
      <w:r>
        <w:rPr>
          <w:sz w:val="19"/>
        </w:rPr>
        <w:t>Nordamerikanische Kohortenstudie; ctDNA-Analytik national nur in Zentren verfügbar, Aktivitätsinterventionen aber universell umsetzbar.</w:t>
      </w:r>
    </w:p>
    <w:p>
      <w:r>
        <w:rPr>
          <w:color w:val="5A7D3A"/>
          <w:sz w:val="18"/>
        </w:rPr>
        <w:t>https://pubmed.ncbi.nlm.nih.gov/42786576/</w:t>
      </w:r>
    </w:p>
    <w:p>
      <w:pPr>
        <w:pStyle w:val="Heading2"/>
      </w:pPr>
      <w:r>
        <w:t>Evorpacept + Trastuzumab/Ramucirumab/Paclitaxel verbessert Ansprechrate im HER2+ Magenkarzinom</w:t>
      </w:r>
    </w:p>
    <w:p>
      <w:r>
        <w:rPr>
          <w:i/>
          <w:color w:val="666666"/>
          <w:sz w:val="18"/>
        </w:rPr>
        <w:t>Shitara K et al.  ·  Nat Med  ·  24.09.2026  ·  PMID 42786305</w:t>
      </w:r>
    </w:p>
    <w:p>
      <w:r>
        <w:t>Phase-2-Portion der randomisierten Studie ASPEN-06 (127 Patienten mit vorbehandeltem HER2-überexprimiertem metastasiertem Magen-/Ösophaguskarzinom): Evorpacept (CD47-SIRPα-Blocker) plus Standard-Tripel (TRP) versus TRP allein.</w:t>
      </w:r>
    </w:p>
    <w:p>
      <w:r>
        <w:rPr>
          <w:b/>
        </w:rPr>
        <w:t xml:space="preserve">Ergebnis: </w:t>
      </w:r>
      <w:r>
        <w:t>Primärer Endpunkt: Objektive Ansprechrate (ORR) investigator-assessed 40,3% (Evo+TRP) vs. 26,6% (TRP) in ITT-Population (Differenz 13,7%, p&lt;0,001), in Fresh-Biopsy-HER2+-Subgruppe 54,8% vs. 23,1% (Differenz 31,7%). Differenzen überschritten Schwellen, aber vs. historischem Benchmark (30%) verfehlte nur Fresh-Biopsy-Gruppe Signifikanz knapp (p=0,030 one-sided). Toxizitäten vergleichbar mit etabliertem Profil.</w:t>
      </w:r>
    </w:p>
    <w:p>
      <w:r>
        <w:rPr>
          <w:b/>
          <w:sz w:val="19"/>
        </w:rPr>
        <w:t xml:space="preserve">Übertragbarkeit: </w:t>
      </w:r>
      <w:r>
        <w:rPr>
          <w:sz w:val="19"/>
        </w:rPr>
        <w:t>Internationale Phase-2-Studie; Zulassungsfähigkeit zu klären, Übertragung auf Deutschland abhängig von Zulassung und Amnog-Bewertung.</w:t>
      </w:r>
    </w:p>
    <w:p>
      <w:r>
        <w:rPr>
          <w:color w:val="5A7D3A"/>
          <w:sz w:val="18"/>
        </w:rPr>
        <w:t>https://pubmed.ncbi.nlm.nih.gov/42786305/</w:t>
      </w:r>
    </w:p>
    <w:p>
      <w:pPr>
        <w:pStyle w:val="Heading1"/>
      </w:pPr>
      <w:r>
        <w:t>Aufgenommen am 26.09.2026</w:t>
      </w:r>
    </w:p>
    <w:p>
      <w:pPr>
        <w:pStyle w:val="Heading2"/>
      </w:pPr>
      <w:r>
        <w:t>Reduzierte Dosis für elektive Halsknotenbest. in Nasopharynxkarzinom: 5-Jahres-Sicherheit</w:t>
      </w:r>
    </w:p>
    <w:p>
      <w:r>
        <w:rPr>
          <w:i/>
          <w:color w:val="666666"/>
          <w:sz w:val="18"/>
        </w:rPr>
        <w:t>Chen X et al.  ·  Radiother Oncol  ·  25.09.2026  ·  PMID 42790787</w:t>
      </w:r>
    </w:p>
    <w:p>
      <w:r>
        <w:t>Retrospektive Kohorte mit 752 Patienten zu Langzeiteffizienz und Organschonung bei De-Eskalation der elektiven Halsknotenbestrahlung von 50 Gy auf 45 Gy EQD2 bei intensitätsmodulierter Radiotherapie.</w:t>
      </w:r>
    </w:p>
    <w:p>
      <w:r>
        <w:rPr>
          <w:b/>
        </w:rPr>
        <w:t xml:space="preserve">Ergebnis: </w:t>
      </w:r>
      <w:r>
        <w:t>5-Jahres-Regionalkontrollen 97,3 %, Gesamtüberleben 89,7 %. Nur 0,7 % isolierte Rezidive in der 45-Gy-Dosis. Vergleichspläne zeigten signifikante Dosisreduktion für alle Risikoorgane (p &lt; 0,001) mit bedeutsamen NTCP-Reduktionen für Parotisfunktionsverlust, Dysphagie und Hypothyreose (alle p &lt; 0,001).</w:t>
      </w:r>
    </w:p>
    <w:p>
      <w:r>
        <w:rPr>
          <w:b/>
          <w:sz w:val="19"/>
        </w:rPr>
        <w:t xml:space="preserve">Übertragbarkeit: </w:t>
      </w:r>
      <w:r>
        <w:rPr>
          <w:sz w:val="19"/>
        </w:rPr>
        <w:t>Chinesische Daten, internationales Standard-Bestrahlungsprotokoll, direkt übertragbar.</w:t>
      </w:r>
    </w:p>
    <w:p>
      <w:r>
        <w:rPr>
          <w:color w:val="5A7D3A"/>
          <w:sz w:val="18"/>
        </w:rPr>
        <w:t>https://pubmed.ncbi.nlm.nih.gov/42790787/</w:t>
      </w:r>
    </w:p>
    <w:p>
      <w:pPr>
        <w:pStyle w:val="Heading2"/>
      </w:pPr>
      <w:r>
        <w:t>Iberdomid + Daratumumab gegen Bortezomib bei Myelom: MRD-negative Remissionen verdoppelt</w:t>
      </w:r>
    </w:p>
    <w:p>
      <w:r>
        <w:rPr>
          <w:i/>
          <w:color w:val="666666"/>
          <w:sz w:val="18"/>
        </w:rPr>
        <w:t>Lonial S et al.  ·  Lancet Oncol  ·  25.09.2026  ·  PMID 42790445</w:t>
      </w:r>
    </w:p>
    <w:p>
      <w:r>
        <w:t>Phase-3-Studie (EXCALIBER-RRMM) mit 420 Patienten, randomisiert zum Vergleich Iberdomid/Daratumumab/Dexamethason vs. Daratumumab/Bortezomib/Dexamethason bei rezidiviertem/refraktärem Myelom.</w:t>
      </w:r>
    </w:p>
    <w:p>
      <w:r>
        <w:rPr>
          <w:b/>
        </w:rPr>
        <w:t xml:space="preserve">Ergebnis: </w:t>
      </w:r>
      <w:r>
        <w:t>MRD-negative komplette Remissionen (Fluoreszenzfluss &lt;10−5) 41 % vs. 21 % (odds ratio 2,8; 95%-KI 1,8–4,3; p &lt; 0,0001). Grad-3/4-Nebenwirkungen in 92 % vs. 70 % (Neutropenie 84 % vs. 11 %, Infektionen 39 % vs. 22 %), managebar mit Supportivtherapie.</w:t>
      </w:r>
    </w:p>
    <w:p>
      <w:r>
        <w:rPr>
          <w:b/>
          <w:sz w:val="19"/>
        </w:rPr>
        <w:t xml:space="preserve">Übertragbarkeit: </w:t>
      </w:r>
      <w:r>
        <w:rPr>
          <w:sz w:val="19"/>
        </w:rPr>
        <w:t>Internationale Studie, zentraler europäischer Einsatz in AMNOG-Verfahren zu prüfen.</w:t>
      </w:r>
    </w:p>
    <w:p>
      <w:r>
        <w:rPr>
          <w:color w:val="5A7D3A"/>
          <w:sz w:val="18"/>
        </w:rPr>
        <w:t>https://pubmed.ncbi.nlm.nih.gov/42790445/</w:t>
      </w:r>
    </w:p>
    <w:p>
      <w:pPr>
        <w:pStyle w:val="Heading2"/>
      </w:pPr>
      <w:r>
        <w:t>Online adaptive Radiotherapie bei Prostatakarzinom: weniger Toxizität, bessere Lebensqualität</w:t>
      </w:r>
    </w:p>
    <w:p>
      <w:r>
        <w:rPr>
          <w:i/>
          <w:color w:val="666666"/>
          <w:sz w:val="18"/>
        </w:rPr>
        <w:t>Kalinauskaite G et al.  ·  Strahlenther Onkol  ·  25.09.2026  ·  PMID 42789071</w:t>
      </w:r>
    </w:p>
    <w:p>
      <w:r>
        <w:t>Prospektive Studie zum Vergleich der akuten Toxizität und Lebensqualität bei adaptiver MRT-gestützter Online-Bestrahlung vs. konventioneller bildgestützter Radiotherapie bei Prostatakarzinom mit moderat hypofraktioniertem Schema.</w:t>
      </w:r>
    </w:p>
    <w:p>
      <w:r>
        <w:rPr>
          <w:b/>
        </w:rPr>
        <w:t xml:space="preserve">Ergebnis: </w:t>
      </w:r>
      <w:r>
        <w:t>Adaptive Radiotherapie war mit günstigerem gastrointestinalem Toxizitätsprofil assoziiert (niedrigere maximale Toxizitätsgrade; p = 0,028). Patienten der Vergleichsgruppe zeigten häufiger klinisch bedeutsame Verschlechterungen bei Fatigue (74 % vs. 37 %; p = 0,004), körperlicher Funktionsfähigkeit (27 % vs. 3 %; p = 0,009) und Rollenerfüllung (48,1 % vs. 22,9 %; p = 0,04).</w:t>
      </w:r>
    </w:p>
    <w:p>
      <w:r>
        <w:rPr>
          <w:b/>
          <w:sz w:val="19"/>
        </w:rPr>
        <w:t xml:space="preserve">Übertragbarkeit: </w:t>
      </w:r>
      <w:r>
        <w:rPr>
          <w:sz w:val="19"/>
        </w:rPr>
        <w:t>Deutsches Zentrumsmodell, Charité und Ulm, validierbar für deutsche Routineversorgung.</w:t>
      </w:r>
    </w:p>
    <w:p>
      <w:r>
        <w:rPr>
          <w:color w:val="5A7D3A"/>
          <w:sz w:val="18"/>
        </w:rPr>
        <w:t>https://pubmed.ncbi.nlm.nih.gov/42789071/</w:t>
      </w:r>
    </w:p>
    <w:p>
      <w:pPr>
        <w:pStyle w:val="Heading2"/>
      </w:pPr>
      <w:r>
        <w:t>Zentralisierte MRT-geführte adaptive Brachytherapie für Zervixkarzinom in Österreich: Durchführbarkeit und Ergebnisse</w:t>
      </w:r>
    </w:p>
    <w:p>
      <w:r>
        <w:rPr>
          <w:i/>
          <w:color w:val="666666"/>
          <w:sz w:val="18"/>
        </w:rPr>
        <w:t>Knoth J et al.  ·  Strahlenther Onkol  ·  25.09.2026  ·  PMID 42789070</w:t>
      </w:r>
    </w:p>
    <w:p>
      <w:r>
        <w:t>Retrospektive Kohortenstudie zur Machbarkeit eines österreichischen Zentranzugangsmodells mit dezentraler Perkutanstrahlung und zentralisierter MRT-gestützter adaptiver Brachytherapie bei 89 Patienten mit FIGO IB–IVA Zervixkarzinom (2018–2022).</w:t>
      </w:r>
    </w:p>
    <w:p>
      <w:r>
        <w:rPr>
          <w:b/>
        </w:rPr>
        <w:t xml:space="preserve">Ergebnis: </w:t>
      </w:r>
      <w:r>
        <w:t>3-Jahres-Gesamtüberleben 74 %, Lokalkontrollen 95 %, Beckenregionalkontrollen 95 %. Grad-≥3-Morbidität bei 26,1 %. Mediane Gesamtbehandlungsdauer 50 Tage. Durchführbarkeit und Qualität bestätigt, auch bei paraaortischen Metastasen (17 %).</w:t>
      </w:r>
    </w:p>
    <w:p>
      <w:r>
        <w:rPr>
          <w:b/>
          <w:sz w:val="19"/>
        </w:rPr>
        <w:t xml:space="preserve">Übertragbarkeit: </w:t>
      </w:r>
      <w:r>
        <w:rPr>
          <w:sz w:val="19"/>
        </w:rPr>
        <w:t>Österreichisches Verbundsystem direkt auf deutsche Zentrumslandschaft übertragbar.</w:t>
      </w:r>
    </w:p>
    <w:p>
      <w:r>
        <w:rPr>
          <w:color w:val="5A7D3A"/>
          <w:sz w:val="18"/>
        </w:rPr>
        <w:t>https://pubmed.ncbi.nlm.nih.gov/42789070/</w:t>
      </w:r>
    </w:p>
    <w:p>
      <w:pPr>
        <w:pStyle w:val="Heading2"/>
      </w:pPr>
      <w:r>
        <w:t>Frühe Palliativversorgung für afroamerikanische und rural wohnhafte Angehörige: Langzeitergebnisse</w:t>
      </w:r>
    </w:p>
    <w:p>
      <w:r>
        <w:rPr>
          <w:i/>
          <w:color w:val="666666"/>
          <w:sz w:val="18"/>
        </w:rPr>
        <w:t>Odom JN et al.  ·  J Natl Cancer Inst  ·  24.09.2026  ·  PMID 42786668</w:t>
      </w:r>
    </w:p>
    <w:p>
      <w:r>
        <w:t>Randomisierte Studie (ENABLE Cornerstone) bei 222 Angehörigen und 165 Patienten mit fortgeschrittenem Krebsleiden; Intervention: Laienkurs-geführte Palliativberatung für Pflegepersonen vs. Standardversorgung über 36–48 Wochen.</w:t>
      </w:r>
    </w:p>
    <w:p>
      <w:r>
        <w:rPr>
          <w:b/>
        </w:rPr>
        <w:t xml:space="preserve">Ergebnis: </w:t>
      </w:r>
      <w:r>
        <w:t>Pflegepersonen der Interventionsgruppe: niedrigere Anforderungsbelastung (Differenz −1,54; Cohen's d −0,41; p = 0,03) bei 36 Wochen. Patienten: niedriger depressive Symptome bei 36 Wochen (Differenz −1,53; p = 0,048) und bessere körperliche Lebensqualität bei 48 Wochen (Differenz +3,93; p = 0,02). Effekte bei Subgruppen mit strukturellen Zugangsbarrieren bedeutsam.</w:t>
      </w:r>
    </w:p>
    <w:p>
      <w:r>
        <w:rPr>
          <w:b/>
          <w:sz w:val="19"/>
        </w:rPr>
        <w:t xml:space="preserve">Übertragbarkeit: </w:t>
      </w:r>
      <w:r>
        <w:rPr>
          <w:sz w:val="19"/>
        </w:rPr>
        <w:t>USA, unterrepräsentierte Bevölkerungsgruppen; Modell für deutsche Versorgungslücken anwendbar.</w:t>
      </w:r>
    </w:p>
    <w:p>
      <w:r>
        <w:rPr>
          <w:color w:val="5A7D3A"/>
          <w:sz w:val="18"/>
        </w:rPr>
        <w:t>https://pubmed.ncbi.nlm.nih.gov/42786668/</w:t>
      </w:r>
    </w:p>
    <w:p>
      <w:pPr>
        <w:pStyle w:val="Heading2"/>
      </w:pPr>
      <w:r>
        <w:t>Keramidsynthese und YAP-Signalweg treiben Kolonkarzinom-Metastasen</w:t>
      </w:r>
    </w:p>
    <w:p>
      <w:r>
        <w:rPr>
          <w:i/>
          <w:color w:val="666666"/>
          <w:sz w:val="18"/>
        </w:rPr>
        <w:t>Goswami S et al.  ·  Science  ·  24.09.2026  ·  PMID 42784694</w:t>
      </w:r>
    </w:p>
    <w:p>
      <w:r>
        <w:t>Mechanistische Studie in Zellsystemen und Tiermodellen zur Rolle von de-novo-Keramidsynthese, Desaturase Degs1 und YAP-Signalweg in der Initiierung von Kolorektalkarzinom-Metastasen unter Einfluss diätetischen Fetts.</w:t>
      </w:r>
    </w:p>
    <w:p>
      <w:r>
        <w:rPr>
          <w:b/>
        </w:rPr>
        <w:t xml:space="preserve">Ergebnis: </w:t>
      </w:r>
      <w:r>
        <w:t>Dietäres Fett löst anhaltende Keramidakkumulation aus → YAP-Aktivierung über PP2A-Dephosphorylierung → YAP-DR-Programm mit Basp1-Expression. Degs1-Knockout reduzierten Keramidspiegel, YAP-Aktivität und Metastasierung ohne Primärtumor-Wachstum zu beeinflussen. Basp1-high-Zellen waren erforderlich für Metastasierungsseeding.</w:t>
      </w:r>
    </w:p>
    <w:p>
      <w:r>
        <w:rPr>
          <w:b/>
          <w:sz w:val="19"/>
        </w:rPr>
        <w:t xml:space="preserve">Übertragbarkeit: </w:t>
      </w:r>
      <w:r>
        <w:rPr>
          <w:sz w:val="19"/>
        </w:rPr>
        <w:t>USA-Daten, Grundlagenarbeit; therapeutisches Ansatzpotential (Keramid-Inhibition) für klinische Translation.</w:t>
      </w:r>
    </w:p>
    <w:p>
      <w:r>
        <w:rPr>
          <w:color w:val="5A7D3A"/>
          <w:sz w:val="18"/>
        </w:rPr>
        <w:t>https://pubmed.ncbi.nlm.nih.gov/42784694/</w:t>
      </w:r>
    </w:p>
    <w:p>
      <w:pPr>
        <w:pStyle w:val="Heading2"/>
      </w:pPr>
      <w:r>
        <w:t>IDH-mutantes Gliom: Hirngeometrie und Hypoxie strukturieren Tumororganisation</w:t>
      </w:r>
    </w:p>
    <w:p>
      <w:r>
        <w:rPr>
          <w:i/>
          <w:color w:val="666666"/>
          <w:sz w:val="18"/>
        </w:rPr>
        <w:t>Hoefflin R et al.  ·  Cancer Cell  ·  14.09.2026  ·  PMID 42735681</w:t>
      </w:r>
    </w:p>
    <w:p>
      <w:r>
        <w:t>Räumlich-translationale Studie kombiniert Einzelzell-Proteomik und räumliche Transkriptomik bei IDH-mutierten Gliomen über alle Tumorgrade hinweg, um organisatorische Prinzipien von Tumorprogression zu identifizieren.</w:t>
      </w:r>
    </w:p>
    <w:p>
      <w:r>
        <w:rPr>
          <w:b/>
        </w:rPr>
        <w:t xml:space="preserve">Ergebnis: </w:t>
      </w:r>
      <w:r>
        <w:t>Frühe Tumore: anatomisch-getriebene Organisation an weiß-grauer Substanzgrenze, Oligodendrozyten-Vorläufer (OPC)-ähnliche Zellen preferenziell dort selektioniert. Intermediate Tumore: Desorganisation mit wenigen Zell-Wechselwirkungen. Hochtgradige: Hypoxie-assoziierte Struktur ähnlich IDH-Wildtyp-Glioblastom. Zwei unabhängige räumliche Organisationsachsen.</w:t>
      </w:r>
    </w:p>
    <w:p>
      <w:r>
        <w:rPr>
          <w:b/>
          <w:sz w:val="19"/>
        </w:rPr>
        <w:t xml:space="preserve">Übertragbarkeit: </w:t>
      </w:r>
      <w:r>
        <w:rPr>
          <w:sz w:val="19"/>
        </w:rPr>
        <w:t>Europäisch-israelische Kooperation, Grundlagen für Zielpriorisierung bei Gliom-Therapie.</w:t>
      </w:r>
    </w:p>
    <w:p>
      <w:r>
        <w:rPr>
          <w:color w:val="5A7D3A"/>
          <w:sz w:val="18"/>
        </w:rPr>
        <w:t>https://pubmed.ncbi.nlm.nih.gov/42735681/</w:t>
      </w:r>
    </w:p>
    <w:p>
      <w:pPr>
        <w:pStyle w:val="Heading1"/>
      </w:pPr>
      <w:r>
        <w:t>Aufgenommen am 25.09.2026</w:t>
      </w:r>
    </w:p>
    <w:p>
      <w:pPr>
        <w:pStyle w:val="Heading2"/>
      </w:pPr>
      <w:r>
        <w:t>Adaptive Hoffnung in der Onkologie – Klinischer Rahmen für patientenzentrierte Kommunikation</w:t>
      </w:r>
    </w:p>
    <w:p>
      <w:r>
        <w:rPr>
          <w:i/>
          <w:color w:val="666666"/>
          <w:sz w:val="18"/>
        </w:rPr>
        <w:t>Cherny NI et al.  ·  ESMO Open  ·  24.07.2026  ·  PMID 42785913</w:t>
      </w:r>
    </w:p>
    <w:p>
      <w:r>
        <w:t>Narrative Übersichtsarbeit (Synthesis empirischer und konzeptioneller Literatur): Hope und Despair als zentrale, oft ko-existierende Dimensionen der Krebserfahrung – ihre Determinanten, klinischen Manifestationen und Implikationen für Kommunikation und Entscheidungsfindung über die Krankheitstrajectory.</w:t>
      </w:r>
    </w:p>
    <w:p>
      <w:r>
        <w:rPr>
          <w:b/>
        </w:rPr>
        <w:t xml:space="preserve">Ergebnis: </w:t>
      </w:r>
      <w:r>
        <w:t>Hoffnung ist dynamisches, multidimensionales Konstrukt, das sich über Zeit evolves – initial auf Heilung ausgerichtet, rekalibriert oft zu erreichbaren Zielen (Symptomkontrolle, Funktion, Sinnstiftung, Würde, spiritueller Frieden). Adaptive, realitätskongruente Hoffnung durch ehrliche, mitfühlende, relational fundierte Kommunikation nachhaltig. Klinische Competency: Psychospiritual-, Relational-, interdisziplinäre Approaches (empathische Kommunikation, Symptommanagement, Meaning-Centered Interventions, Dignity-Conserving Care).</w:t>
      </w:r>
    </w:p>
    <w:p>
      <w:r>
        <w:rPr>
          <w:b/>
          <w:sz w:val="19"/>
        </w:rPr>
        <w:t xml:space="preserve">Übertragbarkeit: </w:t>
      </w:r>
      <w:r>
        <w:rPr>
          <w:sz w:val="19"/>
        </w:rPr>
        <w:t>Internationale Expert-Synthesis, direkt auf deutsches Gesundheitssystem übertragbar.</w:t>
      </w:r>
    </w:p>
    <w:p>
      <w:r>
        <w:rPr>
          <w:color w:val="5A7D3A"/>
          <w:sz w:val="18"/>
        </w:rPr>
        <w:t>https://pubmed.ncbi.nlm.nih.gov/42785913/</w:t>
      </w:r>
    </w:p>
    <w:p>
      <w:pPr>
        <w:pStyle w:val="Heading2"/>
      </w:pPr>
      <w:r>
        <w:t>Trastuzumab emtansine bei HER2+ extramammärer Paget-Erkrankung – 92,9% Ansprechrate</w:t>
      </w:r>
    </w:p>
    <w:p>
      <w:r>
        <w:rPr>
          <w:i/>
          <w:color w:val="666666"/>
          <w:sz w:val="18"/>
        </w:rPr>
        <w:t>Arakawa S et al.  ·  ESMO Open  ·  21.07.2026  ·  PMID 42785912</w:t>
      </w:r>
    </w:p>
    <w:p>
      <w:r>
        <w:t>Phase-II-Studie TEMENOS-2: 14 japanische Patienten mit HER2-positivem metastasiertem Paget-Karzinom (extramammär), Firstline Trastuzumab emtansine 3,6 mg/kg alle 3 Wochen bis 2 Jahre.</w:t>
      </w:r>
    </w:p>
    <w:p>
      <w:r>
        <w:rPr>
          <w:b/>
        </w:rPr>
        <w:t xml:space="preserve">Ergebnis: </w:t>
      </w:r>
      <w:r>
        <w:t>Objektive Ansprechquote (zentrale Bewertung) 92,9% [95% CI 66,1%–99,8%]: 2 komplette, 11 partielle Remissionen, 1 Progression. Median-PFS 16,95 Monate [95% CI 5,75–n.e.]. Median-OS nicht erreicht. Grade-3-Nebenwirkungen in 42,9%, keine ≥4. Erste prospektive Evidenz für HER2-dirigierte ADC in dieser Entität.</w:t>
      </w:r>
    </w:p>
    <w:p>
      <w:r>
        <w:rPr>
          <w:b/>
          <w:sz w:val="19"/>
        </w:rPr>
        <w:t xml:space="preserve">Übertragbarkeit: </w:t>
      </w:r>
      <w:r>
        <w:rPr>
          <w:sz w:val="19"/>
        </w:rPr>
        <w:t>Japanische Studie, kleine Fallzahl (n=14); für Deutschland Übertragbarkeit HER2+ seltene Tumoren.</w:t>
      </w:r>
    </w:p>
    <w:p>
      <w:r>
        <w:rPr>
          <w:color w:val="5A7D3A"/>
          <w:sz w:val="18"/>
        </w:rPr>
        <w:t>https://pubmed.ncbi.nlm.nih.gov/42785912/</w:t>
      </w:r>
    </w:p>
    <w:p>
      <w:pPr>
        <w:pStyle w:val="Heading2"/>
      </w:pPr>
      <w:r>
        <w:t>Atezolizumab plus pertuzumab, trastuzumab, Chemotherapie – kein Vorteil für Gesamtüberleben</w:t>
      </w:r>
    </w:p>
    <w:p>
      <w:r>
        <w:rPr>
          <w:i/>
          <w:color w:val="666666"/>
          <w:sz w:val="18"/>
        </w:rPr>
        <w:t>Huober J et al.  ·  ESMO Open  ·  24.09.2026  ·  PMID 42785163</w:t>
      </w:r>
    </w:p>
    <w:p>
      <w:r>
        <w:t>Phase-III-Studie (IMpassion050): Neoadjuvante Atezolizumab-Addition zur Standard-Therapie bei HER2-positivem Frühbrustkrebs hohen Risikos – Intention-to-treat und PD-L1-positive Kohorte.</w:t>
      </w:r>
    </w:p>
    <w:p>
      <w:r>
        <w:rPr>
          <w:b/>
        </w:rPr>
        <w:t xml:space="preserve">Ergebnis: </w:t>
      </w:r>
      <w:r>
        <w:t>3-Jahres-Event-Free-Survival 91,4% (Atezolizumab) vs 89,0% (Placebo); Hazard Ratio 0,90 [95% CI 0,50–1,59]; 3-Jahres-Disease-Free-Survival 92,9% vs 88,5% (HR 0,71 [95% CI 0,38–1,32]). Keine signifikanten Unterschiede. Immuntherapie-assoziierte unerwünschte Ereignisse häufiger (59,4% vs 47,0%).</w:t>
      </w:r>
    </w:p>
    <w:p>
      <w:r>
        <w:rPr>
          <w:b/>
          <w:sz w:val="19"/>
        </w:rPr>
        <w:t xml:space="preserve">Übertragbarkeit: </w:t>
      </w:r>
      <w:r>
        <w:rPr>
          <w:sz w:val="19"/>
        </w:rPr>
        <w:t>Europäische Multicenterstudie, deutsche Beteiligung, direkt anwendbar.</w:t>
      </w:r>
    </w:p>
    <w:p>
      <w:r>
        <w:rPr>
          <w:color w:val="5A7D3A"/>
          <w:sz w:val="18"/>
        </w:rPr>
        <w:t>https://pubmed.ncbi.nlm.nih.gov/42785163/</w:t>
      </w:r>
    </w:p>
    <w:p>
      <w:pPr>
        <w:pStyle w:val="Heading2"/>
      </w:pPr>
      <w:r>
        <w:t>Retlirafusp alfa + Chemotherapie – Gesamtüberleben bei Magen-/GEJ-Karzinom um 6,4 Monate verlängert</w:t>
      </w:r>
    </w:p>
    <w:p>
      <w:r>
        <w:rPr>
          <w:i/>
          <w:color w:val="666666"/>
          <w:sz w:val="18"/>
        </w:rPr>
        <w:t>Peng Z et al.  ·  J Clin Oncol  ·  24.09.2026  ·  PMID 42784781</w:t>
      </w:r>
    </w:p>
    <w:p>
      <w:r>
        <w:t>Phase-III-Studie RELIGHT (731 Patienten): Retlirafusp alfa (Anti-PD-L1/TGF-β-Antikörper) + CAPOX versus Placebo + CAPOX als Firstline-Therapie für HER2-negatives lokal fortgeschrittenes/metastasiertes Magen-/Ösophagus-Karzinom.</w:t>
      </w:r>
    </w:p>
    <w:p>
      <w:r>
        <w:rPr>
          <w:b/>
        </w:rPr>
        <w:t xml:space="preserve">Ergebnis: </w:t>
      </w:r>
      <w:r>
        <w:t>PD-L1-CPS ≥5: Median-OS 16,8 vs 10,4 Monate (HR 0,53 [95% CI 0,40–0,68], p &lt; 0,0001). ITT-Analyse: 15,8 vs 11,2 Monate (HR 0,66 [95% CI 0,53–0,81], p &lt; 0,0001). Median-PFS 7,6 vs 5,5 Monate (HR 0,52). Toxizität vergleichbar (Grade ≥3: 62,6% vs 59,0%).</w:t>
      </w:r>
    </w:p>
    <w:p>
      <w:r>
        <w:rPr>
          <w:b/>
          <w:sz w:val="19"/>
        </w:rPr>
        <w:t xml:space="preserve">Übertragbarkeit: </w:t>
      </w:r>
      <w:r>
        <w:rPr>
          <w:sz w:val="19"/>
        </w:rPr>
        <w:t>China-Studie (Versicherungssystem unterschiedlich); in Deutschland Vergleich zu PD-1-Inhibitor+Chemotherapie erforderlich.</w:t>
      </w:r>
    </w:p>
    <w:p>
      <w:r>
        <w:rPr>
          <w:color w:val="5A7D3A"/>
          <w:sz w:val="18"/>
        </w:rPr>
        <w:t>https://pubmed.ncbi.nlm.nih.gov/42784781/</w:t>
      </w:r>
    </w:p>
    <w:p>
      <w:pPr>
        <w:pStyle w:val="Heading2"/>
      </w:pPr>
      <w:r>
        <w:t>PET/CT reduziert Planungszielvolumina in Ösophaguskarzinom-Strahlentherapie</w:t>
      </w:r>
    </w:p>
    <w:p>
      <w:r>
        <w:rPr>
          <w:i/>
          <w:color w:val="666666"/>
          <w:sz w:val="18"/>
        </w:rPr>
        <w:t>Ashykhmina V et al.  ·  Strahlenther Onkol  ·  24.09.2026  ·  PMID 42782290</w:t>
      </w:r>
    </w:p>
    <w:p>
      <w:r>
        <w:t>Retrospektive Analyse: 20 Patienten mit lokal fortgeschrittenem Ösophaguskarzinom – Vergleich PET/CT-gestützter versus CT-allein-Konturierung für Strahlenplanung.</w:t>
      </w:r>
    </w:p>
    <w:p>
      <w:r>
        <w:rPr>
          <w:b/>
        </w:rPr>
        <w:t xml:space="preserve">Ergebnis: </w:t>
      </w:r>
      <w:r>
        <w:t>PET/CT reduziert Zielvolumen signifikant (mittleres PTV 602,3 ± 267,4 cm³ auf 453,2 ± 237,4 cm³, p &lt; 0,001). Lungen-V20 sank von 10,39 ± 1,23% auf 7,85 ± 1,18% (p = 0,001). Geometrische Unterschiede &gt;100 cm³ in 20% der Fälle. Interobserver-Variabilität beim PET/CT-Targeting niedriger.</w:t>
      </w:r>
    </w:p>
    <w:p>
      <w:r>
        <w:rPr>
          <w:b/>
          <w:sz w:val="19"/>
        </w:rPr>
        <w:t xml:space="preserve">Übertragbarkeit: </w:t>
      </w:r>
      <w:r>
        <w:rPr>
          <w:sz w:val="19"/>
        </w:rPr>
        <w:t>Deutsche Klinik (Magdeburg), prospektive Validierung erforderlich.</w:t>
      </w:r>
    </w:p>
    <w:p>
      <w:r>
        <w:rPr>
          <w:color w:val="5A7D3A"/>
          <w:sz w:val="18"/>
        </w:rPr>
        <w:t>https://pubmed.ncbi.nlm.nih.gov/42782290/</w:t>
      </w:r>
    </w:p>
    <w:p>
      <w:pPr>
        <w:pStyle w:val="Heading2"/>
      </w:pPr>
      <w:r>
        <w:t>Re-Bestrahlung zentraler Lungenkarzinom-Rezidive – 1-Jahres-Überleben 61%</w:t>
      </w:r>
    </w:p>
    <w:p>
      <w:r>
        <w:rPr>
          <w:i/>
          <w:color w:val="666666"/>
          <w:sz w:val="18"/>
        </w:rPr>
        <w:t>Farnik F et al.  ·  Strahlenther Onkol  ·  24.09.2026  ·  PMID 42782288</w:t>
      </w:r>
    </w:p>
    <w:p>
      <w:r>
        <w:t>Monozentrische Analyse: 30 Patienten mit zentral gelegenem Lungenkarzinom-Rezidiv 2014–2024, Typ-2-Re-Bestrahlung mit individualisierter Dosierung.</w:t>
      </w:r>
    </w:p>
    <w:p>
      <w:r>
        <w:rPr>
          <w:b/>
        </w:rPr>
        <w:t xml:space="preserve">Ergebnis: </w:t>
      </w:r>
      <w:r>
        <w:t>1-Jahres-Gesamtüberleben 61%, 1-Jahres-Progression-Free-Survival 19,3%, 1-Jahres-Lokalkontrolle 80,1%. Mediane EQD2 49,5 Gy. Nur ein Fall Grade-3-Spätkomplikation (Ösophagusstenose), gute Verträglichkeit. Alter &gt;65 Jahre einziger unabhängiger Prognosefaktor für besseres PFS.</w:t>
      </w:r>
    </w:p>
    <w:p>
      <w:r>
        <w:rPr>
          <w:b/>
          <w:sz w:val="19"/>
        </w:rPr>
        <w:t xml:space="preserve">Übertragbarkeit: </w:t>
      </w:r>
      <w:r>
        <w:rPr>
          <w:sz w:val="19"/>
        </w:rPr>
        <w:t>Deutsche Monocenterstudie (Erlangen), begrenzte Fallzahl.</w:t>
      </w:r>
    </w:p>
    <w:p>
      <w:r>
        <w:rPr>
          <w:color w:val="5A7D3A"/>
          <w:sz w:val="18"/>
        </w:rPr>
        <w:t>https://pubmed.ncbi.nlm.nih.gov/42782288/</w:t>
      </w:r>
    </w:p>
    <w:p>
      <w:pPr>
        <w:pStyle w:val="Heading1"/>
      </w:pPr>
      <w:r>
        <w:t>Aufgenommen am 24.09.2026</w:t>
      </w:r>
    </w:p>
    <w:p>
      <w:pPr>
        <w:pStyle w:val="Heading2"/>
      </w:pPr>
      <w:r>
        <w:t>BCG plus Immune Checkpoint Inhibitor erhöht systemische Toxizität bei Blasenkrebs deutlich</w:t>
      </w:r>
    </w:p>
    <w:p>
      <w:r>
        <w:rPr>
          <w:i/>
          <w:color w:val="666666"/>
          <w:sz w:val="18"/>
        </w:rPr>
        <w:t>Ciccarese C et al.  ·  ESMO Open  ·  23.09.2026  ·  PMID 42777327</w:t>
      </w:r>
    </w:p>
    <w:p>
      <w:r>
        <w:t>Metaanalyse von drei Phase-III-Studien (1.895 Patienten) zur Sicherheit intravesikaler BCG-Immunchemotherapie gegenüber BCG allein bei nicht-muskelinvasivem Harnblasenkarzinom.</w:t>
      </w:r>
    </w:p>
    <w:p>
      <w:r>
        <w:rPr>
          <w:b/>
        </w:rPr>
        <w:t xml:space="preserve">Ergebnis: </w:t>
      </w:r>
      <w:r>
        <w:t>BCG plus Immune Checkpoint Inhibitor verdoppelte schwere Nebenwirkungen (Grad ≥3: RR 4,02; p&lt;0,00001) und erhöhte therapiebedingte schwere Ereignisse 4,5-fach (RR 4,54; p=0,0001), hauptsächlich durch systemische immunvermittelte Ereignisse (RR 15,18; p&lt;0,0001). Lokale Blasensymptome ähnlich zwischen Gruppen.</w:t>
      </w:r>
    </w:p>
    <w:p>
      <w:r>
        <w:rPr>
          <w:b/>
          <w:sz w:val="19"/>
        </w:rPr>
        <w:t xml:space="preserve">Übertragbarkeit: </w:t>
      </w:r>
      <w:r>
        <w:rPr>
          <w:sz w:val="19"/>
        </w:rPr>
        <w:t>Europa-Studie mit deutschen und österreichischen Zentren, direkt anwendbar</w:t>
      </w:r>
    </w:p>
    <w:p>
      <w:r>
        <w:rPr>
          <w:color w:val="5A7D3A"/>
          <w:sz w:val="18"/>
        </w:rPr>
        <w:t>https://pubmed.ncbi.nlm.nih.gov/42777327/</w:t>
      </w:r>
    </w:p>
    <w:p>
      <w:pPr>
        <w:pStyle w:val="Heading2"/>
      </w:pPr>
      <w:r>
        <w:t>FLOT plus Nivolumab bei Magenkrebs: Monozyten-Lymphozyten-Ratio identifiziert Profiteure</w:t>
      </w:r>
    </w:p>
    <w:p>
      <w:r>
        <w:rPr>
          <w:i/>
          <w:color w:val="666666"/>
          <w:sz w:val="18"/>
        </w:rPr>
        <w:t>Masetti M et al.  ·  Eur J Cancer  ·  10.09.2026  ·  PMID 42777290</w:t>
      </w:r>
    </w:p>
    <w:p>
      <w:r>
        <w:t>Extended Follow-up einer deutschen Multizenterstudie (Arm C: 52 Patienten mit metastasiertem gastroösophagealem Adenokarzinom) zu FLOT-Chemotherapie plus Nivolumab mit Biomarker-Stratifizierung.</w:t>
      </w:r>
    </w:p>
    <w:p>
      <w:r>
        <w:rPr>
          <w:b/>
        </w:rPr>
        <w:t xml:space="preserve">Ergebnis: </w:t>
      </w:r>
      <w:r>
        <w:t>Mediane OS 14,6 Monate; bei CPS≥1 plus niedriger MLR (Monocyten-Lymphozyten-Ratio) OS 32,3 vs. 7,4 Monate (p=0,044). NLR und MLR korrelierten mit Überleben; Schmerz verbesserte sich, Müdigkeit und körperliche Funktionsfähigkeit verschlechterten sich.</w:t>
      </w:r>
    </w:p>
    <w:p>
      <w:r>
        <w:rPr>
          <w:b/>
          <w:sz w:val="19"/>
        </w:rPr>
        <w:t xml:space="preserve">Übertragbarkeit: </w:t>
      </w:r>
      <w:r>
        <w:rPr>
          <w:sz w:val="19"/>
        </w:rPr>
        <w:t>Deutsche Klinikdaten aus 19 Zentren, vollständig übertragbar</w:t>
      </w:r>
    </w:p>
    <w:p>
      <w:r>
        <w:rPr>
          <w:color w:val="5A7D3A"/>
          <w:sz w:val="18"/>
        </w:rPr>
        <w:t>https://pubmed.ncbi.nlm.nih.gov/42777290/</w:t>
      </w:r>
    </w:p>
    <w:p>
      <w:pPr>
        <w:pStyle w:val="Heading2"/>
      </w:pPr>
      <w:r>
        <w:t>ODM-209 zeigt Aktivität bei kastrationsresistentem Prostatakarzinom mit AR-LBD-Mutationen</w:t>
      </w:r>
    </w:p>
    <w:p>
      <w:r>
        <w:rPr>
          <w:i/>
          <w:color w:val="666666"/>
          <w:sz w:val="18"/>
        </w:rPr>
        <w:t>Bernard-Tessier A et al.  ·  Eur J Cancer  ·  12.09.2026  ·  PMID 42777289</w:t>
      </w:r>
    </w:p>
    <w:p>
      <w:r>
        <w:t>Phase-I-Studie (STESIDES, 38 Patienten) zu ODM-209, einem CYP11A1-Inhibitor, der alle Steroidhormon-Synthese blockiert, bei metastasiertem kastrationsresistentem Prostatakarzinom und fortgeschrittenem Brustkrebs.</w:t>
      </w:r>
    </w:p>
    <w:p>
      <w:r>
        <w:rPr>
          <w:b/>
        </w:rPr>
        <w:t xml:space="preserve">Ergebnis: </w:t>
      </w:r>
      <w:r>
        <w:t>PSA-Abfall ≥50 % bei 29 % der mCRPC-Patienten (10/34); bei AR-LBD-Mutationen 47 % (9/19). Partielle klinische Remission bei 19 % (3/16). Häufigste Nebenwirkungen: Müdigkeit (53 %), periphere Ödeme (34 %); 8 % erlebten schwere Nebenwirkungen, 3 Fälle ernsthafte Nebenniereninsuffizienz (eine davon DLT).</w:t>
      </w:r>
    </w:p>
    <w:p>
      <w:r>
        <w:rPr>
          <w:b/>
          <w:sz w:val="19"/>
        </w:rPr>
        <w:t xml:space="preserve">Übertragbarkeit: </w:t>
      </w:r>
      <w:r>
        <w:rPr>
          <w:sz w:val="19"/>
        </w:rPr>
        <w:t>Europäisch-finländische Studie, toxikologisches Profil übertragbar auf Deutschland</w:t>
      </w:r>
    </w:p>
    <w:p>
      <w:r>
        <w:rPr>
          <w:color w:val="5A7D3A"/>
          <w:sz w:val="18"/>
        </w:rPr>
        <w:t>https://pubmed.ncbi.nlm.nih.gov/42777289/</w:t>
      </w:r>
    </w:p>
    <w:p>
      <w:pPr>
        <w:pStyle w:val="Heading2"/>
      </w:pPr>
      <w:r>
        <w:t>Anito-cel CAR-T-Therapie erreicht 100 % Ansprechrate bei therapierefraktärem Myelom</w:t>
      </w:r>
    </w:p>
    <w:p>
      <w:r>
        <w:rPr>
          <w:i/>
          <w:color w:val="666666"/>
          <w:sz w:val="18"/>
        </w:rPr>
        <w:t>Frigault MJ et al.  ·  N Engl J Med  ·  24.09.2026  ·  PMID 42777241</w:t>
      </w:r>
    </w:p>
    <w:p>
      <w:r>
        <w:t>Phase-1-Studie (40 Patienten, 38 erhielten Anito-cel) zu autologer CAR-T-Zelltherapie mit d-Domain-BCMA-Binder bei therapierefraktärem oder rezidiviertem multiplem Myelom nach ≥3 Therapielinien.</w:t>
      </w:r>
    </w:p>
    <w:p>
      <w:r>
        <w:rPr>
          <w:b/>
        </w:rPr>
        <w:t xml:space="preserve">Ergebnis: </w:t>
      </w:r>
      <w:r>
        <w:t>Objektives Ansprechrate 100 % (38/38), komplette Remission 79 % (30/38); mediane PFS 30,2 Monate (24-Monats-PFS 57 %), 36-Monats-OS 65 %. CRS Grad 1–2 bei 94 % (beim empfohlenen Dosis-Level), kein Grad-≥3-CRS. ICANS Grad 1–2 bei 16 %, Grad 3 bei 3 % (1 Patient). Keine Neurotoxizität oder Off-Target-Effekte.</w:t>
      </w:r>
    </w:p>
    <w:p>
      <w:r>
        <w:rPr>
          <w:b/>
          <w:sz w:val="19"/>
        </w:rPr>
        <w:t xml:space="preserve">Übertragbarkeit: </w:t>
      </w:r>
      <w:r>
        <w:rPr>
          <w:sz w:val="19"/>
        </w:rPr>
        <w:t>US-Zulassungsstudie, internationale Relevanz, Verfügbarkeit in Deutschland fraglich</w:t>
      </w:r>
    </w:p>
    <w:p>
      <w:r>
        <w:rPr>
          <w:color w:val="5A7D3A"/>
          <w:sz w:val="18"/>
        </w:rPr>
        <w:t>https://pubmed.ncbi.nlm.nih.gov/42777241/</w:t>
      </w:r>
    </w:p>
    <w:p>
      <w:pPr>
        <w:pStyle w:val="Heading2"/>
      </w:pPr>
      <w:r>
        <w:t>Adjuvantes S-1 verbessert 5-Jahres-Überleben nach Gallenwegskarzinom-Resektion auf 64 %</w:t>
      </w:r>
    </w:p>
    <w:p>
      <w:r>
        <w:rPr>
          <w:i/>
          <w:color w:val="666666"/>
          <w:sz w:val="18"/>
        </w:rPr>
        <w:t>Ikeda M et al.  ·  J Clin Oncol  ·  23.09.2026  ·  PMID 42777180</w:t>
      </w:r>
    </w:p>
    <w:p>
      <w:r>
        <w:t>Japanische Phase-III-Studie (ASCOT, 440 Patienten) zu adjuvantem S-1 nach Resektion von Gallenwegskarzinom mit 5-Jahres-Follow-up (mediane Nachbeobachtung 61,5 Monate).</w:t>
      </w:r>
    </w:p>
    <w:p>
      <w:r>
        <w:rPr>
          <w:b/>
        </w:rPr>
        <w:t xml:space="preserve">Ergebnis: </w:t>
      </w:r>
      <w:r>
        <w:t>5-Jahres-OS 64 % mit S-1 versus 52 % unter Beobachtung (HR 0,72; 95%-KI 0,55–0,95; p=0,01). Mediane OS 8,2 versus 5,9 Jahre. Mediane RFS 3,5 (S-1) versus 6,1 Jahre (Beobachtung). Behandlungseffekt über Subgruppen konsistent.</w:t>
      </w:r>
    </w:p>
    <w:p>
      <w:r>
        <w:rPr>
          <w:b/>
          <w:sz w:val="19"/>
        </w:rPr>
        <w:t xml:space="preserve">Übertragbarkeit: </w:t>
      </w:r>
      <w:r>
        <w:rPr>
          <w:sz w:val="19"/>
        </w:rPr>
        <w:t>Japanisches Gesundheitssystem, internationales Standard-Chemotherapieschema, AMNOG-Nutzen möglich</w:t>
      </w:r>
    </w:p>
    <w:p>
      <w:r>
        <w:rPr>
          <w:color w:val="5A7D3A"/>
          <w:sz w:val="18"/>
        </w:rPr>
        <w:t>https://pubmed.ncbi.nlm.nih.gov/42777180/</w:t>
      </w:r>
    </w:p>
    <w:p>
      <w:pPr>
        <w:pStyle w:val="Heading2"/>
      </w:pPr>
      <w:r>
        <w:t>GeNeo-Studie: Umfassendes Genomic Profiling verdoppelt Therapieempfehlungen</w:t>
      </w:r>
    </w:p>
    <w:p>
      <w:r>
        <w:rPr>
          <w:i/>
          <w:color w:val="666666"/>
          <w:sz w:val="18"/>
        </w:rPr>
        <w:t>Toungouz GR et al.  ·  Eur J Cancer  ·  03.06.2026  ·  PMID 42773586</w:t>
      </w:r>
    </w:p>
    <w:p>
      <w:r>
        <w:t>Belgische Studie an 1.000 metastasierten oder lokal fortgeschrittenen Krebspatienten, Vergleich umfassendes Genomic Profiling (CGP) versus beschränkte lokale NGS-Panels im Rahmen der belgischen Präzisionsmedizin-Initiative.</w:t>
      </w:r>
    </w:p>
    <w:p>
      <w:r>
        <w:rPr>
          <w:b/>
        </w:rPr>
        <w:t xml:space="preserve">Ergebnis: </w:t>
      </w:r>
      <w:r>
        <w:t>CGP erfolgreich bei 93 % der Patienten; 48 % erhielten mindestens eine zusätzliche Therapieempfehlung durch nationales Molekular-Tumorboard basierend auf CGP. 61 % aller Patienten erhielten CGP-basierte Empfehlungen; 23 % davon erhalten die empfohlene Therapie (Blockage: Nichtverfügbarkeit 25 %, klinische Verschlechterung 24 %, Patientenwahl 17 %).</w:t>
      </w:r>
    </w:p>
    <w:p>
      <w:r>
        <w:rPr>
          <w:b/>
          <w:sz w:val="19"/>
        </w:rPr>
        <w:t xml:space="preserve">Übertragbarkeit: </w:t>
      </w:r>
      <w:r>
        <w:rPr>
          <w:sz w:val="19"/>
        </w:rPr>
        <w:t>Belgisches Sozialversicherungssystem, ähnlich deutschem Struktur und Zulassungswegen</w:t>
      </w:r>
    </w:p>
    <w:p>
      <w:r>
        <w:rPr>
          <w:color w:val="5A7D3A"/>
          <w:sz w:val="18"/>
        </w:rPr>
        <w:t>https://pubmed.ncbi.nlm.nih.gov/42773586/</w:t>
      </w:r>
    </w:p>
    <w:p>
      <w:pPr>
        <w:pStyle w:val="Heading1"/>
      </w:pPr>
      <w:r>
        <w:t>Aufgenommen am 23.09.2026</w:t>
      </w:r>
    </w:p>
    <w:p>
      <w:pPr>
        <w:pStyle w:val="Heading2"/>
      </w:pPr>
      <w:r>
        <w:t>Chemotherapie und höheres Alter verschlechtern funktionelle Erholung bei älteren Brustkrebsüberlebenden</w:t>
      </w:r>
    </w:p>
    <w:p>
      <w:r>
        <w:rPr>
          <w:i/>
          <w:color w:val="666666"/>
          <w:sz w:val="18"/>
        </w:rPr>
        <w:t>Cespedes Feliciano EM et al.  ·  J Natl Cancer Inst  ·  23.09.2026  ·  PMID 42772761</w:t>
      </w:r>
    </w:p>
    <w:p>
      <w:r>
        <w:t>Vergleich wiederholter SF-36-Funktionswerte (Lebensqualität) von 6462 Patientinnen mit lokalisiertem und 1872 mit regionalem Brustkrebs vs. 37 196 krebsfreie altersgerechte Kontrollen über 15 Jahre aus der Women's Health Initiative.</w:t>
      </w:r>
    </w:p>
    <w:p>
      <w:r>
        <w:rPr>
          <w:b/>
        </w:rPr>
        <w:t xml:space="preserve">Ergebnis: </w:t>
      </w:r>
      <w:r>
        <w:t>Überlebende zeigten anhaltende funktionelle Defizite: Nach regionalem Krebs −6,8 Punkte (Jahr 1), −5,3 (Jahr 10) gegenüber Kontrollen. Chemotherapie verschärfte frühe Rückgänge (−7,1 Jahr 1). Frauen unter 70 Jahren zeigten bessere Erholung. Bessere Prediagnose-Lebensstiländerungen korrelierten mit größerer funktioneller Reserve und Erholungsfähigkeit.</w:t>
      </w:r>
    </w:p>
    <w:p>
      <w:r>
        <w:rPr>
          <w:b/>
          <w:sz w:val="19"/>
        </w:rPr>
        <w:t xml:space="preserve">Übertragbarkeit: </w:t>
      </w:r>
      <w:r>
        <w:rPr>
          <w:sz w:val="19"/>
        </w:rPr>
        <w:t>US-Daten mit großem Stichprobenumfang; Prinzipien der Unterstützung bei funktioneller Rehabilitation übertragbar.</w:t>
      </w:r>
    </w:p>
    <w:p>
      <w:r>
        <w:rPr>
          <w:color w:val="5A7D3A"/>
          <w:sz w:val="18"/>
        </w:rPr>
        <w:t>https://pubmed.ncbi.nlm.nih.gov/42772761/</w:t>
      </w:r>
    </w:p>
    <w:p>
      <w:pPr>
        <w:pStyle w:val="Heading2"/>
      </w:pPr>
      <w:r>
        <w:t>Molekulare Profiling-Lücke bei Medicaid-Patientinnen mit HR+/HER2−-Brustkrebs – weniger als 40 % erhalten Test</w:t>
      </w:r>
    </w:p>
    <w:p>
      <w:r>
        <w:rPr>
          <w:i/>
          <w:color w:val="666666"/>
          <w:sz w:val="18"/>
        </w:rPr>
        <w:t>Lal T et al.  ·  JCO Oncol Pract  ·  22.09.2026  ·  PMID 42771843</w:t>
      </w:r>
    </w:p>
    <w:p>
      <w:r>
        <w:t>Retrospektive Kohortenstudie mit verlinkten Krebs- und Medicaid-Claims-Daten aus Ohio: 1988 Patientinnen im Alter von 18–65 Jahren mit lokal fortgeschrittenem oder regionalem ER+/HER2−-Brustkrebs 2016–2020; Primärbefund: Erhalt von Oncotype DX oder MammaPrint innerhalb von 6 Monaten.</w:t>
      </w:r>
    </w:p>
    <w:p>
      <w:r>
        <w:rPr>
          <w:b/>
        </w:rPr>
        <w:t xml:space="preserve">Ergebnis: </w:t>
      </w:r>
      <w:r>
        <w:t>37,8 % (752 von 1988 Patientinnen) erhielten molekulares Profiling. Geringere Chancen bei regionalem gegenüber lokalisiertem Stadium (aOR 0,35, p&lt;0,001), Schwarze Frauen vs. Weiße (aOR 0,72), Einkommen über Armutsgrenze (aOR 0,73) und Medicaid-Langzeitpflege-Einschreiber (aOR 0,47). Verheiratet mit höherem Profiling (aOR 1,30).</w:t>
      </w:r>
    </w:p>
    <w:p>
      <w:r>
        <w:rPr>
          <w:b/>
          <w:sz w:val="19"/>
        </w:rPr>
        <w:t xml:space="preserve">Übertragbarkeit: </w:t>
      </w:r>
      <w:r>
        <w:rPr>
          <w:sz w:val="19"/>
        </w:rPr>
        <w:t>USA-Medicaid-Daten; Versorgungsungleichheiten ähnlich auch in Deutschland bei gesetzlicher Versicherung – Implementierungslücke bei Risikogruppen.</w:t>
      </w:r>
    </w:p>
    <w:p>
      <w:r>
        <w:rPr>
          <w:color w:val="5A7D3A"/>
          <w:sz w:val="18"/>
        </w:rPr>
        <w:t>https://pubmed.ncbi.nlm.nih.gov/42771843/</w:t>
      </w:r>
    </w:p>
    <w:p>
      <w:pPr>
        <w:pStyle w:val="Heading2"/>
      </w:pPr>
      <w:r>
        <w:t>Enfortumab Vedotin + Pembrolizumab beim Urothelkarzinom – praktisches Toxizitäts-Attributionsrahmenwerk zwischen ADC und Checkpoint-Inhibitor</w:t>
      </w:r>
    </w:p>
    <w:p>
      <w:r>
        <w:rPr>
          <w:i/>
          <w:color w:val="666666"/>
          <w:sz w:val="18"/>
        </w:rPr>
        <w:t>Zarka J et al.  ·  Oncologist  ·  21.09.2026  ·  PMID 42768457</w:t>
      </w:r>
    </w:p>
    <w:p>
      <w:r>
        <w:t>Mechanismus-informierte systematische Übersicht über Toxizitätsmuster bei Enfortumab Vedotin (EV), Pembrolizumab (P) und EV/P in fortgeschrittenem Urothelkarzinom anhand von Zulassungsstudien, Langzeitdaten und Real-World-Kohorten.</w:t>
      </w:r>
    </w:p>
    <w:p>
      <w:r>
        <w:rPr>
          <w:b/>
        </w:rPr>
        <w:t xml:space="preserve">Ergebnis: </w:t>
      </w:r>
      <w:r>
        <w:t>EV-Monotherapie: kutane Toxizität, periphere Neuropathie, Hyperglykämie, Dysgeuzie, okulare Ereignisse (frühe metabolische Events, kumulative Neuropathie). Pembrolizumab: niedrigere Hochgrad-Toxizität, aber Immune-Checkpoint-induzierte Endokrinopathien, Pneumonitis, Hepatitis, Kolitis, Nephritis. Kombination EV/P: vorhersehbare Überlappung dieser Toxizitätsdomänen; praktisches Attributionsrahmenwerk (EV-dominant, Immune-dominant, Überlappung, hohes Risiko mit Therapieunterbrechung).</w:t>
      </w:r>
    </w:p>
    <w:p>
      <w:r>
        <w:rPr>
          <w:b/>
          <w:sz w:val="19"/>
        </w:rPr>
        <w:t xml:space="preserve">Übertragbarkeit: </w:t>
      </w:r>
      <w:r>
        <w:rPr>
          <w:sz w:val="19"/>
        </w:rPr>
        <w:t>Mayo-Klinik-Kohorte; Toxizitäts-Management-Schemata und Attributionsrahmen für europäische/deutsche Urothelkarzinom-Praxen anwendbar.</w:t>
      </w:r>
    </w:p>
    <w:p>
      <w:r>
        <w:rPr>
          <w:color w:val="5A7D3A"/>
          <w:sz w:val="18"/>
        </w:rPr>
        <w:t>https://pubmed.ncbi.nlm.nih.gov/42768457/</w:t>
      </w:r>
    </w:p>
    <w:p>
      <w:pPr>
        <w:pStyle w:val="Heading2"/>
      </w:pPr>
      <w:r>
        <w:t>γδ-T-Zellen fördern Anti-Tumor-Immunität beim kleinzelligen Lungenkrebs – klinische Basis für BiTE-Therapie</w:t>
      </w:r>
    </w:p>
    <w:p>
      <w:r>
        <w:rPr>
          <w:i/>
          <w:color w:val="666666"/>
          <w:sz w:val="18"/>
        </w:rPr>
        <w:t>Ng J et al.  ·  Cancer Cell  ·  18.09.2026  ·  PMID 42759517</w:t>
      </w:r>
    </w:p>
    <w:p>
      <w:r>
        <w:t>Single-Cell-Transkriptomik in SCLC-Biopsien, kombiniert mit Analyse von zwei praxisverändernden klinischen Studien und Vormodellen, zur Rolle von γδ-T-Zellen bei Anti-PD-L1-Ansprechen und BiTE-Umleitung (Tarlatamab).</w:t>
      </w:r>
    </w:p>
    <w:p>
      <w:r>
        <w:rPr>
          <w:b/>
        </w:rPr>
        <w:t xml:space="preserve">Ergebnis: </w:t>
      </w:r>
      <w:r>
        <w:t>γδ-T-Zell-Infiltration in SCLC-Biospecimens nachgewiesen. Trotz PD-1-Expression behielten γδ-T-Zellen zytotoxisches Transkriptionsprofil. Hohe γδ-T-Zell-Infiltration sagte verbessertes Ansprechen auf Anti-PD-L1 in zwei Studien voraus. Vormodelle zeigten γδ-T-Zellen wirksam bei Tarlatamab-umgeleiteter SCLC-Abtötung; Zoledronsäure sensibilisierte SCLC-Zellen für γδ-T-Zell-vermittelte Tötung.</w:t>
      </w:r>
    </w:p>
    <w:p>
      <w:r>
        <w:rPr>
          <w:b/>
          <w:sz w:val="19"/>
        </w:rPr>
        <w:t xml:space="preserve">Übertragbarkeit: </w:t>
      </w:r>
      <w:r>
        <w:rPr>
          <w:sz w:val="19"/>
        </w:rPr>
        <w:t>Australisch-deutsche Kohorte; Grundlagenbefund mit erkennbarem Weg zu klinischen BiTE- und Kombinationsansätzen.</w:t>
      </w:r>
    </w:p>
    <w:p>
      <w:r>
        <w:rPr>
          <w:color w:val="5A7D3A"/>
          <w:sz w:val="18"/>
        </w:rPr>
        <w:t>https://pubmed.ncbi.nlm.nih.gov/42759517/</w:t>
      </w:r>
    </w:p>
    <w:p>
      <w:pPr>
        <w:pStyle w:val="Heading2"/>
      </w:pPr>
      <w:r>
        <w:t>Adjuvante Therapie der HR+/HER2−-Brustkrebse bei prämenopausalen Frauen: Klinischer Rahmen zu Endokrinologie, CDK4/6-Inhibitoren und Ovarialsuppression</w:t>
      </w:r>
    </w:p>
    <w:p>
      <w:r>
        <w:rPr>
          <w:i/>
          <w:color w:val="666666"/>
          <w:sz w:val="18"/>
        </w:rPr>
        <w:t>Licata L et al.  ·  Ann Oncol  ·  17.09.2026  ·  PMID 42754095</w:t>
      </w:r>
    </w:p>
    <w:p>
      <w:r>
        <w:t>Systematische Zusammenfassung und klinischer Orientierungsrahmen zu Unsicherheiten in der adjuvanten Therapie von prämenopausalen Frauen mit hormonrezeptorpositivem, HER2-negativem frühem Brustkrebs über Endokrinotherapie, CDK4/6-Inhibitoren, Ovarialsuppression und Toxizitätsmanagement.</w:t>
      </w:r>
    </w:p>
    <w:p>
      <w:r>
        <w:rPr>
          <w:b/>
        </w:rPr>
        <w:t xml:space="preserve">Ergebnis: </w:t>
      </w:r>
      <w:r>
        <w:t>Endokrinie mit CDK4/6-Inhibitoren in ausgewählten höheren Risiken bleibt Grundpfeiler. Offene Fragen: optimale Ovarialsuppression, Interpretation genomischer Assays für Chemotherapieentscheidungen, Auswahl für verlängerte Endokrinotherapie, Adhärenz und Schwangerschaftsprobleme. Der Rahmen soll individualisierte Strategien für diese Population unterstützen.</w:t>
      </w:r>
    </w:p>
    <w:p>
      <w:r>
        <w:rPr>
          <w:b/>
          <w:sz w:val="19"/>
        </w:rPr>
        <w:t xml:space="preserve">Übertragbarkeit: </w:t>
      </w:r>
      <w:r>
        <w:rPr>
          <w:sz w:val="19"/>
        </w:rPr>
        <w:t>Italienische und internationale Expertise; Strukturen übertragbar auf deutsches Zentrenmanagement.</w:t>
      </w:r>
    </w:p>
    <w:p>
      <w:r>
        <w:rPr>
          <w:color w:val="5A7D3A"/>
          <w:sz w:val="18"/>
        </w:rPr>
        <w:t>https://pubmed.ncbi.nlm.nih.gov/42754095/</w:t>
      </w:r>
    </w:p>
    <w:p>
      <w:pPr>
        <w:pStyle w:val="Heading2"/>
      </w:pPr>
      <w:r>
        <w:t>Arzneimittelinteraktionen beim Prostatakarzinom – digitale Tools häufig genutzt, Pharmakolog-Zugang unterentwickelt</w:t>
      </w:r>
    </w:p>
    <w:p>
      <w:r>
        <w:rPr>
          <w:i/>
          <w:color w:val="666666"/>
          <w:sz w:val="18"/>
        </w:rPr>
        <w:t>Valsecchi AA et al.  ·  Oncologist  ·  09.09.2026  ·  PMID 42747311</w:t>
      </w:r>
    </w:p>
    <w:p>
      <w:r>
        <w:t>Internationale Online-Umfrage bei 69 italienischen und 1064 weltweiten Gesundheitsberuflern zu Praktiken beim Management von Arzneimittelwechselwirkungen (DDI) beim Prostatakarzinom.</w:t>
      </w:r>
    </w:p>
    <w:p>
      <w:r>
        <w:rPr>
          <w:b/>
        </w:rPr>
        <w:t xml:space="preserve">Ergebnis: </w:t>
      </w:r>
      <w:r>
        <w:t>DDI wurden als klinisch relevant anerkannt. Digitale Werkzeuge (Online-Datenbanken, Apps) am häufigsten; KI-Tools selten. Italienische Onkologen berichteten begrenzte Vor-Ort-Pharmacolog-Unterstützung (29 %), weltweit 76 %. Hauptbarrieren: Zeitdruck, unsichere Quellenzuverlässigkeit, Mangel an Schulung. Italienische Ärzte forderten mehr Pharmacolog-Zugang; globale Kohorten: institutionelle Schulung.</w:t>
      </w:r>
    </w:p>
    <w:p>
      <w:r>
        <w:rPr>
          <w:b/>
          <w:sz w:val="19"/>
        </w:rPr>
        <w:t xml:space="preserve">Übertragbarkeit: </w:t>
      </w:r>
      <w:r>
        <w:rPr>
          <w:sz w:val="19"/>
        </w:rPr>
        <w:t>Deutsche Universitätskliniken haben oft Pharmakolog-Support; zentrale Erkenntnisse zur DDI-Managementlücke und Schulungsbedarf übertragbar.</w:t>
      </w:r>
    </w:p>
    <w:p>
      <w:r>
        <w:rPr>
          <w:color w:val="5A7D3A"/>
          <w:sz w:val="18"/>
        </w:rPr>
        <w:t>https://pubmed.ncbi.nlm.nih.gov/42747311/</w:t>
      </w:r>
    </w:p>
    <w:p>
      <w:pPr>
        <w:pStyle w:val="Heading2"/>
      </w:pPr>
      <w:r>
        <w:t>Nilotinib wirksam bei GIST-Patienten mit schwerer Imatinib-Toxizität – Therapiealternative ohne Kreuzreaktionen</w:t>
      </w:r>
    </w:p>
    <w:p>
      <w:r>
        <w:rPr>
          <w:i/>
          <w:color w:val="666666"/>
          <w:sz w:val="18"/>
        </w:rPr>
        <w:t>Falkenhorst J et al.  ·  Oncologist  ·  09.09.2026  ·  PMID 42691224</w:t>
      </w:r>
    </w:p>
    <w:p>
      <w:r>
        <w:t>Retrospektive Analyse von 20 GIST-Patienten mit schwerer Imatinib-Toxizität, die auf Nilotinib umgestellt wurden, inkl. In-vitro-Testung an Zelllinien mit KIT-Mutationen.</w:t>
      </w:r>
    </w:p>
    <w:p>
      <w:r>
        <w:rPr>
          <w:b/>
        </w:rPr>
        <w:t xml:space="preserve">Ergebnis: </w:t>
      </w:r>
      <w:r>
        <w:t>7,3 % der 1263 GIST-Patienten beendeten Imatinib wegen Toxizität. In 20 Patienten mit Nilotinib-Therapie zeigten sich keine Kreuzreaktivitäten mit Imatinib: Bei KIT-Exon-11-Mutationen wirksam, bei Exon-9- oder imatinib-resistenten Mutationen nicht. Nilotinib ist damit eine wichtige Alternative für imatinib-sensitive GIST.</w:t>
      </w:r>
    </w:p>
    <w:p>
      <w:r>
        <w:rPr>
          <w:b/>
          <w:sz w:val="19"/>
        </w:rPr>
        <w:t xml:space="preserve">Übertragbarkeit: </w:t>
      </w:r>
      <w:r>
        <w:rPr>
          <w:sz w:val="19"/>
        </w:rPr>
        <w:t>Deutsche GIST-Zentren können diese Therapieoption bei Imatinib-Unverträglichkeit einsetzen.</w:t>
      </w:r>
    </w:p>
    <w:p>
      <w:r>
        <w:rPr>
          <w:color w:val="5A7D3A"/>
          <w:sz w:val="18"/>
        </w:rPr>
        <w:t>https://pubmed.ncbi.nlm.nih.gov/42691224/</w:t>
      </w:r>
    </w:p>
    <w:p>
      <w:pPr>
        <w:pStyle w:val="Heading1"/>
      </w:pPr>
      <w:r>
        <w:t>Aufgenommen am 22.09.2026</w:t>
      </w:r>
    </w:p>
    <w:p>
      <w:pPr>
        <w:pStyle w:val="Heading2"/>
      </w:pPr>
      <w:r>
        <w:t>Symptom-Belastung während Behandlung: Starkes Prognosesignal für Überleben</w:t>
      </w:r>
    </w:p>
    <w:p>
      <w:r>
        <w:rPr>
          <w:i/>
          <w:color w:val="666666"/>
          <w:sz w:val="18"/>
        </w:rPr>
        <w:t>Hofsø K et al.  ·  ESMO Open  ·  21.09.2026  ·  PMID 42767083</w:t>
      </w:r>
    </w:p>
    <w:p>
      <w:r>
        <w:t>534 Patienten während Krebsbehandlung wurden nach Symptomen klassifiziert; die Assoziation zwischen Symptombelastung und langfristigem Überleben wurde 12–15 Jahre später gemessen.</w:t>
      </w:r>
    </w:p>
    <w:p>
      <w:r>
        <w:rPr>
          <w:b/>
        </w:rPr>
        <w:t xml:space="preserve">Ergebnis: </w:t>
      </w:r>
      <w:r>
        <w:t>Patienten mit durchgehend hoher Symptombelastung zeigten eine höhere Mortalität (HR 1,48; 95% KI 1,14–1,94) als andere Symptomgruppen. Symptomklassen könnten zur Risikoschichtung herangezogen werden.</w:t>
      </w:r>
    </w:p>
    <w:p>
      <w:r>
        <w:rPr>
          <w:b/>
          <w:sz w:val="19"/>
        </w:rPr>
        <w:t xml:space="preserve">Übertragbarkeit: </w:t>
      </w:r>
      <w:r>
        <w:rPr>
          <w:sz w:val="19"/>
        </w:rPr>
        <w:t>Norwegen, Versicherungssystem und Onkologieversorgung vergleichbar mit Deutschland.</w:t>
      </w:r>
    </w:p>
    <w:p>
      <w:r>
        <w:rPr>
          <w:color w:val="5A7D3A"/>
          <w:sz w:val="18"/>
        </w:rPr>
        <w:t>https://pubmed.ncbi.nlm.nih.gov/42767083/</w:t>
      </w:r>
    </w:p>
    <w:p>
      <w:pPr>
        <w:pStyle w:val="Heading2"/>
      </w:pPr>
      <w:r>
        <w:t>Dosisreduktion bei Ewing-Sarkom: Verzicht auf Therapie verschärft Prognose nicht</w:t>
      </w:r>
    </w:p>
    <w:p>
      <w:r>
        <w:rPr>
          <w:i/>
          <w:color w:val="666666"/>
          <w:sz w:val="18"/>
        </w:rPr>
        <w:t>Liu Y et al.  ·  Eur J Cancer  ·  16.09.2026  ·  PMID 42766959</w:t>
      </w:r>
    </w:p>
    <w:p>
      <w:r>
        <w:t>Euro Ewing 2012-Daten von 534 Patienten wurden analysiert, um die Auswirkung von Chemotherapie-Dosisanpassungen auf ereignisfreies Überleben zu quantifizieren.</w:t>
      </w:r>
    </w:p>
    <w:p>
      <w:r>
        <w:rPr>
          <w:b/>
        </w:rPr>
        <w:t xml:space="preserve">Ergebnis: </w:t>
      </w:r>
      <w:r>
        <w:t>Dosisreduktion war protektiv (HR 0,69; KI 0,39–1,24), Therapieverzögerung neutral (HR 1,02; KI 0,90–1,15); beide nicht signifikant. Toxizitätsmanagement durch Dosisanpassung beeinträchtigt Prognose nicht wesentlich.</w:t>
      </w:r>
    </w:p>
    <w:p>
      <w:r>
        <w:rPr>
          <w:b/>
          <w:sz w:val="19"/>
        </w:rPr>
        <w:t xml:space="preserve">Übertragbarkeit: </w:t>
      </w:r>
      <w:r>
        <w:rPr>
          <w:sz w:val="19"/>
        </w:rPr>
        <w:t>Europäische Studie, multinationale Kohorte, Ergebnisse übertragbar auf deutsches Versorgungssystem.</w:t>
      </w:r>
    </w:p>
    <w:p>
      <w:r>
        <w:rPr>
          <w:color w:val="5A7D3A"/>
          <w:sz w:val="18"/>
        </w:rPr>
        <w:t>https://pubmed.ncbi.nlm.nih.gov/42766959/</w:t>
      </w:r>
    </w:p>
    <w:p>
      <w:pPr>
        <w:pStyle w:val="Heading2"/>
      </w:pPr>
      <w:r>
        <w:t>Operationsrand bei Brustkrebs in situ: Unter 2 mm nicht automatisch ungünstiger</w:t>
      </w:r>
    </w:p>
    <w:p>
      <w:r>
        <w:rPr>
          <w:i/>
          <w:color w:val="666666"/>
          <w:sz w:val="18"/>
        </w:rPr>
        <w:t>Nash AL et al.  ·  J Clin Oncol  ·  21.09.2026  ·  PMID 42766806</w:t>
      </w:r>
    </w:p>
    <w:p>
      <w:r>
        <w:t>11.156 Frauen mit DCIS wurden nach Operationsrandbreite klassifiziert und lokales Rezidivrisiko gemessen; multivariables Cox-Modell nach klinischen Faktoren adjustiert.</w:t>
      </w:r>
    </w:p>
    <w:p>
      <w:r>
        <w:rPr>
          <w:b/>
        </w:rPr>
        <w:t xml:space="preserve">Ergebnis: </w:t>
      </w:r>
      <w:r>
        <w:t>Bei negativem Rand zeigt sich kein signifikanter Unterschied zwischen &lt;2 mm und ≥2 mm Randbreite in Rezidivrate. Nur in der Subgruppe &lt;50 Jahre war schmaler Rand ungünstiger. ORR Brusterhalt, Strahlentherapie, Alter, Hormonrezeptor und Tumor-Grade berücksichtigt.</w:t>
      </w:r>
    </w:p>
    <w:p>
      <w:r>
        <w:rPr>
          <w:b/>
          <w:sz w:val="19"/>
        </w:rPr>
        <w:t xml:space="preserve">Übertragbarkeit: </w:t>
      </w:r>
      <w:r>
        <w:rPr>
          <w:sz w:val="19"/>
        </w:rPr>
        <w:t>USA, Nationale Krebsdatenbank, vergleichbare Dokumentationsstandards zu deutschem Krebsregister.</w:t>
      </w:r>
    </w:p>
    <w:p>
      <w:r>
        <w:rPr>
          <w:color w:val="5A7D3A"/>
          <w:sz w:val="18"/>
        </w:rPr>
        <w:t>https://pubmed.ncbi.nlm.nih.gov/42766806/</w:t>
      </w:r>
    </w:p>
    <w:p>
      <w:pPr>
        <w:pStyle w:val="Heading2"/>
      </w:pPr>
      <w:r>
        <w:t>Krebsimpfstoffe: Überblick über Wirkmechanismen und klinische Erfolge</w:t>
      </w:r>
    </w:p>
    <w:p>
      <w:r>
        <w:rPr>
          <w:i/>
          <w:color w:val="666666"/>
          <w:sz w:val="18"/>
        </w:rPr>
        <w:t>Disis ML et al.  ·  JAMA  ·  21.09.2026  ·  PMID 42766303</w:t>
      </w:r>
    </w:p>
    <w:p>
      <w:r>
        <w:t>Systematische Übersicht der Translational-Science-Literatur zu Krebsvakzinen, deren Komponenten, Wirkungsweisen und bisherigen Zulassungserfolgen.</w:t>
      </w:r>
    </w:p>
    <w:p>
      <w:r>
        <w:rPr>
          <w:b/>
        </w:rPr>
        <w:t xml:space="preserve">Ergebnis: </w:t>
      </w:r>
      <w:r>
        <w:t>Sipuleucel-T reduzierte Mortalität um 22% vs. Placebo (HR 0,78; p=0,03). Talimogene laherparepvec erhöhte 6-Monats-Remissionsrate auf 16,3% vs. 2,1% (p&lt;0,001). mRNA-4157+Pembrolizumab verbesserte rezidivfreies Überleben bei Melanom (76,6% vs. 60%; HR 0,56; p=0,05). Nebenwirkungen überwiegend mild.</w:t>
      </w:r>
    </w:p>
    <w:p>
      <w:r>
        <w:rPr>
          <w:b/>
          <w:sz w:val="19"/>
        </w:rPr>
        <w:t xml:space="preserve">Übertragbarkeit: </w:t>
      </w:r>
      <w:r>
        <w:rPr>
          <w:sz w:val="19"/>
        </w:rPr>
        <w:t>USA-Literaturübersicht, Mechanismen und Sicherheitsprofil universell, Verfügbarkeit in Deutschland an Zulassung/Nutzenbewertung gekoppelt.</w:t>
      </w:r>
    </w:p>
    <w:p>
      <w:r>
        <w:rPr>
          <w:color w:val="5A7D3A"/>
          <w:sz w:val="18"/>
        </w:rPr>
        <w:t>https://pubmed.ncbi.nlm.nih.gov/42766303/</w:t>
      </w:r>
    </w:p>
    <w:p>
      <w:pPr>
        <w:pStyle w:val="Heading2"/>
      </w:pPr>
      <w:r>
        <w:t>Ceralasertib plus Olaparib bei HER2-negativem Triple-negativem Brustkrebs: ORR-Gewinn ohne PFS-Vorteil</w:t>
      </w:r>
    </w:p>
    <w:p>
      <w:r>
        <w:rPr>
          <w:i/>
          <w:color w:val="666666"/>
          <w:sz w:val="18"/>
        </w:rPr>
        <w:t>Tutt A et al.  ·  Clin Cancer Res  ·  21.09.2026  ·  PMID 42765908</w:t>
      </w:r>
    </w:p>
    <w:p>
      <w:r>
        <w:t>273 Patientinnen mit PARP-inhibitor-naiven, vorbehandelten triple-negativen Mammakarzinomen wurden in drei molekulare Schichten randomisiert: Olaparib allein gegen Kombinationen mit ATR- oder WEE1-Inhibitor.</w:t>
      </w:r>
    </w:p>
    <w:p>
      <w:r>
        <w:rPr>
          <w:b/>
        </w:rPr>
        <w:t xml:space="preserve">Ergebnis: </w:t>
      </w:r>
      <w:r>
        <w:t>Bei nicht-HRR-mutierten Tumoren: Ceralasertib+Olaparib erhöhte ORR auf 15,4% vs. 3,9% (p=0,0425); PFS-Mediane aber 3,6 vs. 3,6 Monate (nicht signifikant). Adavosertib+Olaparib wurde wegen Toxizität abgebrochen.</w:t>
      </w:r>
    </w:p>
    <w:p>
      <w:r>
        <w:rPr>
          <w:b/>
          <w:sz w:val="19"/>
        </w:rPr>
        <w:t xml:space="preserve">Übertragbarkeit: </w:t>
      </w:r>
      <w:r>
        <w:rPr>
          <w:sz w:val="19"/>
        </w:rPr>
        <w:t>Internationale Studie, einschl. Deutschland/Belgien, vergleichbare onkologische Versorgung, Ergebnis beschränkt: ORR-Gewinn ohne Überleben-Nutzen fraglich.</w:t>
      </w:r>
    </w:p>
    <w:p>
      <w:r>
        <w:rPr>
          <w:color w:val="5A7D3A"/>
          <w:sz w:val="18"/>
        </w:rPr>
        <w:t>https://pubmed.ncbi.nlm.nih.gov/42765908/</w:t>
      </w:r>
    </w:p>
    <w:p>
      <w:pPr>
        <w:pStyle w:val="Heading2"/>
      </w:pPr>
      <w:r>
        <w:t>Wirbelkörperfrakturen und Myelom-Risiko: Prospektive Kohortenstudie mit Incidental-Befunden</w:t>
      </w:r>
    </w:p>
    <w:p>
      <w:r>
        <w:rPr>
          <w:i/>
          <w:color w:val="666666"/>
          <w:sz w:val="18"/>
        </w:rPr>
        <w:t>Rønnemoes R et al.  ·  Leukemia  ·  18.09.2026  ·  PMID 42760387</w:t>
      </w:r>
    </w:p>
    <w:p>
      <w:r>
        <w:t>9.059 Personen aus bevölkerungsrepräsentativer dänischer Stichprobe erhielten CT-Scans; zufällig entdeckte Wirbelkörperfrakturen wurden als Myelom-Risikofaktor untersucht.</w:t>
      </w:r>
    </w:p>
    <w:p>
      <w:r>
        <w:rPr>
          <w:b/>
        </w:rPr>
        <w:t xml:space="preserve">Ergebnis: </w:t>
      </w:r>
      <w:r>
        <w:t>Inzidentelle Wirbelkörperfrakturen zeigten Assoziation mit erhöhtem Myelom-Risiko; Ergebnisse liegen noch in Publikation vor, konkrete Hazard-Ratio nicht im vorliegenden Abstract genannt.</w:t>
      </w:r>
    </w:p>
    <w:p>
      <w:r>
        <w:rPr>
          <w:b/>
          <w:sz w:val="19"/>
        </w:rPr>
        <w:t xml:space="preserve">Übertragbarkeit: </w:t>
      </w:r>
      <w:r>
        <w:rPr>
          <w:sz w:val="19"/>
        </w:rPr>
        <w:t>Dänemark, nationale Bevölkerungsstudie, Diagnostik durch Standardbildgebung deutschem Standard entsprechend.</w:t>
      </w:r>
    </w:p>
    <w:p>
      <w:r>
        <w:rPr>
          <w:color w:val="5A7D3A"/>
          <w:sz w:val="18"/>
        </w:rPr>
        <w:t>https://pubmed.ncbi.nlm.nih.gov/42760387/</w:t>
      </w:r>
    </w:p>
    <w:p>
      <w:pPr>
        <w:pStyle w:val="Heading1"/>
      </w:pPr>
      <w:r>
        <w:t>Aufgenommen am 21.09.2026</w:t>
      </w:r>
    </w:p>
    <w:p>
      <w:pPr>
        <w:pStyle w:val="Heading2"/>
      </w:pPr>
      <w:r>
        <w:t>SABR bei oligometastatischem Brustkrebs: Lokale Kontrolle 92,5% in 1 Jahr</w:t>
      </w:r>
    </w:p>
    <w:p>
      <w:r>
        <w:rPr>
          <w:i/>
          <w:color w:val="666666"/>
          <w:sz w:val="18"/>
        </w:rPr>
        <w:t>Viani GA et al.  ·  Radiother Oncol  ·  20.09.2026  ·  PMID 42764105</w:t>
      </w:r>
    </w:p>
    <w:p>
      <w:r>
        <w:t>Metaanalyse von 25 Studien (1.577 Patienten) zu stereotaktischer ablativer Radiotherapie bei oligometastatischem Brustkrebs.</w:t>
      </w:r>
    </w:p>
    <w:p>
      <w:r>
        <w:rPr>
          <w:b/>
        </w:rPr>
        <w:t xml:space="preserve">Ergebnis: </w:t>
      </w:r>
      <w:r>
        <w:t>Lokale Kontrolle nach 1 Jahr: 92,5 % (95% KI 90,4–94,2), nach 2 Jahren 84,6 % (81,1–87,6). De-novo-Oligometastasen zeigten bessere Ergebnisse als Oligoprogression (OS nach 2 Jahren 91,0 vs. 65,8 %; p=0,002). Grad ≥3-Nebenwirkungen in nur 1,5 % der Patienten.</w:t>
      </w:r>
    </w:p>
    <w:p>
      <w:r>
        <w:rPr>
          <w:b/>
          <w:sz w:val="19"/>
        </w:rPr>
        <w:t xml:space="preserve">Übertragbarkeit: </w:t>
      </w:r>
      <w:r>
        <w:rPr>
          <w:sz w:val="19"/>
        </w:rPr>
        <w:t>Europäische und internationale Studien, vergleichbare Versorgungsstandards</w:t>
      </w:r>
    </w:p>
    <w:p>
      <w:r>
        <w:rPr>
          <w:color w:val="5A7D3A"/>
          <w:sz w:val="18"/>
        </w:rPr>
        <w:t>https://pubmed.ncbi.nlm.nih.gov/42764105/</w:t>
      </w:r>
    </w:p>
    <w:p>
      <w:pPr>
        <w:pStyle w:val="Heading2"/>
      </w:pPr>
      <w:r>
        <w:t>Screening für Schmerz und Depression verbessert sich, aber nicht die Symptomlinderung</w:t>
      </w:r>
    </w:p>
    <w:p>
      <w:r>
        <w:rPr>
          <w:i/>
          <w:color w:val="666666"/>
          <w:sz w:val="18"/>
        </w:rPr>
        <w:t>Huang TQ et al.  ·  JCO Oncol Pract  ·  17.09.2026  ·  PMID 42753214</w:t>
      </w:r>
    </w:p>
    <w:p>
      <w:r>
        <w:t>Analyse von Patienten-Erfahrungsdaten aus dem Oncology Care Model (USA) 2017–2022: Trend von praxis-dokumentierten Screening-Raten vs. Patient-reported Outcomes.</w:t>
      </w:r>
    </w:p>
    <w:p>
      <w:r>
        <w:rPr>
          <w:b/>
        </w:rPr>
        <w:t xml:space="preserve">Ergebnis: </w:t>
      </w:r>
      <w:r>
        <w:t>Praxis-berichtete Schmerz-Screening/-Management-Raten stiegen von 76,5 % auf 92,6 % (2017–2022); Depression von 56,6 % auf 81,7 %. Aber patient-berichtete Schmerzen nahmen leicht ab (–0,2 Prozentpunkte/Quartal; p=0,002), Hilfe bei Symptomen stieg nicht (p&gt;0,20).</w:t>
      </w:r>
    </w:p>
    <w:p>
      <w:r>
        <w:rPr>
          <w:b/>
          <w:sz w:val="19"/>
        </w:rPr>
        <w:t xml:space="preserve">Übertragbarkeit: </w:t>
      </w:r>
      <w:r>
        <w:rPr>
          <w:sz w:val="19"/>
        </w:rPr>
        <w:t>USA, Qualitätsmessung im Versicherungssystem unterscheidet sich von Deutschland</w:t>
      </w:r>
    </w:p>
    <w:p>
      <w:r>
        <w:rPr>
          <w:color w:val="5A7D3A"/>
          <w:sz w:val="18"/>
        </w:rPr>
        <w:t>https://pubmed.ncbi.nlm.nih.gov/42753214/</w:t>
      </w:r>
    </w:p>
    <w:p>
      <w:pPr>
        <w:pStyle w:val="Heading2"/>
      </w:pPr>
      <w:r>
        <w:t>MET-Biomarker-Schwellenwerte bei Osimertinib-resistentem EGFR-mutiertem Lungenkarzinom</w:t>
      </w:r>
    </w:p>
    <w:p>
      <w:r>
        <w:rPr>
          <w:i/>
          <w:color w:val="666666"/>
          <w:sz w:val="18"/>
        </w:rPr>
        <w:t>Ahn MJ et al.  ·  Clin Cancer Res  ·  17.09.2026  ·  PMID 42752799</w:t>
      </w:r>
    </w:p>
    <w:p>
      <w:r>
        <w:t>Retrospektive Analyse aus Phase-II-SAVANNAH-Studie: Bestimmung optimaler MET-Cutoffs (IHC/FISH) für Savolitinib plus Osimertinib bei vorbehandeltem NSCLC.</w:t>
      </w:r>
    </w:p>
    <w:p>
      <w:r>
        <w:rPr>
          <w:b/>
        </w:rPr>
        <w:t xml:space="preserve">Ergebnis: </w:t>
      </w:r>
      <w:r>
        <w:t>ORR 49 % (MET IHC 3+/≥90 % und/oder FISH 10+) vs. 9 % (MET-negativ); 32 % (MET IHC 3+/≥50 % oder FISH 5+). Prävalenz MET 3+/≥90 % oder FISH 10+ betrug 34 %. Optimale Cutoffs identifiziert für Phase-III-SAFFRON-Studie.</w:t>
      </w:r>
    </w:p>
    <w:p>
      <w:r>
        <w:rPr>
          <w:b/>
          <w:sz w:val="19"/>
        </w:rPr>
        <w:t xml:space="preserve">Übertragbarkeit: </w:t>
      </w:r>
      <w:r>
        <w:rPr>
          <w:sz w:val="19"/>
        </w:rPr>
        <w:t>Internationale Studie, Biomarker-Definition für Zulassungspfade weltweit</w:t>
      </w:r>
    </w:p>
    <w:p>
      <w:r>
        <w:rPr>
          <w:color w:val="5A7D3A"/>
          <w:sz w:val="18"/>
        </w:rPr>
        <w:t>https://pubmed.ncbi.nlm.nih.gov/42752799/</w:t>
      </w:r>
    </w:p>
    <w:p>
      <w:pPr>
        <w:pStyle w:val="Heading2"/>
      </w:pPr>
      <w:r>
        <w:t>Immun-Checkpoint-Inhibitoren bei Kopf-Hals-Tumoren mit niedriger PD-L1: verschlechterte Überlebensergebnisse</w:t>
      </w:r>
    </w:p>
    <w:p>
      <w:r>
        <w:rPr>
          <w:i/>
          <w:color w:val="666666"/>
          <w:sz w:val="18"/>
        </w:rPr>
        <w:t>Jin M et al.  ·  JAMA Oncol  ·  17.09.2026  ·  PMID 42752536</w:t>
      </w:r>
    </w:p>
    <w:p>
      <w:r>
        <w:t>Bayessche Metaanalyse von 7 randomisierten Studien (630 Patienten mit PD-L1 CPS &lt;1) zum Overall Survival unter ICI-Therapie vs. Standard-Chemotherapie bei Kopf-Hals-Karzinomen.</w:t>
      </w:r>
    </w:p>
    <w:p>
      <w:r>
        <w:rPr>
          <w:b/>
        </w:rPr>
        <w:t xml:space="preserve">Ergebnis: </w:t>
      </w:r>
      <w:r>
        <w:t>Posterior-Wahrscheinlichkeit für schlechteres OS unter ICI: 95,6 %. Bayesscher HR 1,42 (95% KI 0,93–2,06); frequentistischer HR 1,46 (95% KI 1,17–1,83; p&lt;0,001). Empfehlung: Vorsicht bei ICI in dieser PD-L1-negativen Subgruppe.</w:t>
      </w:r>
    </w:p>
    <w:p>
      <w:r>
        <w:rPr>
          <w:b/>
          <w:sz w:val="19"/>
        </w:rPr>
        <w:t xml:space="preserve">Übertragbarkeit: </w:t>
      </w:r>
      <w:r>
        <w:rPr>
          <w:sz w:val="19"/>
        </w:rPr>
        <w:t>USA und internationale Studien, Befund ist allgemein anwendbar</w:t>
      </w:r>
    </w:p>
    <w:p>
      <w:r>
        <w:rPr>
          <w:color w:val="5A7D3A"/>
          <w:sz w:val="18"/>
        </w:rPr>
        <w:t>https://pubmed.ncbi.nlm.nih.gov/42752536/</w:t>
      </w:r>
    </w:p>
    <w:p>
      <w:pPr>
        <w:pStyle w:val="Heading2"/>
      </w:pPr>
      <w:r>
        <w:t>Tumorreaktion γδ T-Zell-Rezeptoren aus Myelom: Machine-Learning-Identifikation und universelle Therapie</w:t>
      </w:r>
    </w:p>
    <w:p>
      <w:r>
        <w:rPr>
          <w:i/>
          <w:color w:val="666666"/>
          <w:sz w:val="18"/>
        </w:rPr>
        <w:t>St Paul M et al.  ·  Nature  ·  16.09.2026  ·  PMID 42749802</w:t>
      </w:r>
    </w:p>
    <w:p>
      <w:r>
        <w:t>Grundlagenarbeit: PreGame-Algorithmus zur Identifikation tumorreaktiver γδ TCRs aus Single-Cell-Daten. Validierung in Patienten mit Multiplem Myelom; Expansion tumorreaktiver γδ T-Zellen als früher Biomarker für Therapieansprechen.</w:t>
      </w:r>
    </w:p>
    <w:p>
      <w:r>
        <w:rPr>
          <w:b/>
        </w:rPr>
        <w:t xml:space="preserve">Ergebnis: </w:t>
      </w:r>
      <w:r>
        <w:t>PreGame identifiziert tumorreaktion γδ T-Zellen zuverlässig. Expansion während Belantamab-Mafodotin-Therapie korrelierte mit Ansprechen. γδ TCR-Epitop in HLA-C gefunden; Potenzial für universelle γδ-TCR-Therapeutika.</w:t>
      </w:r>
    </w:p>
    <w:p>
      <w:r>
        <w:rPr>
          <w:b/>
          <w:sz w:val="19"/>
        </w:rPr>
        <w:t xml:space="preserve">Übertragbarkeit: </w:t>
      </w:r>
      <w:r>
        <w:rPr>
          <w:sz w:val="19"/>
        </w:rPr>
        <w:t>Kanada und international, Grundlagenergebnis mit Therapie-Translationspfad</w:t>
      </w:r>
    </w:p>
    <w:p>
      <w:r>
        <w:rPr>
          <w:color w:val="5A7D3A"/>
          <w:sz w:val="18"/>
        </w:rPr>
        <w:t>https://pubmed.ncbi.nlm.nih.gov/42749802/</w:t>
      </w:r>
    </w:p>
    <w:p>
      <w:pPr>
        <w:pStyle w:val="Heading2"/>
      </w:pPr>
      <w:r>
        <w:t>Sozioökonomische Disparitäten bei Sarkomdiagnose und Zentrumsanbindung</w:t>
      </w:r>
    </w:p>
    <w:p>
      <w:r>
        <w:rPr>
          <w:i/>
          <w:color w:val="666666"/>
          <w:sz w:val="18"/>
        </w:rPr>
        <w:t>Mascaró-Baselga P et al.  ·  Oncologist  ·  09.09.2026  ·  PMID 42704687</w:t>
      </w:r>
    </w:p>
    <w:p>
      <w:r>
        <w:t>Querschnittsstudie an 415 Sarkom-Patienten (365 Spanien, 50 Portugal) zu Einflussfaktoren auf Diagnostik, Überweisung und Patientengruppen-Awareness.</w:t>
      </w:r>
    </w:p>
    <w:p>
      <w:r>
        <w:rPr>
          <w:b/>
        </w:rPr>
        <w:t xml:space="preserve">Ergebnis: </w:t>
      </w:r>
      <w:r>
        <w:t>Niedrigeres Einkommen (OR 2,38) war mit längeren Diagnostik-Verzögerungen assoziiert; ländliches Wohnen (OR 3,48) mit weniger Überweisungen zu Spezialistzentren. Sarkoma-Spezifische Advocacy-Group-Awareness lag bei 20 % und war höher mit Universitätsabschluss (OR 4,27). Auch in universellen Gesundheitssystemen bestehen Ungleichheiten beim Zugang.</w:t>
      </w:r>
    </w:p>
    <w:p>
      <w:r>
        <w:rPr>
          <w:b/>
          <w:sz w:val="19"/>
        </w:rPr>
        <w:t xml:space="preserve">Übertragbarkeit: </w:t>
      </w:r>
      <w:r>
        <w:rPr>
          <w:sz w:val="19"/>
        </w:rPr>
        <w:t>Spanien und Portugal, europäische Versicherungssysteme, universale Gesundheitsversorgung</w:t>
      </w:r>
    </w:p>
    <w:p>
      <w:r>
        <w:rPr>
          <w:color w:val="5A7D3A"/>
          <w:sz w:val="18"/>
        </w:rPr>
        <w:t>https://pubmed.ncbi.nlm.nih.gov/42704687/</w:t>
      </w:r>
    </w:p>
    <w:p>
      <w:pPr>
        <w:pStyle w:val="Heading1"/>
      </w:pPr>
      <w:r>
        <w:t>Aufgenommen am 20.09.2026</w:t>
      </w:r>
    </w:p>
    <w:p>
      <w:pPr>
        <w:pStyle w:val="Heading2"/>
      </w:pPr>
      <w:r>
        <w:t>Omit-CTV in begrenzt-stadialem Kleinzellkarzinom: Gleiche Wirkung, weniger Toxizität</w:t>
      </w:r>
    </w:p>
    <w:p>
      <w:r>
        <w:rPr>
          <w:i/>
          <w:color w:val="666666"/>
          <w:sz w:val="18"/>
        </w:rPr>
        <w:t>Wang X et al.  ·  Radiother Oncol  ·  19.09.2026  ·  PMID 42763051</w:t>
      </w:r>
    </w:p>
    <w:p>
      <w:r>
        <w:t>Retrospektive Real-World-Studie an 946 Patienten mit begrenzt-stadialem Kleinzellkarzinom der Lunge zum Vergleich von Bestrahlungstechnik mit und ohne klinisches Zielvolumen.</w:t>
      </w:r>
    </w:p>
    <w:p>
      <w:r>
        <w:rPr>
          <w:b/>
        </w:rPr>
        <w:t xml:space="preserve">Ergebnis: </w:t>
      </w:r>
      <w:r>
        <w:t>Mediales PFS 11,8 vs. 11,6 Monate (HR 0,93; p=0,500), mediales OS 35,8 vs. 30,7 Monate (HR 0,85; p=0,220). Omit-CTV zeigte niedrigere Pneumonitis-Raten (Grad ≥3: 3,4 % vs. 8,3 %) und Ösophagitis (Grad ≥3: 5,7 % vs. 9,1 %). Bei Immuntherapie-Patienten: nicht erreichte PFS vs. 15,2 Monate (HR 0,48; p=0,033), nicht erreichte OS vs. 26,9 Monate (HR 0,31; p=0,018).</w:t>
      </w:r>
    </w:p>
    <w:p>
      <w:r>
        <w:rPr>
          <w:b/>
          <w:sz w:val="19"/>
        </w:rPr>
        <w:t xml:space="preserve">Übertragbarkeit: </w:t>
      </w:r>
      <w:r>
        <w:rPr>
          <w:sz w:val="19"/>
        </w:rPr>
        <w:t>China, nationale Klinikdaten; technische Replizierbarkeit international, aber Validierung erforderlich</w:t>
      </w:r>
    </w:p>
    <w:p>
      <w:r>
        <w:rPr>
          <w:color w:val="5A7D3A"/>
          <w:sz w:val="18"/>
        </w:rPr>
        <w:t>https://pubmed.ncbi.nlm.nih.gov/42763051/</w:t>
      </w:r>
    </w:p>
    <w:p>
      <w:pPr>
        <w:pStyle w:val="Heading2"/>
      </w:pPr>
      <w:r>
        <w:t>Dosisunterversorgung bei Protonentherapie: Kein Einfluss auf Ansprechen bei Ösophaguskarzinom</w:t>
      </w:r>
    </w:p>
    <w:p>
      <w:r>
        <w:rPr>
          <w:i/>
          <w:color w:val="666666"/>
          <w:sz w:val="18"/>
        </w:rPr>
        <w:t>van Keeken K et al.  ·  Radiother Oncol  ·  19.09.2026  ·  PMID 42763050</w:t>
      </w:r>
    </w:p>
    <w:p>
      <w:r>
        <w:t>Retrospektive niederländische Analyse von 135 Patienten mit distalem Ösophaguskarzinom unter neoadjuvanter Chemoradiotherapie und intensitätsmodulierter Protonentherapie zur Beziehung zwischen akkumulierter Targetdosis und Tumor-Response.</w:t>
      </w:r>
    </w:p>
    <w:p>
      <w:r>
        <w:rPr>
          <w:b/>
        </w:rPr>
        <w:t xml:space="preserve">Ergebnis: </w:t>
      </w:r>
      <w:r>
        <w:t>Dosisunterversorgung des Internal-Target-Volume (ITV D98 % &lt;94 %) trat bei 21 % auf, Gross-Tumor-Volume-Unterversorgung in 0 %. Persistierende klinische komplette Remission/pathologische komplette Remission: 30 % mit vs. 28 % ohne ITV-Unterversorgung (p=0,90). 2-Jahres-OS identisch (64 %). Zwerchfellbewegung &gt;2 cm war nicht mit Unterversorgung assoziiert.</w:t>
      </w:r>
    </w:p>
    <w:p>
      <w:r>
        <w:rPr>
          <w:b/>
          <w:sz w:val="19"/>
        </w:rPr>
        <w:t xml:space="preserve">Übertragbarkeit: </w:t>
      </w:r>
      <w:r>
        <w:rPr>
          <w:sz w:val="19"/>
        </w:rPr>
        <w:t>Niederländische Klinik, vergleichbares Versicherungssystem; Technische Parameter übertragbar</w:t>
      </w:r>
    </w:p>
    <w:p>
      <w:r>
        <w:rPr>
          <w:color w:val="5A7D3A"/>
          <w:sz w:val="18"/>
        </w:rPr>
        <w:t>https://pubmed.ncbi.nlm.nih.gov/42763050/</w:t>
      </w:r>
    </w:p>
    <w:p>
      <w:pPr>
        <w:pStyle w:val="Heading2"/>
      </w:pPr>
      <w:r>
        <w:t>MammaPrint im MINDACT: 70-Gen-Signatur bestätigt Prognosekraft bei hochrisiko-Brustkrebspatientinnen</w:t>
      </w:r>
    </w:p>
    <w:p>
      <w:r>
        <w:rPr>
          <w:i/>
          <w:color w:val="666666"/>
          <w:sz w:val="18"/>
        </w:rPr>
        <w:t>Gielen RCAM et al.  ·  Eur J Cancer  ·  11.09.2026  ·  PMID 42762561</w:t>
      </w:r>
    </w:p>
    <w:p>
      <w:r>
        <w:t>Exploratorische Subgruppen-Analyse des MINDACT-Trials zu prognostischer Performance des 70-Gen-Signatures in Patientinnen über 50 Jahren mit HR+/HER2- Brustkrebs und klinisch hohem, genomisch niedrigem Risiko, die auf Chemotherapie verzichteten.</w:t>
      </w:r>
    </w:p>
    <w:p>
      <w:r>
        <w:rPr>
          <w:b/>
        </w:rPr>
        <w:t xml:space="preserve">Ergebnis: </w:t>
      </w:r>
      <w:r>
        <w:t>Bei 490 Patientinnen mit Tumoren &gt;2 cm: 8-Jahres-DMFS 87,9 % ohne Chemotherapie (95%-KI 82,9–91,6 %), absoluter Benefit durch Chemotherapie 1,2 %. Bei Grad-3-Tumoren (n=232): DMFS 91,3 % ohne Chemotherapie, Benefit -2,2 %. Bei Lymphknoten-Befall (n=406): DMFS 89,6 %, Benefit 0,7 %. Der Signatur behält prognostische Validität in diesen Hochrisiko-Subgruppen.</w:t>
      </w:r>
    </w:p>
    <w:p>
      <w:r>
        <w:rPr>
          <w:b/>
          <w:sz w:val="19"/>
        </w:rPr>
        <w:t xml:space="preserve">Übertragbarkeit: </w:t>
      </w:r>
      <w:r>
        <w:rPr>
          <w:sz w:val="19"/>
        </w:rPr>
        <w:t>Europäischer Multizenterstudie (EORTC); GnP-Assessment, Leitlinien-relevant</w:t>
      </w:r>
    </w:p>
    <w:p>
      <w:r>
        <w:rPr>
          <w:color w:val="5A7D3A"/>
          <w:sz w:val="18"/>
        </w:rPr>
        <w:t>https://pubmed.ncbi.nlm.nih.gov/42762561/</w:t>
      </w:r>
    </w:p>
    <w:p>
      <w:pPr>
        <w:pStyle w:val="Heading2"/>
      </w:pPr>
      <w:r>
        <w:t>Zugang zu Phase-I-Studien: Barrieren und Chancen bei 26.000 Patienten</w:t>
      </w:r>
    </w:p>
    <w:p>
      <w:r>
        <w:rPr>
          <w:i/>
          <w:color w:val="666666"/>
          <w:sz w:val="18"/>
        </w:rPr>
        <w:t>Roulleaux Dugage M et al.  ·  Eur J Cancer  ·  17.09.2026  ·  PMID 42762559</w:t>
      </w:r>
    </w:p>
    <w:p>
      <w:r>
        <w:t>Französisches Einzelzentrum-Register (Gustave Roussy 2007–2023) zur Untersuchung von Überweisungs- und Einschluss-Mustern in Early-Phase-Trials sowie Dauer bis Therapie-Beginn und Behandlungs-Dauer.</w:t>
      </w:r>
    </w:p>
    <w:p>
      <w:r>
        <w:rPr>
          <w:b/>
        </w:rPr>
        <w:t xml:space="preserve">Ergebnis: </w:t>
      </w:r>
      <w:r>
        <w:t>Von 26.394 überweisenen Patienten wurden 13.713 (52 %) evaluiert, 5.847 (22 %) gaben Einwilligung ab, 4.769 (18 %) erhielten mindestens eine Dosis. Mediane Zeit von Uberweisung zu Trial-Inkl: variabel nach Tumortyp. Zugangsdisparitäten: Nicht-kleinzelliges Lungenkarzinom war häufigste Überweisung (n=5.025, 19 %), aber Brust-, Kolorektal- und Pankreaskarzinom hatten niedrige Behandlungsquoten trotz hoher Überweisungen. Therapeutische Landschaft: Anstieg von Antikörper-Wirkstoff-Konjugaten und T-Zell-Engagern, Rückgang konventioneller monoklonaler Antikörper.</w:t>
      </w:r>
    </w:p>
    <w:p>
      <w:r>
        <w:rPr>
          <w:b/>
          <w:sz w:val="19"/>
        </w:rPr>
        <w:t xml:space="preserve">Übertragbarkeit: </w:t>
      </w:r>
      <w:r>
        <w:rPr>
          <w:sz w:val="19"/>
        </w:rPr>
        <w:t>Frankreich, spezialisiertes Zentrum; begrenzte Übertragbarkeit auf Flächenversorgung, methodisch hochwertig</w:t>
      </w:r>
    </w:p>
    <w:p>
      <w:r>
        <w:rPr>
          <w:color w:val="5A7D3A"/>
          <w:sz w:val="18"/>
        </w:rPr>
        <w:t>https://pubmed.ncbi.nlm.nih.gov/42762559/</w:t>
      </w:r>
    </w:p>
    <w:p>
      <w:pPr>
        <w:pStyle w:val="Heading2"/>
      </w:pPr>
      <w:r>
        <w:t>Europäisches Netzwerk für Krebsversorgung bei Jugendlichen und jungen Erwachsenen</w:t>
      </w:r>
    </w:p>
    <w:p>
      <w:r>
        <w:rPr>
          <w:i/>
          <w:color w:val="666666"/>
          <w:sz w:val="18"/>
        </w:rPr>
        <w:t>Ferrari A et al.  ·  ESMO Open  ·  18.09.2026  ·  PMID 42759381</w:t>
      </w:r>
    </w:p>
    <w:p>
      <w:r>
        <w:t>Policy-Paper eines europäischen Expertise-Netzwerks zu Versorgung von Adoleszenten und jungen Erwachsenen (Alter 15–39 Jahre) mit Krebserkrankungen mit Fokus auf nationale Kooperation und strukturelle Maßnahmen.</w:t>
      </w:r>
    </w:p>
    <w:p>
      <w:r>
        <w:rPr>
          <w:b/>
        </w:rPr>
        <w:t xml:space="preserve">Ergebnis: </w:t>
      </w:r>
      <w:r>
        <w:t>Netzwerk empfiehlt: (1) Etablierung länderspezifischer AYA-Zentren, (2) Kooperation zwischen pädiatrischen und Erwachsenen-Onkologie-Diensten, (3) strukturierte Psychosozial-Unterstützung, (4) harmonisierte Datenerfassung für vergleichende Analyse. Hauptmerkmale: Unterschiedliche nationale Zugangsbarrieren und Versorgungsstrukturen in Europas Ländern erfordern lokale Anpassung bei gemeinsamen Standards.</w:t>
      </w:r>
    </w:p>
    <w:p>
      <w:r>
        <w:rPr>
          <w:b/>
          <w:sz w:val="19"/>
        </w:rPr>
        <w:t xml:space="preserve">Übertragbarkeit: </w:t>
      </w:r>
      <w:r>
        <w:rPr>
          <w:sz w:val="19"/>
        </w:rPr>
        <w:t>Europäischer Kontext, 14 Länder; Übertragbar auf deutsches System mit entsprechender Anpassung</w:t>
      </w:r>
    </w:p>
    <w:p>
      <w:r>
        <w:rPr>
          <w:color w:val="5A7D3A"/>
          <w:sz w:val="18"/>
        </w:rPr>
        <w:t>https://pubmed.ncbi.nlm.nih.gov/42759381/</w:t>
      </w:r>
    </w:p>
    <w:p>
      <w:pPr>
        <w:pStyle w:val="Heading2"/>
      </w:pPr>
      <w:r>
        <w:t>Internationale Konsens-Kriterien für T-Zell-Großgranulär-Lymphom-Diagnose und Therapie</w:t>
      </w:r>
    </w:p>
    <w:p>
      <w:r>
        <w:rPr>
          <w:i/>
          <w:color w:val="666666"/>
          <w:sz w:val="18"/>
        </w:rPr>
        <w:t>Brammer JE et al.  ·  Blood  ·  21.08.2026  ·  PMID 42640859</w:t>
      </w:r>
    </w:p>
    <w:p>
      <w:r>
        <w:t>Internationale Konsensus-Arbeit (LGLL Consortium) zur Etablierung einheitlicher Diagnose-, Behandlungs- und Response-Kriterien für die seltene T-Zell-Großgranulär-Leukämie zur Standardisierung klinischer und Forschungspraxis.</w:t>
      </w:r>
    </w:p>
    <w:p>
      <w:r>
        <w:rPr>
          <w:b/>
        </w:rPr>
        <w:t xml:space="preserve">Ergebnis: </w:t>
      </w:r>
      <w:r>
        <w:t>Konsens auf folgende Punkte: (1) Harmonisierte diagnostische Laborkriterien (Flow-Cytometrie, TCR-Molekularanalyse), (2) standardisierte Behandlungsinitiat-Indikatoren (Symptomatik, Organfunktion), (3) einheitliche Response-Assessment-Parameter (Hämatologie, funktionelle Marker). Empfehlungen zur Differenzialdiagnose autoimmunärer Phänomene. Kriterien adressieren zentrale Heterogenität bisheriger Studien, um zukünftige Trials und Klinik zu vereinheitlichen.</w:t>
      </w:r>
    </w:p>
    <w:p>
      <w:r>
        <w:rPr>
          <w:b/>
          <w:sz w:val="19"/>
        </w:rPr>
        <w:t xml:space="preserve">Übertragbarkeit: </w:t>
      </w:r>
      <w:r>
        <w:rPr>
          <w:sz w:val="19"/>
        </w:rPr>
        <w:t>International mit europäischen Zentren; Standards sind system-unabhängig, direkt übertragbar</w:t>
      </w:r>
    </w:p>
    <w:p>
      <w:r>
        <w:rPr>
          <w:color w:val="5A7D3A"/>
          <w:sz w:val="18"/>
        </w:rPr>
        <w:t>https://pubmed.ncbi.nlm.nih.gov/42640859/</w:t>
      </w:r>
    </w:p>
    <w:p>
      <w:pPr>
        <w:pStyle w:val="Heading1"/>
      </w:pPr>
      <w:r>
        <w:t>Aufgenommen am 19.09.2026</w:t>
      </w:r>
    </w:p>
    <w:p>
      <w:pPr>
        <w:pStyle w:val="Heading2"/>
      </w:pPr>
      <w:r>
        <w:t>Präzisions-Prävention und Früherkennung: Framework für neue Krebskontroll-Pfade</w:t>
      </w:r>
    </w:p>
    <w:p>
      <w:r>
        <w:rPr>
          <w:i/>
          <w:color w:val="666666"/>
          <w:sz w:val="18"/>
        </w:rPr>
        <w:t>Rebbeck TR  ·  Lancet  ·  18.09.2026  ·  PMID 42759527</w:t>
      </w:r>
    </w:p>
    <w:p>
      <w:r>
        <w:t>Editoriales Essay zu Precision Prevention and Early Detection (PPED) – ein Rahmenwerk, das fragt: Wer hat erhöhtes Krebsrisiko, welche Intervention wann, wie de-eskalieren in Niedrig-Risiko-Gruppen?</w:t>
      </w:r>
    </w:p>
    <w:p>
      <w:r>
        <w:rPr>
          <w:b/>
        </w:rPr>
        <w:t xml:space="preserve">Ergebnis: </w:t>
      </w:r>
      <w:r>
        <w:t>Nur 13% der Krebsfälle werden durch Screening entdeckt; 20–50% präsentieren sich notfallmäßig. PPED-Logik funktioniert bei erblichen Syndromen mit ausreichend angereichertem Risiko. Schlüssel: Gesundheitssystem-Infrastruktur und Arbeitskräfte für longitudinales Präventions-Planning; de-Eskalation in Niedrig-Risiko-Personen genauso wichtig wie Intensivierung in Hoch-Risiko. Größte Herausforderung der nächsten Dekade.</w:t>
      </w:r>
    </w:p>
    <w:p>
      <w:r>
        <w:rPr>
          <w:b/>
          <w:sz w:val="19"/>
        </w:rPr>
        <w:t xml:space="preserve">Übertragbarkeit: </w:t>
      </w:r>
      <w:r>
        <w:rPr>
          <w:sz w:val="19"/>
        </w:rPr>
        <w:t>Weltweit anwendbare Prinzipien; deutsche Früherkennung und Zentrenstruktur ermöglichen Umsetzung.</w:t>
      </w:r>
    </w:p>
    <w:p>
      <w:r>
        <w:rPr>
          <w:color w:val="5A7D3A"/>
          <w:sz w:val="18"/>
        </w:rPr>
        <w:t>https://pubmed.ncbi.nlm.nih.gov/42759527/</w:t>
      </w:r>
    </w:p>
    <w:p>
      <w:pPr>
        <w:pStyle w:val="Heading2"/>
      </w:pPr>
      <w:r>
        <w:t>Symptom-Belastung in Krebspatienten korreliert mit geringerer Therapie- und höherer Supportiv-Kostennutzung</w:t>
      </w:r>
    </w:p>
    <w:p>
      <w:r>
        <w:rPr>
          <w:i/>
          <w:color w:val="666666"/>
          <w:sz w:val="18"/>
        </w:rPr>
        <w:t>Hirpara DH et al.  ·  J Clin Oncol  ·  18.09.2026  ·  PMID 42758960</w:t>
      </w:r>
    </w:p>
    <w:p>
      <w:r>
        <w:t>Populationsbasierte Kohortenstudie aus Ontario, Kanada: 285.924 Krebspatienten mit 1.728.025 ESAS-Assessments (Edmonton Symptom Assessment) zur Assoziation zwischen Patient-Reported Outcomes und Gesundheitskosten.</w:t>
      </w:r>
    </w:p>
    <w:p>
      <w:r>
        <w:rPr>
          <w:b/>
        </w:rPr>
        <w:t xml:space="preserve">Ergebnis: </w:t>
      </w:r>
      <w:r>
        <w:t>Höchste Symptom-Belastung (Müdigkeit, Depression, Wohlbefinden) bei Atem-, HNO-Tumoren. Jede 10-Punkte-Zunahme ESAS-Score: 9,4% weniger Krebs-Therapiekosten (sinkende Therapie-Nutzung), aber 18% mehr Supportiv-Care-Kosten (mehr ED-Besuche, Hauscare). GI/Mamma/ZNS teuerste Entitäten (85–78k CAD/30 Tage). Aktives Symptom-Management könnte Krebs-Therapien fördern und unnötige Supportiv-Kosten senken.</w:t>
      </w:r>
    </w:p>
    <w:p>
      <w:r>
        <w:rPr>
          <w:b/>
          <w:sz w:val="19"/>
        </w:rPr>
        <w:t xml:space="preserve">Übertragbarkeit: </w:t>
      </w:r>
      <w:r>
        <w:rPr>
          <w:sz w:val="19"/>
        </w:rPr>
        <w:t>Kanada, ähnliches Versicherungssystem wie Deutschland; Symptom-Management-Evidenz direkt relevant.</w:t>
      </w:r>
    </w:p>
    <w:p>
      <w:r>
        <w:rPr>
          <w:color w:val="5A7D3A"/>
          <w:sz w:val="18"/>
        </w:rPr>
        <w:t>https://pubmed.ncbi.nlm.nih.gov/42758960/</w:t>
      </w:r>
    </w:p>
    <w:p>
      <w:pPr>
        <w:pStyle w:val="Heading2"/>
      </w:pPr>
      <w:r>
        <w:t>Tyrosinkinasehemmer verbessert Gesamtüberleben bei BCR::ABL1+ AML deutlich</w:t>
      </w:r>
    </w:p>
    <w:p>
      <w:r>
        <w:rPr>
          <w:i/>
          <w:color w:val="666666"/>
          <w:sz w:val="18"/>
        </w:rPr>
        <w:t>Bertoli S et al.  ·  Blood  ·  18.09.2026  ·  PMID 42758645</w:t>
      </w:r>
    </w:p>
    <w:p>
      <w:r>
        <w:t>Multizentrische europäische Studie: 212 Patienten mit de novo BCR::ABL1+ AML wurden retrospektiv analysiert – intensiveChemotherapie (IC) allein oder kombiniert mit Tyrosinkinasehemmer (TKI).</w:t>
      </w:r>
    </w:p>
    <w:p>
      <w:r>
        <w:rPr>
          <w:b/>
        </w:rPr>
        <w:t xml:space="preserve">Ergebnis: </w:t>
      </w:r>
      <w:r>
        <w:t>Mit IC+TKI erreichten 110/123 Patienten (89%) komplette Remission/CRi vs. 52/77 (68%) mit IC allein (p&lt;0,0001). 5-Jahres-Gesamtüberleben: 62,9% (IC+TKI) vs. 38,5% (IC; p&lt;0,0001). Im multivariaten Modell: Odds Ratio für CR/CRi 4,74 (95%-KI 2,17–10,35), Hazard Ratio für Überleben 0,40 (0,27–0,62; p&lt;0,001). TKI-Zusatz ist unabhängiger prognostischer Faktor.</w:t>
      </w:r>
    </w:p>
    <w:p>
      <w:r>
        <w:rPr>
          <w:b/>
          <w:sz w:val="19"/>
        </w:rPr>
        <w:t xml:space="preserve">Übertragbarkeit: </w:t>
      </w:r>
      <w:r>
        <w:rPr>
          <w:sz w:val="19"/>
        </w:rPr>
        <w:t>Französisch-deutsches Konsortium, europäische Versicherungssysteme, direkt übertragbar auf deutsche Kliniken.</w:t>
      </w:r>
    </w:p>
    <w:p>
      <w:r>
        <w:rPr>
          <w:color w:val="5A7D3A"/>
          <w:sz w:val="18"/>
        </w:rPr>
        <w:t>https://pubmed.ncbi.nlm.nih.gov/42758645/</w:t>
      </w:r>
    </w:p>
    <w:p>
      <w:pPr>
        <w:pStyle w:val="Heading2"/>
      </w:pPr>
      <w:r>
        <w:t>Intraoperative Radiotherapie zeigt Lokalrezidiv-Raten vergleichbar mit postoperativen Boost</w:t>
      </w:r>
    </w:p>
    <w:p>
      <w:r>
        <w:rPr>
          <w:i/>
          <w:color w:val="666666"/>
          <w:sz w:val="18"/>
        </w:rPr>
        <w:t>Sarria GR et al.  ·  Strahlenther Onkol  ·  17.09.2026  ·  PMID 42754764</w:t>
      </w:r>
    </w:p>
    <w:p>
      <w:r>
        <w:t>Matched-Pair-Analyse von 400 Brustkrebs-Patientinnen (je 200 mit intraoperativer oder postoperativer EBRT-Boost) mit frühen Hochrisikotumoreneach Brustkrebserhaltender Chirurgie.</w:t>
      </w:r>
    </w:p>
    <w:p>
      <w:r>
        <w:rPr>
          <w:b/>
        </w:rPr>
        <w:t xml:space="preserve">Ergebnis: </w:t>
      </w:r>
      <w:r>
        <w:t>Nach medianer 58-Monate-Nachsorge: Kumulative lokale Rezidiv-Inzidenz 3,5% (IORT) vs. 2,0% (EBRT); HR 1,80 (95%-KI 0,58–5,58; p=0,312, nicht signifikant). Keine Unterschiede bei Lymphknoten-, Fernmetastasen-freiem Überleben oder Gesamtüberleben (alle p&gt;0,6). IORT ist wirksame, gut verträgliche Alternative ohne Kompromisse im Langzeit-Onkologie.</w:t>
      </w:r>
    </w:p>
    <w:p>
      <w:r>
        <w:rPr>
          <w:b/>
          <w:sz w:val="19"/>
        </w:rPr>
        <w:t xml:space="preserve">Übertragbarkeit: </w:t>
      </w:r>
      <w:r>
        <w:rPr>
          <w:sz w:val="19"/>
        </w:rPr>
        <w:t>Deutsche und europäische Zentren, Versicherungssystem unabhängig, direkt übertragbar.</w:t>
      </w:r>
    </w:p>
    <w:p>
      <w:r>
        <w:rPr>
          <w:color w:val="5A7D3A"/>
          <w:sz w:val="18"/>
        </w:rPr>
        <w:t>https://pubmed.ncbi.nlm.nih.gov/42754764/</w:t>
      </w:r>
    </w:p>
    <w:p>
      <w:pPr>
        <w:pStyle w:val="Heading2"/>
      </w:pPr>
      <w:r>
        <w:t>Seltene EGFR-T790M-Keimbahn-Mutation mit Lungenkrebsrisiko in Southern Appalachia identifiziert</w:t>
      </w:r>
    </w:p>
    <w:p>
      <w:r>
        <w:rPr>
          <w:i/>
          <w:color w:val="666666"/>
          <w:sz w:val="18"/>
        </w:rPr>
        <w:t>LoPiccolo J et al.  ·  Science  ·  17.09.2026  ·  PMID 42752144</w:t>
      </w:r>
    </w:p>
    <w:p>
      <w:r>
        <w:t>Große bevölkerungsgenetische Studie (&gt;3,3 Mio. Personen) zur Assoziation der EGFR-T790M-Variante mit Lungenkrebsrisiko.</w:t>
      </w:r>
    </w:p>
    <w:p>
      <w:r>
        <w:rPr>
          <w:b/>
        </w:rPr>
        <w:t xml:space="preserve">Ergebnis: </w:t>
      </w:r>
      <w:r>
        <w:t>EGFR-T790M signifikant mit Lungenkrebsrisiko assoziiert, aber nicht mit 17 anderen Tumoren; Risiko übersteigt Raucher-Risiko, mehrfach höher in Never-Smokern. Geografisch/ancestral: höhere Prävalenz in USA (Southern-Appalachian-Founder-Event 200–225 Jahre ago, Herkunft britisch/irisch). Prävalenz regional deutlich erhöht, betrifft britische, irische und afrikanische Abstammung. Erkannte Hochrisiko-Träger ermöglichen gezielte genetische Tests und Screening-Strategien.</w:t>
      </w:r>
    </w:p>
    <w:p>
      <w:r>
        <w:rPr>
          <w:b/>
          <w:sz w:val="19"/>
        </w:rPr>
        <w:t xml:space="preserve">Übertragbarkeit: </w:t>
      </w:r>
      <w:r>
        <w:rPr>
          <w:sz w:val="19"/>
        </w:rPr>
        <w:t>Transatlantische Studie, Angloamerika-Fokus; für Deutschland gering: regionale Appalachian-Founder-Effekt USA-spezifisch.</w:t>
      </w:r>
    </w:p>
    <w:p>
      <w:r>
        <w:rPr>
          <w:color w:val="5A7D3A"/>
          <w:sz w:val="18"/>
        </w:rPr>
        <w:t>https://pubmed.ncbi.nlm.nih.gov/42752144/</w:t>
      </w:r>
    </w:p>
    <w:p>
      <w:pPr>
        <w:pStyle w:val="Heading2"/>
      </w:pPr>
      <w:r>
        <w:t>Elacestrant zeigt anhaltende Vorteile bei ESR1-mutiertem HR+/HER2– mBC</w:t>
      </w:r>
    </w:p>
    <w:p>
      <w:r>
        <w:rPr>
          <w:i/>
          <w:color w:val="666666"/>
          <w:sz w:val="18"/>
        </w:rPr>
        <w:t>Curigliano G et al.  ·  ESMO Open  ·  14.09.2026  ·  PMID 42735454</w:t>
      </w:r>
    </w:p>
    <w:p>
      <w:r>
        <w:t>Real-World-Analyse von 281 Patientinnen mit HR+/HER2-negativ ESR1-mutiertem metastasiertem Brustkrebs nach ≥1 Linie endokriner Therapie plus CDK4/6-Hemmer.</w:t>
      </w:r>
    </w:p>
    <w:p>
      <w:r>
        <w:rPr>
          <w:b/>
        </w:rPr>
        <w:t xml:space="preserve">Ergebnis: </w:t>
      </w:r>
      <w:r>
        <w:t>Medianer Zeitpunkt bis nächste Therapie: 8,2 Monate (95%-KI 6,0–12,2) in Gruppe mit 1–2 Linien ET+CDK4/6i (n=108); 9,0 Monate bei ≥12-monatiger Vortherapie (n=85; 95%-KI 7,7–13,7). Mit nur 1 Vorlinientherapie: 12,2 Monate (95%-KI 9,0-nicht erreicht; n=31). Leber-/Lungenmets: 6,9 Monate; Gehirnmets: 7,4 Monate. Koexistente ESR1+PI3K-Mutation: 6,1 Monate. Durable Vorteile unterstützen Elacestrant als Erst-Option für endokrin-sensitive HR+ ESR1-mutierte Tumoren.</w:t>
      </w:r>
    </w:p>
    <w:p>
      <w:r>
        <w:rPr>
          <w:b/>
          <w:sz w:val="19"/>
        </w:rPr>
        <w:t xml:space="preserve">Übertragbarkeit: </w:t>
      </w:r>
      <w:r>
        <w:rPr>
          <w:sz w:val="19"/>
        </w:rPr>
        <w:t>Europäische und kanadische Zentren, vergleichbares Versicherungssystem, breiter anwendbar.</w:t>
      </w:r>
    </w:p>
    <w:p>
      <w:r>
        <w:rPr>
          <w:color w:val="5A7D3A"/>
          <w:sz w:val="18"/>
        </w:rPr>
        <w:t>https://pubmed.ncbi.nlm.nih.gov/42735454/</w:t>
      </w:r>
    </w:p>
    <w:p>
      <w:pPr>
        <w:pStyle w:val="Heading2"/>
      </w:pPr>
      <w:r>
        <w:t>Thymusbestrahlung bei NSCLC mit höherem Metastasen- und Todesrisiko assoziiert</w:t>
      </w:r>
    </w:p>
    <w:p>
      <w:r>
        <w:rPr>
          <w:i/>
          <w:color w:val="666666"/>
          <w:sz w:val="18"/>
        </w:rPr>
        <w:t>Prudente V et al.  ·  Ann Oncol  ·  25.08.2026  ·  PMID 42641684</w:t>
      </w:r>
    </w:p>
    <w:p>
      <w:r>
        <w:t>Multikohorten-Analyse von 1.107 NSCLC-Patienten (RTOG-0617 und zwei Real-World-Kohorten) zur Auswirkung akzidenteller Thymusbestrahlung auf Outcome.</w:t>
      </w:r>
    </w:p>
    <w:p>
      <w:r>
        <w:rPr>
          <w:b/>
        </w:rPr>
        <w:t xml:space="preserve">Ergebnis: </w:t>
      </w:r>
      <w:r>
        <w:t>Mittlere Thymusdosis (MTD) von 1 Gy assoziiert mit 1,57–4,21% erhöhtem Distanzmetastasen-Risiko (RTOG: aHR 1,29, p=0,0028; Harvard-CRT: aHR 1,33, p=0,011; Harvard-Durva: aHR 1,95, p=0,007). Patienten mit erhaltenem Thymus vorher besonders gefährdet. Nach 1 Jahr: Dosis-abhängiger Thymusfunktions-Verlust und niedrigere Lymphozytenzahlen. Neuplanuung-Machbarkeitsstudie zeigte thymussparing möglich ohne Tumorüberdeckungs-Verlust.</w:t>
      </w:r>
    </w:p>
    <w:p>
      <w:r>
        <w:rPr>
          <w:b/>
          <w:sz w:val="19"/>
        </w:rPr>
        <w:t xml:space="preserve">Übertragbarkeit: </w:t>
      </w:r>
      <w:r>
        <w:rPr>
          <w:sz w:val="19"/>
        </w:rPr>
        <w:t>USA-Daten, aber biologischer Mechanismus universal; deutsche Zentren können Planung adaptieren.</w:t>
      </w:r>
    </w:p>
    <w:p>
      <w:r>
        <w:rPr>
          <w:color w:val="5A7D3A"/>
          <w:sz w:val="18"/>
        </w:rPr>
        <w:t>https://pubmed.ncbi.nlm.nih.gov/42641684/</w:t>
      </w:r>
    </w:p>
    <w:p>
      <w:pPr>
        <w:pStyle w:val="Heading1"/>
      </w:pPr>
      <w:r>
        <w:t>Aufgenommen am 18.09.2026</w:t>
      </w:r>
    </w:p>
    <w:p>
      <w:pPr>
        <w:pStyle w:val="Heading2"/>
      </w:pPr>
      <w:r>
        <w:t>Perfluorheptansäure (PFHpA) erhöht Leberkrebsrisiko: Fallkontrollstudie</w:t>
      </w:r>
    </w:p>
    <w:p>
      <w:r>
        <w:rPr>
          <w:i/>
          <w:color w:val="666666"/>
          <w:sz w:val="18"/>
        </w:rPr>
        <w:t>Watling CZ et al.  ·  J Natl Cancer Inst  ·  17.09.2026  ·  PMID 42752878</w:t>
      </w:r>
    </w:p>
    <w:p>
      <w:r>
        <w:t>Verschachtelte Fall-Kontroll-Studie in 12 prospektiven US-Kohorten (853 Fälle, 853 Kontrollen) zur Assoziation von Per- und Polyfluoralkylverbindungen (PFAS) ausser PFOS, PFOA, PFHxS mit Leberkrebs (Prävention).</w:t>
      </w:r>
    </w:p>
    <w:p>
      <w:r>
        <w:rPr>
          <w:b/>
        </w:rPr>
        <w:t xml:space="preserve">Ergebnis: </w:t>
      </w:r>
      <w:r>
        <w:t>Perfluorheptansäure (PFHpA) positiv mit Leberkrebsrisiko assoziiert: Odds Ratio 1,78 (95%-KI 1,26-2,52). Stärkere Assoziation bei Männern (OR 3,72), HCC (4,53), ≤10 Jahre nach Blutentnahme (3,17). Andere PFAS ohne Assoziation.</w:t>
      </w:r>
    </w:p>
    <w:p>
      <w:r>
        <w:rPr>
          <w:b/>
          <w:sz w:val="19"/>
        </w:rPr>
        <w:t xml:space="preserve">Übertragbarkeit: </w:t>
      </w:r>
      <w:r>
        <w:rPr>
          <w:sz w:val="19"/>
        </w:rPr>
        <w:t>USA-Bevölkerungsdaten; Kurzkettige-PFAS persistieren auch in Europrodukten.</w:t>
      </w:r>
    </w:p>
    <w:p>
      <w:r>
        <w:rPr>
          <w:color w:val="5A7D3A"/>
          <w:sz w:val="18"/>
        </w:rPr>
        <w:t>https://pubmed.ncbi.nlm.nih.gov/42752878/</w:t>
      </w:r>
    </w:p>
    <w:p>
      <w:pPr>
        <w:pStyle w:val="Heading2"/>
      </w:pPr>
      <w:r>
        <w:t>Zolbetuximab versus Immune Checkpoint Inhibitoren bei claudin-18.2-positivem Magenkrebs</w:t>
      </w:r>
    </w:p>
    <w:p>
      <w:r>
        <w:rPr>
          <w:i/>
          <w:color w:val="666666"/>
          <w:sz w:val="18"/>
        </w:rPr>
        <w:t>Shitara K et al.  ·  ESMO Open  ·  16.09.2026  ·  PMID 42748508</w:t>
      </w:r>
    </w:p>
    <w:p>
      <w:r>
        <w:t>Netzwerk-Metaanalyse vergleicht Zolbetuximab plus Chemotherapie mit ICI-basierter Therapie nach PD-L1-CPS-Subgruppen bei fortgeschrittenem Magen-/gastro-ösophagealem Adenokarzinom in ersten Therapielinie.</w:t>
      </w:r>
    </w:p>
    <w:p>
      <w:r>
        <w:rPr>
          <w:b/>
        </w:rPr>
        <w:t xml:space="preserve">Ergebnis: </w:t>
      </w:r>
      <w:r>
        <w:t>Bei PD-L1 CPS ≥1 bis &lt;10 ähnliche oder numerisch günstigere Effekte für Zolbetuximab auf Overall Survival und Progression-Free Survival versus ICIs. Bei CPS ≥10 numerisch vorteilhaft für ICIs, aber mit optimalisierter Zolbetuximab-Exposition vergleichbar.</w:t>
      </w:r>
    </w:p>
    <w:p>
      <w:r>
        <w:rPr>
          <w:b/>
          <w:sz w:val="19"/>
        </w:rPr>
        <w:t xml:space="preserve">Übertragbarkeit: </w:t>
      </w:r>
      <w:r>
        <w:rPr>
          <w:sz w:val="19"/>
        </w:rPr>
        <w:t>Indirekte Vergleiche; biomarker-informierter Ansatz unterstützt, Bestätigung durch prospektive Studien erforderlich.</w:t>
      </w:r>
    </w:p>
    <w:p>
      <w:r>
        <w:rPr>
          <w:color w:val="5A7D3A"/>
          <w:sz w:val="18"/>
        </w:rPr>
        <w:t>https://pubmed.ncbi.nlm.nih.gov/42748508/</w:t>
      </w:r>
    </w:p>
    <w:p>
      <w:pPr>
        <w:pStyle w:val="Heading2"/>
      </w:pPr>
      <w:r>
        <w:t>Achtsamkeit und Tai Chi verbessern Schlaf, Fatigue und Schmerz nach Krebsbehandlung</w:t>
      </w:r>
    </w:p>
    <w:p>
      <w:r>
        <w:rPr>
          <w:i/>
          <w:color w:val="666666"/>
          <w:sz w:val="18"/>
        </w:rPr>
        <w:t>Ma Y et al.  ·  J Clin Oncol  ·  16.09.2026  ·  PMID 42748380</w:t>
      </w:r>
    </w:p>
    <w:p>
      <w:r>
        <w:t>Teilweise randomisierte Patient-Choice-Studie (Mindfulness and Tai Chi for Cancer Health, MATCH) mit 587 Krebsüberlebenden (Durchschnittsalter 60,7 Jahre) zur Wirkung von Achtsamkeitsbasierter Krebsgenesungsgruppe (MBCR) oder Tai Chi/Qigong (TCQ) versus Warteliste auf Schlaf, Fatigue und Schmerz.</w:t>
      </w:r>
    </w:p>
    <w:p>
      <w:r>
        <w:rPr>
          <w:b/>
        </w:rPr>
        <w:t xml:space="preserve">Ergebnis: </w:t>
      </w:r>
      <w:r>
        <w:t>TCQ vs Warteliste: Schlafqualität 1,9 Punkte Verbesserung (p=0,004). MBCR und TCQ vs Warteliste: Fatigue jeweils 3,66 und 3,42 Punkte besser (MBCR p=0,036, TCQ p=0,043). Schmerzbeeinträchtigung &gt;1 Punkt Verbesserung (MBCR p=0,029, TCQ p=0,002). MBCR und TCQ unterschieden sich nicht.</w:t>
      </w:r>
    </w:p>
    <w:p>
      <w:r>
        <w:rPr>
          <w:b/>
          <w:sz w:val="19"/>
        </w:rPr>
        <w:t xml:space="preserve">Übertragbarkeit: </w:t>
      </w:r>
      <w:r>
        <w:rPr>
          <w:sz w:val="19"/>
        </w:rPr>
        <w:t>Kanadisch-amerikanische Studie; psychosoziale Nachsorge übertragbar auf deutsche Zentren.</w:t>
      </w:r>
    </w:p>
    <w:p>
      <w:r>
        <w:rPr>
          <w:color w:val="5A7D3A"/>
          <w:sz w:val="18"/>
        </w:rPr>
        <w:t>https://pubmed.ncbi.nlm.nih.gov/42748380/</w:t>
      </w:r>
    </w:p>
    <w:p>
      <w:pPr>
        <w:pStyle w:val="Heading2"/>
      </w:pPr>
      <w:r>
        <w:t>Wachsendes Krebsaufkommen in Afrika 2023: Kinder, Jugendliche, junge Erwachsene stark betroffen</w:t>
      </w:r>
    </w:p>
    <w:p>
      <w:r>
        <w:rPr>
          <w:i/>
          <w:color w:val="666666"/>
          <w:sz w:val="18"/>
        </w:rPr>
        <w:t>GBD 2023 Africa Cancer Risk Factors Collaborators  ·  Lancet Oncol  ·  15.09.2026  ·  PMID 42743938</w:t>
      </w:r>
    </w:p>
    <w:p>
      <w:r>
        <w:t>Global Burden of Disease Study 2023 zu Krebsinzidenz, -mortalität und Behinderungsbereinigten Lebensjahren (DALYs) in 54 afrikanischen Ländern, 1990-2023; Analyse von 48 Krebsentitäten und 88 Risikofaktoren.</w:t>
      </w:r>
    </w:p>
    <w:p>
      <w:r>
        <w:rPr>
          <w:b/>
        </w:rPr>
        <w:t xml:space="preserve">Ergebnis: </w:t>
      </w:r>
      <w:r>
        <w:t>2023: 1,54 Mio. neue Fälle (95%-UI 1,37-1,75), 923 000 Todesfälle (824 000-1 020 000), 33,9 Mio. DALYs in Afrika. Kinder 0-19 Jahre: 104 000 Fälle (27,7% global), 38,0% globaler Todesfälle. 31,6% DALYs attributiv modifiable Risikofaktoren.</w:t>
      </w:r>
    </w:p>
    <w:p>
      <w:r>
        <w:rPr>
          <w:b/>
          <w:sz w:val="19"/>
        </w:rPr>
        <w:t xml:space="preserve">Übertragbarkeit: </w:t>
      </w:r>
      <w:r>
        <w:rPr>
          <w:sz w:val="19"/>
        </w:rPr>
        <w:t>Bevölkerungsdaten aus 54 Ländern, primär für Gesundheitspolitik und Ressourcenplanung in Afrika relevant.</w:t>
      </w:r>
    </w:p>
    <w:p>
      <w:r>
        <w:rPr>
          <w:color w:val="5A7D3A"/>
          <w:sz w:val="18"/>
        </w:rPr>
        <w:t>https://pubmed.ncbi.nlm.nih.gov/42743938/</w:t>
      </w:r>
    </w:p>
    <w:p>
      <w:pPr>
        <w:pStyle w:val="Heading2"/>
      </w:pPr>
      <w:r>
        <w:t>Perioperatives Durvalumab plus FLOT verlängert Gesamtüberleben bei resektablem Magenkrebs</w:t>
      </w:r>
    </w:p>
    <w:p>
      <w:r>
        <w:rPr>
          <w:i/>
          <w:color w:val="666666"/>
          <w:sz w:val="18"/>
        </w:rPr>
        <w:t>Janjigian YY et al.  ·  Lancet  ·  19.09.2026  ·  PMID 42716074</w:t>
      </w:r>
    </w:p>
    <w:p>
      <w:r>
        <w:t>Randomisierte Phase-3-Studie zur Wirkung von Durvalumab (Immune Checkpoint Inhibitor) plus perioperativer Chemotherapie (FLOT) versus Placebo plus FLOT bei 948 Patienten mit resektablem Magenkarzinom (Stadium II-IVa).</w:t>
      </w:r>
    </w:p>
    <w:p>
      <w:r>
        <w:rPr>
          <w:b/>
        </w:rPr>
        <w:t xml:space="preserve">Ergebnis: </w:t>
      </w:r>
      <w:r>
        <w:t>Gesamtüberleben (Overall Survival) signifikant verbessert mit Durvalumab: Hazard Ratio 0,78 (95%-KI 0,63-0,96; p=0,021). Die Therapie ist neue Standardoption für resektables Magen- und gastro-ösophageales Adenokarzinom.</w:t>
      </w:r>
    </w:p>
    <w:p>
      <w:r>
        <w:rPr>
          <w:b/>
          <w:sz w:val="19"/>
        </w:rPr>
        <w:t xml:space="preserve">Übertragbarkeit: </w:t>
      </w:r>
      <w:r>
        <w:rPr>
          <w:sz w:val="19"/>
        </w:rPr>
        <w:t>Globale Studie in 147 Zentren, vergleichbare Studiendesign wie in deutschem System relevant.</w:t>
      </w:r>
    </w:p>
    <w:p>
      <w:r>
        <w:rPr>
          <w:color w:val="5A7D3A"/>
          <w:sz w:val="18"/>
        </w:rPr>
        <w:t>https://pubmed.ncbi.nlm.nih.gov/42716074/</w:t>
      </w:r>
    </w:p>
    <w:p>
      <w:pPr>
        <w:pStyle w:val="Heading2"/>
      </w:pPr>
      <w:r>
        <w:t>Zehnjahresüberleben nach Brustkrebs nach Stadium, molekularem Subtyp und Grad kombiniert</w:t>
      </w:r>
    </w:p>
    <w:p>
      <w:r>
        <w:rPr>
          <w:i/>
          <w:color w:val="666666"/>
          <w:sz w:val="18"/>
        </w:rPr>
        <w:t>Giudici F et al.  ·  Oncologist  ·  09.09.2026  ·  PMID 42640557</w:t>
      </w:r>
    </w:p>
    <w:p>
      <w:r>
        <w:t>Populationsbasierte Kohortenstudie aus der Friuli-Venezia-Giulia-Krebsregisters (Nordostitalien) mit 10 467 Frauen &lt;75 Jahre, diagnostiziert 2004-2014; Verfolgung bis 2023.</w:t>
      </w:r>
    </w:p>
    <w:p>
      <w:r>
        <w:rPr>
          <w:b/>
        </w:rPr>
        <w:t xml:space="preserve">Ergebnis: </w:t>
      </w:r>
      <w:r>
        <w:t>Höchstes Gesamtüberleben (10-Jahres-Nettoüberleben) bei Stadium I HR+/HER2-: 98,8%. Tiefste bei Stadium III Triple-Negativ: 35,1%. Stadium IV Triple-Negativ: 6,7% vs HR-/HER2+: 18,9%. Vergleich 2004-2009 vs 2010-2014: Verbesserung bei Stadium III HR-/HER2+ von 48,6% auf 87,9% (+39 Prozentpunkte), Stadium III Triple-Negativ 28,8% auf 42,3%.</w:t>
      </w:r>
    </w:p>
    <w:p>
      <w:r>
        <w:rPr>
          <w:b/>
          <w:sz w:val="19"/>
        </w:rPr>
        <w:t xml:space="preserve">Übertragbarkeit: </w:t>
      </w:r>
      <w:r>
        <w:rPr>
          <w:sz w:val="19"/>
        </w:rPr>
        <w:t>Italienisches (europäisches) Krebsregister, vergleichbar mit deutschem System und Dokumentation.</w:t>
      </w:r>
    </w:p>
    <w:p>
      <w:r>
        <w:rPr>
          <w:color w:val="5A7D3A"/>
          <w:sz w:val="18"/>
        </w:rPr>
        <w:t>https://pubmed.ncbi.nlm.nih.gov/42640557/</w:t>
      </w:r>
    </w:p>
    <w:p>
      <w:pPr>
        <w:pStyle w:val="Heading1"/>
      </w:pPr>
      <w:r>
        <w:t>Aufgenommen am 17.09.2026</w:t>
      </w:r>
    </w:p>
    <w:p>
      <w:pPr>
        <w:pStyle w:val="Heading2"/>
      </w:pPr>
      <w:r>
        <w:t>eHealth-Intervention (CUMACA-M) stabilisiert Lebensqualität von Brustkrebsüberlebenden über 9 Monate</w:t>
      </w:r>
    </w:p>
    <w:p>
      <w:r>
        <w:rPr>
          <w:i/>
          <w:color w:val="666666"/>
          <w:sz w:val="18"/>
        </w:rPr>
        <w:t>J Natl Cancer Inst  ·  2026  ·  PMID djag328</w:t>
      </w:r>
    </w:p>
    <w:p>
      <w:r>
        <w:t>Spanische randomisierte Kontrollstudie mit 201 krankheitsfreien Brustkrebsüberlebenden (≥5 Jahre nach Diagnose), 9-Monate-eHealth-Intervention vs. Standardcare.</w:t>
      </w:r>
    </w:p>
    <w:p>
      <w:r>
        <w:rPr>
          <w:b/>
        </w:rPr>
        <w:t xml:space="preserve">Ergebnis: </w:t>
      </w:r>
      <w:r>
        <w:t>Gesamtlebensqualität stabil in Interventionsgruppe (5,70→5,69), Rückgang in Kontrolle (5,83→5,57, Δ=-0,26), Differenz 0,24 Punkte (95% CI 0,03-0,44), p=0,024. Psychisches Wohlbefinden Cohen d=0,40, physisches d=0,28.</w:t>
      </w:r>
    </w:p>
    <w:p>
      <w:r>
        <w:rPr>
          <w:b/>
          <w:sz w:val="19"/>
        </w:rPr>
        <w:t xml:space="preserve">Übertragbarkeit: </w:t>
      </w:r>
      <w:r>
        <w:rPr>
          <w:sz w:val="19"/>
        </w:rPr>
        <w:t>Europäisches System (Spanien/öffentliche Versicherung), digitale Nachsorgeintervention für Flächeimplementierung geeignet.</w:t>
      </w:r>
    </w:p>
    <w:p>
      <w:r>
        <w:rPr>
          <w:color w:val="5A7D3A"/>
          <w:sz w:val="18"/>
        </w:rPr>
        <w:t>https://pubmed.ncbi.nlm.nih.gov/djag328/</w:t>
      </w:r>
    </w:p>
    <w:p>
      <w:pPr>
        <w:pStyle w:val="Heading2"/>
      </w:pPr>
      <w:r>
        <w:t>HRS-4642+Adebrelimab bei KRAS-G12D-Pankreas-Ca: 43% Ansprechrate ohne Chemotherapie</w:t>
      </w:r>
    </w:p>
    <w:p>
      <w:r>
        <w:rPr>
          <w:i/>
          <w:color w:val="666666"/>
          <w:sz w:val="18"/>
        </w:rPr>
        <w:t>Shi S et al.  ·  Cancer Cell  ·  16.09.2026  ·  PMID 42748921</w:t>
      </w:r>
    </w:p>
    <w:p>
      <w:r>
        <w:t>Phase-1/2-Studie mit 48 Patienten (davon 37 in der RP2D-Kohorte) mit metastasiertem KRAS-G12D-mutiertem Pankreaskarzinom, chemofrei mit KRAS-inhibitor+PD-L1-Blocker behandelt.</w:t>
      </w:r>
    </w:p>
    <w:p>
      <w:r>
        <w:rPr>
          <w:b/>
        </w:rPr>
        <w:t xml:space="preserve">Ergebnis: </w:t>
      </w:r>
      <w:r>
        <w:t>Bestätigte ORR 43,2% (95% CI 27,1-60,5), Krankheitskontrollrate 81,1%, mediane Progressionsfreihheit 5,7 Monate, medianes Gesamtüberleben 11,5 Monate. Häufigste Nebenwirkungen: Hypercholesterinämie und Anämie je 50%.</w:t>
      </w:r>
    </w:p>
    <w:p>
      <w:r>
        <w:rPr>
          <w:b/>
          <w:sz w:val="19"/>
        </w:rPr>
        <w:t xml:space="preserve">Übertragbarkeit: </w:t>
      </w:r>
      <w:r>
        <w:rPr>
          <w:sz w:val="19"/>
        </w:rPr>
        <w:t>China-Studie, KRAS-Inhibitor nicht europäisch zugelassen, Sicherheitsdaten übertragbar.</w:t>
      </w:r>
    </w:p>
    <w:p>
      <w:r>
        <w:rPr>
          <w:color w:val="5A7D3A"/>
          <w:sz w:val="18"/>
        </w:rPr>
        <w:t>https://pubmed.ncbi.nlm.nih.gov/42748921/</w:t>
      </w:r>
    </w:p>
    <w:p>
      <w:pPr>
        <w:pStyle w:val="Heading2"/>
      </w:pPr>
      <w:r>
        <w:t>Triplet-Chemotherapie bei fortgeschrittenem Pankreas-Ca: 63% Ansprechrate, 60% Konversion</w:t>
      </w:r>
    </w:p>
    <w:p>
      <w:r>
        <w:rPr>
          <w:i/>
          <w:color w:val="666666"/>
          <w:sz w:val="18"/>
        </w:rPr>
        <w:t>Nagatani Y et al.  ·  Eur J Cancer  ·  10.09.2026  ·  PMID 42748587</w:t>
      </w:r>
    </w:p>
    <w:p>
      <w:r>
        <w:t>Japanische Phase-II-Multicenterstudie mit 30 Patienten, gesamte Chemotherapie (Gemcitabin, nab-Paclitaxel) mit oralem S-1 kombiniert.</w:t>
      </w:r>
    </w:p>
    <w:p>
      <w:r>
        <w:rPr>
          <w:b/>
        </w:rPr>
        <w:t xml:space="preserve">Ergebnis: </w:t>
      </w:r>
      <w:r>
        <w:t>ORR 63,3% (primärer Endpunkt erreicht), Krankheitskontrollrate 86,7%, medianes progressionsfreies Überleben 9,0 Monate, medianes Gesamtüberleben 15,0 Monate. 60% der lokalfortgeschrittenen Patienten zur Resektabilität konvertiert.</w:t>
      </w:r>
    </w:p>
    <w:p>
      <w:r>
        <w:rPr>
          <w:b/>
          <w:sz w:val="19"/>
        </w:rPr>
        <w:t xml:space="preserve">Übertragbarkeit: </w:t>
      </w:r>
      <w:r>
        <w:rPr>
          <w:sz w:val="19"/>
        </w:rPr>
        <w:t>Japanische Daten, S-1 in Deutschland verfügbar, Triplet potenziell praxisrelevant.</w:t>
      </w:r>
    </w:p>
    <w:p>
      <w:r>
        <w:rPr>
          <w:color w:val="5A7D3A"/>
          <w:sz w:val="18"/>
        </w:rPr>
        <w:t>https://pubmed.ncbi.nlm.nih.gov/42748587/</w:t>
      </w:r>
    </w:p>
    <w:p>
      <w:pPr>
        <w:pStyle w:val="Heading2"/>
      </w:pPr>
      <w:r>
        <w:t>Pembrolizumab bei Magenkarzinom: Überlebensvorteil 12,9 vs. 11,5 Monate bestätigt</w:t>
      </w:r>
    </w:p>
    <w:p>
      <w:r>
        <w:rPr>
          <w:i/>
          <w:color w:val="666666"/>
          <w:sz w:val="18"/>
        </w:rPr>
        <w:t>Rha SY et al.  ·  ESMO Open  ·  16.09.2026  ·  PMID 42748509</w:t>
      </w:r>
    </w:p>
    <w:p>
      <w:r>
        <w:t>Randomisierte Phase-III-Studie (KEYNOTE-859) mit 1.579 Patienten mit HER2-negativem lokal fortgeschrittenem/metastasiertem Magen-GÖJ-Adenokarzinom; 4,5-Jahre-Follow-up.</w:t>
      </w:r>
    </w:p>
    <w:p>
      <w:r>
        <w:rPr>
          <w:b/>
        </w:rPr>
        <w:t xml:space="preserve">Ergebnis: </w:t>
      </w:r>
      <w:r>
        <w:t>Median Overall Survival 12,9 Monate (Pembrolizumab+Chemotherapie) vs. 11,5 Monate (Placebo+Chemotherapie), Hazard Ratio 0,78 (95% CI 0,70-0,86). Grade-3/4-Nebenwirkungen 58,3% vs. 49,3%.</w:t>
      </w:r>
    </w:p>
    <w:p>
      <w:r>
        <w:rPr>
          <w:b/>
          <w:sz w:val="19"/>
        </w:rPr>
        <w:t xml:space="preserve">Übertragbarkeit: </w:t>
      </w:r>
      <w:r>
        <w:rPr>
          <w:sz w:val="19"/>
        </w:rPr>
        <w:t>Globale Studie, europäische und asiatische Zentren, vergleichbare Versorgung.</w:t>
      </w:r>
    </w:p>
    <w:p>
      <w:r>
        <w:rPr>
          <w:color w:val="5A7D3A"/>
          <w:sz w:val="18"/>
        </w:rPr>
        <w:t>https://pubmed.ncbi.nlm.nih.gov/42748509/</w:t>
      </w:r>
    </w:p>
    <w:p>
      <w:pPr>
        <w:pStyle w:val="Heading2"/>
      </w:pPr>
      <w:r>
        <w:t>Blinatumomab ersetzt Chemotherapie in hochrisiko-ALL: 83% ereignisfreies Überleben</w:t>
      </w:r>
    </w:p>
    <w:p>
      <w:r>
        <w:rPr>
          <w:i/>
          <w:color w:val="666666"/>
          <w:sz w:val="18"/>
        </w:rPr>
        <w:t>Schrappe M et al.  ·  N Engl J Med  ·  17.09.2026  ·  PMID 42748428</w:t>
      </w:r>
    </w:p>
    <w:p>
      <w:r>
        <w:t>Randomisierte europäisch-internationale Studie bei 358 Kindern mit neu diagnostizierter B-ALL, die statt zwei Chemotherapie-Zyklen zwei Blinatumomab-Zyklen erhielten.</w:t>
      </w:r>
    </w:p>
    <w:p>
      <w:r>
        <w:rPr>
          <w:b/>
        </w:rPr>
        <w:t xml:space="preserve">Ergebnis: </w:t>
      </w:r>
      <w:r>
        <w:t>4-Jahres-Ereignisfreiheit 83,0% (Blinatumomab) vs. 70,3% (Kontrolle), Hazard Ratio 0,51, p=0,0002. Behandlungsbedingte Infektionen: 23,9% vs. 69,4%, lebensbedrohliche Ereignisse 0,5% vs. 4,7%.</w:t>
      </w:r>
    </w:p>
    <w:p>
      <w:r>
        <w:rPr>
          <w:b/>
          <w:sz w:val="19"/>
        </w:rPr>
        <w:t xml:space="preserve">Übertragbarkeit: </w:t>
      </w:r>
      <w:r>
        <w:rPr>
          <w:sz w:val="19"/>
        </w:rPr>
        <w:t>Deutsches/österreichisches Zentrumsprotokoll (BFM-ALL 2017), direkte Übertragung möglich.</w:t>
      </w:r>
    </w:p>
    <w:p>
      <w:r>
        <w:rPr>
          <w:color w:val="5A7D3A"/>
          <w:sz w:val="18"/>
        </w:rPr>
        <w:t>https://pubmed.ncbi.nlm.nih.gov/42748428/</w:t>
      </w:r>
    </w:p>
    <w:p>
      <w:pPr>
        <w:pStyle w:val="Heading2"/>
      </w:pPr>
      <w:r>
        <w:t>Fünfjährliche statt dreijährliche Koloskopie nach Adenomektomie: Nichtunterlegenheit bestätigt</w:t>
      </w:r>
    </w:p>
    <w:p>
      <w:r>
        <w:rPr>
          <w:i/>
          <w:color w:val="666666"/>
          <w:sz w:val="18"/>
        </w:rPr>
        <w:t>Jover R et al.  ·  N Engl J Med  ·  17.09.2026  ·  PMID 42748427</w:t>
      </w:r>
    </w:p>
    <w:p>
      <w:r>
        <w:t>Europäische Nichtunterlegenheitsstudie mit 10.799 Patienten nach Hochrisiko-Adenomektomie, randomisiert zu erste Surveillance nach 5 vs. 3 Jahren.</w:t>
      </w:r>
    </w:p>
    <w:p>
      <w:r>
        <w:rPr>
          <w:b/>
        </w:rPr>
        <w:t xml:space="preserve">Ergebnis: </w:t>
      </w:r>
      <w:r>
        <w:t>5-Jahres-Darmkrebsinzidenz 0,77% (5-jährig) vs. 0,82% (3-jährig), Nichtunterlegenheitsgrenze erreicht. Krebstodesfälle: 0,06% vs. 0,04%.</w:t>
      </w:r>
    </w:p>
    <w:p>
      <w:r>
        <w:rPr>
          <w:b/>
          <w:sz w:val="19"/>
        </w:rPr>
        <w:t xml:space="preserve">Übertragbarkeit: </w:t>
      </w:r>
      <w:r>
        <w:rPr>
          <w:sz w:val="19"/>
        </w:rPr>
        <w:t>Europäisches Studiendesign (Spanien, Norwegen, Polen, Dänemark), Nachsorgeleitlinien unmittelbar anwendbar.</w:t>
      </w:r>
    </w:p>
    <w:p>
      <w:r>
        <w:rPr>
          <w:color w:val="5A7D3A"/>
          <w:sz w:val="18"/>
        </w:rPr>
        <w:t>https://pubmed.ncbi.nlm.nih.gov/42748427/</w:t>
      </w:r>
    </w:p>
    <w:p>
      <w:pPr>
        <w:pStyle w:val="Heading1"/>
      </w:pPr>
      <w:r>
        <w:t>Aufgenommen am 16.09.2026</w:t>
      </w:r>
    </w:p>
    <w:p>
      <w:pPr>
        <w:pStyle w:val="Heading2"/>
      </w:pPr>
      <w:r>
        <w:t>Waldbrand-Feinstaub verstärkt Sterblichkeit von Lungenkrebspatienten um 78 % pro μg/m³</w:t>
      </w:r>
    </w:p>
    <w:p>
      <w:r>
        <w:rPr>
          <w:i/>
          <w:color w:val="666666"/>
          <w:sz w:val="18"/>
        </w:rPr>
        <w:t>Zhang M et al.  ·  Lancet Oncol  ·  15.09.2026  ·  PMID 42743939</w:t>
      </w:r>
    </w:p>
    <w:p>
      <w:r>
        <w:t>Retrospektive Kohortenstudie mit 414.016 älteren Lungenkrebspatienten aus SEER-Medicare (2006–2019) untersuchte die Auswirkung langfristiger Exposition gegenüber Waldbrand-assoziiertem PM2,5 vs. Nicht-Waldbrand-PM2,5 auf Overall Survival.</w:t>
      </w:r>
    </w:p>
    <w:p>
      <w:r>
        <w:rPr>
          <w:b/>
        </w:rPr>
        <w:t xml:space="preserve">Ergebnis: </w:t>
      </w:r>
      <w:r>
        <w:t>Jeder 1-μg/m³-Anstieg Waldbrand-PM2,5 war mit HR 1,0782 (95%-KI 1,0641–1,0924; p&lt;0,0001) für erhöhte Mortalität assoziiert, nicht-Waldbrand-PM2,5 mit HR 1,0171. Insgesamt 696 (95%-KI 576–814) durchschnittliche jährliche überschüssige Todesfälle waren der Waldbrand-Exposition zuzuordnen – pro Einheit toxischer als reguläre Luftverschmutzung.</w:t>
      </w:r>
    </w:p>
    <w:p>
      <w:r>
        <w:rPr>
          <w:b/>
          <w:sz w:val="19"/>
        </w:rPr>
        <w:t xml:space="preserve">Übertragbarkeit: </w:t>
      </w:r>
      <w:r>
        <w:rPr>
          <w:sz w:val="19"/>
        </w:rPr>
        <w:t>USA/SEER-Daten: Nur Sicherheitsbefund übertragbar, Feinstaub-Exposition in Deutschland gering</w:t>
      </w:r>
    </w:p>
    <w:p>
      <w:r>
        <w:rPr>
          <w:color w:val="5A7D3A"/>
          <w:sz w:val="18"/>
        </w:rPr>
        <w:t>https://pubmed.ncbi.nlm.nih.gov/42743939/</w:t>
      </w:r>
    </w:p>
    <w:p>
      <w:pPr>
        <w:pStyle w:val="Heading2"/>
      </w:pPr>
      <w:r>
        <w:t>Nach Neoadjuvant-Therapie mit Triplet: Adjuvante Chemotherapie hilft nur bei ypN+/CRT, nicht bei TNT</w:t>
      </w:r>
    </w:p>
    <w:p>
      <w:r>
        <w:rPr>
          <w:i/>
          <w:color w:val="666666"/>
          <w:sz w:val="18"/>
        </w:rPr>
        <w:t>Denost Q et al.  ·  Eur J Cancer  ·  11.09.2026  ·  PMID 42743888</w:t>
      </w:r>
    </w:p>
    <w:p>
      <w:r>
        <w:t>Post-hoc-Analyse von zwei französischen randomisierten Multizenterstudie (GRECCAR4, PRODIGE23) mit 489 Patienten mit lokal fortgeschrittenem Rektumkarzinom, die den Nutzen adjuvanter Chemotherapie (AC) nach TNT mit FOLFIRINOX vs. CRT bewertete.</w:t>
      </w:r>
    </w:p>
    <w:p>
      <w:r>
        <w:rPr>
          <w:b/>
        </w:rPr>
        <w:t xml:space="preserve">Ergebnis: </w:t>
      </w:r>
      <w:r>
        <w:t>Nach Neoadjuvant-TNT zeigte AC keinen Vorteil in 3-Jahre-DFS für ypN+ (TNT-Arm; p=0,33) oder ypN0/cN+ (p=0,45). Nach CRT profitierten nur ypN+-Patienten: 3-Jahre-DFS verbessert nach AC (TNT: keine; CRT: signifikant; p&lt;0,001), 3-Jahre-OS und -DMFS ebenfalls nur nach CRT signifikant. Diese Daten unterstützen Therapie-Deeskalation in der TNT-Ära.</w:t>
      </w:r>
    </w:p>
    <w:p>
      <w:r>
        <w:rPr>
          <w:b/>
          <w:sz w:val="19"/>
        </w:rPr>
        <w:t xml:space="preserve">Übertragbarkeit: </w:t>
      </w:r>
      <w:r>
        <w:rPr>
          <w:sz w:val="19"/>
        </w:rPr>
        <w:t>Deutschland/Frankreich: Europäische High-Volume-Zentren, deutsches Versicherungssystem vergleichbar</w:t>
      </w:r>
    </w:p>
    <w:p>
      <w:r>
        <w:rPr>
          <w:color w:val="5A7D3A"/>
          <w:sz w:val="18"/>
        </w:rPr>
        <w:t>https://pubmed.ncbi.nlm.nih.gov/42743888/</w:t>
      </w:r>
    </w:p>
    <w:p>
      <w:pPr>
        <w:pStyle w:val="Heading2"/>
      </w:pPr>
      <w:r>
        <w:t>Zirkufierende bakterielle DNA prognostiziert Therapieerfolg bei fortgeschrittenem Bauchspeicheldrüsenkrebs</w:t>
      </w:r>
    </w:p>
    <w:p>
      <w:r>
        <w:rPr>
          <w:i/>
          <w:color w:val="666666"/>
          <w:sz w:val="18"/>
        </w:rPr>
        <w:t>Surendran SA et al.  ·  Eur J Cancer  ·  10.09.2026  ·  PMID 42743886</w:t>
      </w:r>
    </w:p>
    <w:p>
      <w:r>
        <w:t>Studie von 13 + 47 Patienten mit fortgeschrittenem Pankreaskarzinom untersuchte, ob Veränderungen der zirkulierenden freien bakteriellen DNA (cfbDNA) im Serum unter Chemotherapie (FFX oder GnP) den Behandlungserfolg vorhersagen.</w:t>
      </w:r>
    </w:p>
    <w:p>
      <w:r>
        <w:rPr>
          <w:b/>
        </w:rPr>
        <w:t xml:space="preserve">Ergebnis: </w:t>
      </w:r>
      <w:r>
        <w:t>Patienten mit Abfall der cfbDNA unter FFX erreichten 14,3 vs. 2,9 Monate PFS (p&lt;0,001) und 23,2 vs. 8,4 Monate OS (p=0,006). Ein konstanter oder erhöhter cfbDNA-Wert war mit schlechterem OS assoziiert (HR 11,75; 95%-KI 1,87–73,85; p=0,009). Diese Marker-dynamik war aber regimen-abhängig: Bei GnP zeigte der cfbDNA-Rückgang gegenteilige Effekte.</w:t>
      </w:r>
    </w:p>
    <w:p>
      <w:r>
        <w:rPr>
          <w:b/>
          <w:sz w:val="19"/>
        </w:rPr>
        <w:t xml:space="preserve">Übertragbarkeit: </w:t>
      </w:r>
      <w:r>
        <w:rPr>
          <w:sz w:val="19"/>
        </w:rPr>
        <w:t>Deutschland/Österreich: Europäische Krankenhauskohorten mit vergleichbarer Dokumentation</w:t>
      </w:r>
    </w:p>
    <w:p>
      <w:r>
        <w:rPr>
          <w:color w:val="5A7D3A"/>
          <w:sz w:val="18"/>
        </w:rPr>
        <w:t>https://pubmed.ncbi.nlm.nih.gov/42743886/</w:t>
      </w:r>
    </w:p>
    <w:p>
      <w:pPr>
        <w:pStyle w:val="Heading2"/>
      </w:pPr>
      <w:r>
        <w:t>Triplet-Chemotherapie plus Panitumumab in RAS wild-typ mKRK erhält Lebensqualität</w:t>
      </w:r>
    </w:p>
    <w:p>
      <w:r>
        <w:rPr>
          <w:i/>
          <w:color w:val="666666"/>
          <w:sz w:val="18"/>
        </w:rPr>
        <w:t>Klingler TM et al.  ·  Eur J Cancer  ·  11.09.2026  ·  PMID 42743885</w:t>
      </w:r>
    </w:p>
    <w:p>
      <w:r>
        <w:t>Sekundäranalyse der deutschen Phase-II-Studie VOLFI (AIO-KRK 0109) mit 105 randomisierten Patienten, die den Effekt von mFOLFOXIRI + Panitumumab vs. FOLFOXIRI auf Lebensqualität (EORTC QLQ-C30) untersuchte.</w:t>
      </w:r>
    </w:p>
    <w:p>
      <w:r>
        <w:rPr>
          <w:b/>
        </w:rPr>
        <w:t xml:space="preserve">Ergebnis: </w:t>
      </w:r>
      <w:r>
        <w:t>77 Patienten (51 vs. 26) führten ≥1 Lebensqualitäts-Fragebogen aus. Nach 12 Wochen keine statistisch signifikanten Unterschiede in Gesamt-HRQoL oder spezifischen Dimensionen. Patienten mit mFOLFOXIRI + Panitumumab mit Hautotoxizität zeigten trotz Toxizität keine assoziierte Lebensqualitätsverschlechterung. mFOLFOXIRI + Panitumumab war nicht mit schlechterer HRQoL assoziiert.</w:t>
      </w:r>
    </w:p>
    <w:p>
      <w:r>
        <w:rPr>
          <w:b/>
          <w:sz w:val="19"/>
        </w:rPr>
        <w:t xml:space="preserve">Übertragbarkeit: </w:t>
      </w:r>
      <w:r>
        <w:rPr>
          <w:sz w:val="19"/>
        </w:rPr>
        <w:t>Deutschland: Alle Zentren Charité und LMU München – direkt übertragbar</w:t>
      </w:r>
    </w:p>
    <w:p>
      <w:r>
        <w:rPr>
          <w:color w:val="5A7D3A"/>
          <w:sz w:val="18"/>
        </w:rPr>
        <w:t>https://pubmed.ncbi.nlm.nih.gov/42743885/</w:t>
      </w:r>
    </w:p>
    <w:p>
      <w:pPr>
        <w:pStyle w:val="Heading2"/>
      </w:pPr>
      <w:r>
        <w:t>Ältere Brustkrebs-Patienten haben häufiger PIK3CA-Mutationen und höhere Tumorlast</w:t>
      </w:r>
    </w:p>
    <w:p>
      <w:r>
        <w:rPr>
          <w:i/>
          <w:color w:val="666666"/>
          <w:sz w:val="18"/>
        </w:rPr>
        <w:t>Gupta H et al.  ·  ESMO Open  ·  14.09.2026  ·  PMID 42735455</w:t>
      </w:r>
    </w:p>
    <w:p>
      <w:r>
        <w:t>Studie von 2.379 Patienten mit metastasiertem Brustkrebs (853 jung, 1.311 mittleres Alter, 215 älter ≥70 Jahre) verglich Tumor-Genomlandschaft mittels Zielsequenzierung (OncoPanel) nach Altersgruppe.</w:t>
      </w:r>
    </w:p>
    <w:p>
      <w:r>
        <w:rPr>
          <w:b/>
        </w:rPr>
        <w:t xml:space="preserve">Ergebnis: </w:t>
      </w:r>
      <w:r>
        <w:t>Ältere Patienten zeigten höhere Häufigkeit von SNVs in PIK3CA (44%), TP53 (33%), CDH1 (22%). Nach Adjustierung war hohes Alter assoziiert mit mehr PIK3CA-SNVs (OR 1,21; 95%-KI 1,11–1,31; q&lt;0,001), CDH1-SNVs (OR 1,43; 95%-KI 1,21–1,68) und 26% mit ≥10 Mutationen/Mb (vs. 17% bei Jüngsten). Diese Unterschiede waren unabhängig von Tumorsubtyp.</w:t>
      </w:r>
    </w:p>
    <w:p>
      <w:r>
        <w:rPr>
          <w:b/>
          <w:sz w:val="19"/>
        </w:rPr>
        <w:t xml:space="preserve">Übertragbarkeit: </w:t>
      </w:r>
      <w:r>
        <w:rPr>
          <w:sz w:val="19"/>
        </w:rPr>
        <w:t>USA-Klinik: Vergleichbare Versicherungssysteme bei Umsetzung, genomische Testung in Deutschland ebenfalls Standard</w:t>
      </w:r>
    </w:p>
    <w:p>
      <w:r>
        <w:rPr>
          <w:color w:val="5A7D3A"/>
          <w:sz w:val="18"/>
        </w:rPr>
        <w:t>https://pubmed.ncbi.nlm.nih.gov/42735455/</w:t>
      </w:r>
    </w:p>
    <w:p>
      <w:pPr>
        <w:pStyle w:val="Heading2"/>
      </w:pPr>
      <w:r>
        <w:t>Immuntyp-Transition vorhersagt Checkpoint-Inhibitor-Anspruch besser als Ausgangszustand</w:t>
      </w:r>
    </w:p>
    <w:p>
      <w:r>
        <w:rPr>
          <w:i/>
          <w:color w:val="666666"/>
          <w:sz w:val="18"/>
        </w:rPr>
        <w:t>Lin Z et al.  ·  Cancer Cell  ·  14.09.2026  ·  PMID 42679812</w:t>
      </w:r>
    </w:p>
    <w:p>
      <w:r>
        <w:t>Longitudinale Single-Cell-RNA-Sequenzierung von 441 Proben aus 241 Patienten mit zehn Krebsentitäten untersuchte die Umgestaltung der Tumor-Immunmikroumgebung (TIME) unter Checkpoint-Inhibitor-Therapie und entwickelte eine prädiktive Signatur.</w:t>
      </w:r>
    </w:p>
    <w:p>
      <w:r>
        <w:rPr>
          <w:b/>
        </w:rPr>
        <w:t xml:space="preserve">Ergebnis: </w:t>
      </w:r>
      <w:r>
        <w:t>~40% der Tumore wechselten während Therapie zwischen TIME-Subtypen. Der Übergang (nicht der Ausgangszustand) war prognostischer: Günstige Übergänge zu entzündetem oder B-Zell-angereichertem Subtyp korrelierten mit verbessertem Ansprechen und Überleben. Eine 59-Gen-Signatur sagte Ansprechen und Überleben in 1.383 Baseline-Tumoren über 19 unabhängige Kohorten vorher (HR 2,15; KI-range über Publikationen relevant).</w:t>
      </w:r>
    </w:p>
    <w:p>
      <w:r>
        <w:rPr>
          <w:b/>
          <w:sz w:val="19"/>
        </w:rPr>
        <w:t xml:space="preserve">Übertragbarkeit: </w:t>
      </w:r>
      <w:r>
        <w:rPr>
          <w:sz w:val="19"/>
        </w:rPr>
        <w:t>International/Multi-Entity: Prinzipien auf deutsche Zentren mit Liquid Biopsy/Tumorboard anwendbar</w:t>
      </w:r>
    </w:p>
    <w:p>
      <w:r>
        <w:rPr>
          <w:color w:val="5A7D3A"/>
          <w:sz w:val="18"/>
        </w:rPr>
        <w:t>https://pubmed.ncbi.nlm.nih.gov/42679812/</w:t>
      </w:r>
    </w:p>
    <w:p>
      <w:pPr>
        <w:pStyle w:val="Heading1"/>
      </w:pPr>
      <w:r>
        <w:t>Aufgenommen am 15.09.2026</w:t>
      </w:r>
    </w:p>
    <w:p>
      <w:pPr>
        <w:pStyle w:val="Heading2"/>
      </w:pPr>
      <w:r>
        <w:t>HDR-Brachytherapie nach Strahlentherapie bei älteren Rektumkarzinom-Patienten: lokale Kontrolle bei 80 %</w:t>
      </w:r>
    </w:p>
    <w:p>
      <w:r>
        <w:rPr>
          <w:i/>
          <w:color w:val="666666"/>
          <w:sz w:val="18"/>
        </w:rPr>
        <w:t>Kristen A et al.  ·  Strahlenther Onkol  ·  14.09.2026  ·  PMID 42734824</w:t>
      </w:r>
    </w:p>
    <w:p>
      <w:r>
        <w:t>15 ältere/infirme Patienten mit Rektumkarzinom erhielten kombiniert externe Strahlentherapie (30-39 Gy/10-13 Fraktionen) und endorektale Hochdosis-Brachytherapie (12-24 Gy/2-3 Fraktionen); eine organerhaltende Methode für Operationsunfähige.</w:t>
      </w:r>
    </w:p>
    <w:p>
      <w:r>
        <w:rPr>
          <w:b/>
        </w:rPr>
        <w:t xml:space="preserve">Ergebnis: </w:t>
      </w:r>
      <w:r>
        <w:t>Nach 21 Monaten Median-Follow-up erreichten 12 von 15 Patienten (80 %) klinische komplette (n=6) oder nahezu komplette Remission (n=6); 4 Patienten (33 %) entwickelten später lokales Rezidiv, 4 (27 %) Fernmetastasen. Grad-3-Toxizität: 67 % Proktitis, 20 % schwere Rektalblutung (3 Patienten). Sicherheits- und Dosisoptimierungsfragen bleiben, besonders bei Antikoagulation.</w:t>
      </w:r>
    </w:p>
    <w:p>
      <w:r>
        <w:rPr>
          <w:b/>
          <w:sz w:val="19"/>
        </w:rPr>
        <w:t xml:space="preserve">Übertragbarkeit: </w:t>
      </w:r>
      <w:r>
        <w:rPr>
          <w:sz w:val="19"/>
        </w:rPr>
        <w:t>Deutschland, einzelzentrisch; Ansatz für zertifizierte Zentren mit Brachytherapie-Expertise geeignet</w:t>
      </w:r>
    </w:p>
    <w:p>
      <w:r>
        <w:rPr>
          <w:color w:val="5A7D3A"/>
          <w:sz w:val="18"/>
        </w:rPr>
        <w:t>https://pubmed.ncbi.nlm.nih.gov/42734824/</w:t>
      </w:r>
    </w:p>
    <w:p>
      <w:pPr>
        <w:pStyle w:val="Heading2"/>
      </w:pPr>
      <w:r>
        <w:t>Tambotatug Pelitecan (B7-H3-ADC) bei kleinzelligem Lungenkarzinom nach Platin: OS-Vorteil gegenüber Topotekan</w:t>
      </w:r>
    </w:p>
    <w:p>
      <w:r>
        <w:rPr>
          <w:i/>
          <w:color w:val="666666"/>
          <w:sz w:val="18"/>
        </w:rPr>
        <w:t>Zhao Y et al.  ·  N Engl J Med  ·  12.09.2026  ·  PMID 42734213</w:t>
      </w:r>
    </w:p>
    <w:p>
      <w:r>
        <w:t>Phase-III-TAISHAN-302, China: 451 Patienten mit rezidivierendem SCLC nach Platin-basierter Erstlinien-Therapie, randomisiert 1:1 zu Tambotatug Pelitecan (neuer B7-H3-zielgerichteter Antikörper-Wirkstoff-Konjugat) versus Topotekan; Interim-Analyse.</w:t>
      </w:r>
    </w:p>
    <w:p>
      <w:r>
        <w:rPr>
          <w:b/>
        </w:rPr>
        <w:t xml:space="preserve">Ergebnis: </w:t>
      </w:r>
      <w:r>
        <w:t>Median-OS: 13,3 Monate (Tam-Peli) vs. 9,4 Monate (Topotekan), HR 0,46 (95% KI 0,35–0,62, p&lt;0,001). Median-PFS: 7,4 vs. 2,8 Monate, HR 0,29 (p&lt;0,001). ORR: 59,1% vs. 9,7% (p&lt;0,001). Grad-≥3-AE: 55,4% vs. 77,9% (Tam-Peli günstiger). Diese Ergebnisse könnten neuen Standard für rezidiviertes SCLC begründen.</w:t>
      </w:r>
    </w:p>
    <w:p>
      <w:r>
        <w:rPr>
          <w:b/>
          <w:sz w:val="19"/>
        </w:rPr>
        <w:t xml:space="preserve">Übertragbarkeit: </w:t>
      </w:r>
      <w:r>
        <w:rPr>
          <w:sz w:val="19"/>
        </w:rPr>
        <w:t>China-Studie, globales Design; Zulassungsantrag ausstehend, deutsche Verfügbarkeit unklar – USA nur mit Vorbehalt übertragbar</w:t>
      </w:r>
    </w:p>
    <w:p>
      <w:r>
        <w:rPr>
          <w:color w:val="5A7D3A"/>
          <w:sz w:val="18"/>
        </w:rPr>
        <w:t>https://pubmed.ncbi.nlm.nih.gov/42734213/</w:t>
      </w:r>
    </w:p>
    <w:p>
      <w:pPr>
        <w:pStyle w:val="Heading2"/>
      </w:pPr>
      <w:r>
        <w:t>Tumoren unterdrücken T-Zell-Immunität durch Antioxidanzien – PRDX1 als therapeutisches Target</w:t>
      </w:r>
    </w:p>
    <w:p>
      <w:r>
        <w:rPr>
          <w:i/>
          <w:color w:val="666666"/>
          <w:sz w:val="18"/>
        </w:rPr>
        <w:t>Wesolowski AJ et al.  ·  Science  ·  03.09.2026  ·  PMID 42691162</w:t>
      </w:r>
    </w:p>
    <w:p>
      <w:r>
        <w:t>Grundlagenwerk zur Immunsuppression durch tumorales Peroxiredoxin-1 (PRDX1): Forschung zeigt, dass Tumoren Antioxidanzien in ihre Umgebung freisetzen und T-Zellen damit ihrer reaktiven Sauerstoffspezies berauben, was deren Signalübertragung blockiert.</w:t>
      </w:r>
    </w:p>
    <w:p>
      <w:r>
        <w:rPr>
          <w:b/>
        </w:rPr>
        <w:t xml:space="preserve">Ergebnis: </w:t>
      </w:r>
      <w:r>
        <w:t>PRDX1-Mangel in Tumoren verstärkte Antitumor-Immunität und verbesserte Immuntherapie-Antworten in Mausmodellen; Liquid Biopsy könnte PRDX1-Spiegel messen. Der Befund eröffnet neuen therapeutischen Ansatz: PRDX1-Inhibition könnte Immuntherapie-Resistenz überwinden.</w:t>
      </w:r>
    </w:p>
    <w:p>
      <w:r>
        <w:rPr>
          <w:b/>
          <w:sz w:val="19"/>
        </w:rPr>
        <w:t xml:space="preserve">Übertragbarkeit: </w:t>
      </w:r>
      <w:r>
        <w:rPr>
          <w:sz w:val="19"/>
        </w:rPr>
        <w:t>Präklinisch; klinischer Weg unklar, aber identifiziertes Targetprotein (PRDX1) ist actionable für Therapeutika-Entwicklung</w:t>
      </w:r>
    </w:p>
    <w:p>
      <w:r>
        <w:rPr>
          <w:color w:val="5A7D3A"/>
          <w:sz w:val="18"/>
        </w:rPr>
        <w:t>https://pubmed.ncbi.nlm.nih.gov/42691162/</w:t>
      </w:r>
    </w:p>
    <w:p>
      <w:pPr>
        <w:pStyle w:val="Heading2"/>
      </w:pPr>
      <w:r>
        <w:t>Real-World-Evidence zur Zulassung von Krebsmedikamenten: 18 Anträge mit Single-Arm-Trials und RWE, 2022–2025</w:t>
      </w:r>
    </w:p>
    <w:p>
      <w:r>
        <w:rPr>
          <w:i/>
          <w:color w:val="666666"/>
          <w:sz w:val="18"/>
        </w:rPr>
        <w:t>Su L et al.  ·  Oncologist  ·  06.08.2026  ·  PMID 42664160</w:t>
      </w:r>
    </w:p>
    <w:p>
      <w:r>
        <w:t>Analyse von 200 Onkologie-Zulassungen (FDA 134, EMA 66) 2022–2025: 18 Anträge (7 FDA, 11 EMA) kombiniert Single-Arm-Trials mit Real-World-Evidence; meist für Hämatologika (53 %), Hälfte auf elektronischen Krankenhauspflichten basiert.</w:t>
      </w:r>
    </w:p>
    <w:p>
      <w:r>
        <w:rPr>
          <w:b/>
        </w:rPr>
        <w:t xml:space="preserve">Ergebnis: </w:t>
      </w:r>
      <w:r>
        <w:t>RWE diente in 2 Fällen als "substantive evidence", ansonsten als kontextuell/supportiv. Häufige Mängel: kleine Fallzahlen, Population-Heterogenität, fehlende Kovariaten, non-kontempore Vergleiche, Post-hoc-Design. Regulatoren bestätigen methodologische Grenzen; Harmonisierung regulatorischer Guidance ist notwendig.</w:t>
      </w:r>
    </w:p>
    <w:p>
      <w:r>
        <w:rPr>
          <w:b/>
          <w:sz w:val="19"/>
        </w:rPr>
        <w:t xml:space="preserve">Übertragbarkeit: </w:t>
      </w:r>
      <w:r>
        <w:rPr>
          <w:sz w:val="19"/>
        </w:rPr>
        <w:t>USA-Zulassungssystem und EMA; Übertrag auf deutsches AMNOG-Verfahren begrenzt – AMNOG verlangt höhere RCT-Standard</w:t>
      </w:r>
    </w:p>
    <w:p>
      <w:r>
        <w:rPr>
          <w:color w:val="5A7D3A"/>
          <w:sz w:val="18"/>
        </w:rPr>
        <w:t>https://pubmed.ncbi.nlm.nih.gov/42664160/</w:t>
      </w:r>
    </w:p>
    <w:p>
      <w:pPr>
        <w:pStyle w:val="Heading2"/>
      </w:pPr>
      <w:r>
        <w:t>Dosiseskalation (80 Gy) bei Hochrisiko-Prostatakarzinom erhöht 10-Jahres-PFS deutlich</w:t>
      </w:r>
    </w:p>
    <w:p>
      <w:r>
        <w:rPr>
          <w:i/>
          <w:color w:val="666666"/>
          <w:sz w:val="18"/>
        </w:rPr>
        <w:t>Hennequin C et al.  ·  Lancet Oncol  ·  Sept. 2026  ·  PMID 42636837</w:t>
      </w:r>
    </w:p>
    <w:p>
      <w:r>
        <w:t>Französische Phase-III-Studie (GETUG-AFU-18) mit 505 Patienten mit hochrisiko Prostatakarzinom: Vergleich externe Strahlentherapie 80 Gy versus 70 Gy, kombiniert mit Langzeit-Androgenentzug, über 9,5 Jahre Median-Follow-up.</w:t>
      </w:r>
    </w:p>
    <w:p>
      <w:r>
        <w:rPr>
          <w:b/>
        </w:rPr>
        <w:t xml:space="preserve">Ergebnis: </w:t>
      </w:r>
      <w:r>
        <w:t>10-Jahres-PFS: 83,6 % (80-Gy-Arm) vs. 72,2 % (70-Gy-Arm), Hazard Ratio 0,56 (95% KI 0,40–0,78, p&lt;0,0001). 5-Jahres-PFS: 91,4 % vs. 88,1 %. Grad-3-Toxizität akut 24–25 %, spät 7–8 % in beiden Gruppen. Sexuelle und urogenitale Nebenwirkungen waren frequent, aber nicht unterschiedlich.</w:t>
      </w:r>
    </w:p>
    <w:p>
      <w:r>
        <w:rPr>
          <w:b/>
          <w:sz w:val="19"/>
        </w:rPr>
        <w:t xml:space="preserve">Übertragbarkeit: </w:t>
      </w:r>
      <w:r>
        <w:rPr>
          <w:sz w:val="19"/>
        </w:rPr>
        <w:t>Frankreich, vergleichbare Versicherungsstruktur; deutsche S3-Leitlinien zu Hochrisiko-Prostata-Strahlentherapie sollten Dosiseskalation prüfen</w:t>
      </w:r>
    </w:p>
    <w:p>
      <w:r>
        <w:rPr>
          <w:color w:val="5A7D3A"/>
          <w:sz w:val="18"/>
        </w:rPr>
        <w:t>https://pubmed.ncbi.nlm.nih.gov/42636837/</w:t>
      </w:r>
    </w:p>
    <w:p>
      <w:pPr>
        <w:pStyle w:val="Heading2"/>
      </w:pPr>
      <w:r>
        <w:t>Adjuvant Alectinib (600 mg b.i.d. × 24 Monate) bei ALK-positivem NSCLC nach Resektion: verträglicher, Lebensqualität erhalten</w:t>
      </w:r>
    </w:p>
    <w:p>
      <w:r>
        <w:rPr>
          <w:i/>
          <w:color w:val="666666"/>
          <w:sz w:val="18"/>
        </w:rPr>
        <w:t>Dziadziuszko R et al.  ·  Lancet Oncol  ·  Sept. 2026  ·  PMID 42636834</w:t>
      </w:r>
    </w:p>
    <w:p>
      <w:r>
        <w:t>Phase-III-ALINA-Studie, 257 Patienten mit reseziertem ALK+NSCLC (Stadium IB–IIIA): Vergleich Adjuvant-Alectinib versus Platinum-basierte Chemotherapie; Nebenwirkungen und Lebensqualität (SF-36v2) werden berichtet; Disease-Free-Survival bereits publiziert.</w:t>
      </w:r>
    </w:p>
    <w:p>
      <w:r>
        <w:rPr>
          <w:b/>
        </w:rPr>
        <w:t xml:space="preserve">Ergebnis: </w:t>
      </w:r>
      <w:r>
        <w:t>Schwergrad 3–4-AE mit Alectinib: 6% (CPK-Anstieg), vs. Chemotherapie 10% (Neutropenie). Therapie-Abbrüche: 5% vs. 13% (signifikant weniger mit Alectinib). SF-36v2-Domänen (Körperschmerz, Rollenfunktion, psychische Gesundheit, soziale Funktion, Vitalität) zeigten klinisch bedeutsame Verbesserung ab Woche 12; Scores blieben über 2 Jahre stabil bei Populationsnorm (50).</w:t>
      </w:r>
    </w:p>
    <w:p>
      <w:r>
        <w:rPr>
          <w:b/>
          <w:sz w:val="19"/>
        </w:rPr>
        <w:t xml:space="preserve">Übertragbarkeit: </w:t>
      </w:r>
      <w:r>
        <w:rPr>
          <w:sz w:val="19"/>
        </w:rPr>
        <w:t>International; Alectinib bereits in Deutschland zugelassen, Verträglichkeitsdaten unterstützen adjuvante Standardisierung</w:t>
      </w:r>
    </w:p>
    <w:p>
      <w:r>
        <w:rPr>
          <w:color w:val="5A7D3A"/>
          <w:sz w:val="18"/>
        </w:rPr>
        <w:t>https://pubmed.ncbi.nlm.nih.gov/42636834/</w:t>
      </w:r>
    </w:p>
    <w:p>
      <w:pPr>
        <w:pStyle w:val="Heading2"/>
      </w:pPr>
      <w:r>
        <w:t>Durvalumab+Tremelimumab+Lenvatinib+TACE versus TACE allein bei Hepatozellulärem Karzinom: PFS-Vorteil</w:t>
      </w:r>
    </w:p>
    <w:p>
      <w:r>
        <w:rPr>
          <w:i/>
          <w:color w:val="666666"/>
          <w:sz w:val="18"/>
        </w:rPr>
        <w:t>Kudo M et al.  ·  Lancet Oncol  ·  Sept. 2026  ·  PMID 42636832</w:t>
      </w:r>
    </w:p>
    <w:p>
      <w:r>
        <w:t>Phase-III-Studie EMERALD-3 mit 760 Patienten (embolisierbar, Child-Pugh A): Vergleich STRIDE (Durvalumab+Tremelimumab) mit oder ohne Lenvatinib, kombiniert mit transarterieller Chemoembolisation (TACE), versus TACE allein.</w:t>
      </w:r>
    </w:p>
    <w:p>
      <w:r>
        <w:rPr>
          <w:b/>
        </w:rPr>
        <w:t xml:space="preserve">Ergebnis: </w:t>
      </w:r>
      <w:r>
        <w:t>Median-PFS (STRIDE+Lenvatinib vs. TACE): 13,0 vs. 9,8 Monate, HR 0,70 (95% KI 0,57–0,86, p=0,0007). Median-OS: 39,5 vs. 34,7 Monate, HR 0,84 (p=0,18, nicht signifikant). Grad-3/4-AE: Hypertonie 12% (STRIDE+Lenvatinib), post-embolization-Syndrom 6% (STRIDE+TACE). 7 Treatment-Related Deaths (2%). STRIDE-Regimen als neuer Standard empfohlen.</w:t>
      </w:r>
    </w:p>
    <w:p>
      <w:r>
        <w:rPr>
          <w:b/>
          <w:sz w:val="19"/>
        </w:rPr>
        <w:t xml:space="preserve">Übertragbarkeit: </w:t>
      </w:r>
      <w:r>
        <w:rPr>
          <w:sz w:val="19"/>
        </w:rPr>
        <w:t>Global, inklusive europäischer Zentren; Zulassung in Genehmigungsverfahren, AMNOG-Bewertung ausstehend</w:t>
      </w:r>
    </w:p>
    <w:p>
      <w:r>
        <w:rPr>
          <w:color w:val="5A7D3A"/>
          <w:sz w:val="18"/>
        </w:rPr>
        <w:t>https://pubmed.ncbi.nlm.nih.gov/42636832/</w:t>
      </w:r>
    </w:p>
    <w:p>
      <w:pPr>
        <w:pStyle w:val="Heading1"/>
      </w:pPr>
      <w:r>
        <w:t>Aufgenommen am 14.09.2026</w:t>
      </w:r>
    </w:p>
    <w:p>
      <w:pPr>
        <w:pStyle w:val="Heading2"/>
      </w:pPr>
      <w:r>
        <w:t>Teclistamab in smolderendem Myelom hocheffektiv: Phase-2-Trial</w:t>
      </w:r>
    </w:p>
    <w:p>
      <w:r>
        <w:rPr>
          <w:i/>
          <w:color w:val="666666"/>
          <w:sz w:val="18"/>
        </w:rPr>
        <w:t>Nadeem O et al.  ·  Nat Med  ·  11.09.2026  ·  PMID 42728379</w:t>
      </w:r>
    </w:p>
    <w:p>
      <w:r>
        <w:t>Randomisierte Phase-2-ImmunoPRISM-Studie verglich Teclistamab (BCMA-Bispecific Antibody, Fixdauer) mit Lenalidomid/Dexamethason bei 59 Patienten mit Hochrisiko-smolderendem multiplem Myelom.</w:t>
      </w:r>
    </w:p>
    <w:p>
      <w:r>
        <w:rPr>
          <w:b/>
        </w:rPr>
        <w:t xml:space="preserve">Ergebnis: </w:t>
      </w:r>
      <w:r>
        <w:t>Teclistamab: komplette Remission 77,8% vs. 0% (Rd); minimale Resterkrankung-Negativität (10-5) 82,2%; 2-Jahres-Progressionsfreies Überleben 92% vs. 49%; Grad 1–2 Zytokine-Freisetzung, kein Grade-3-Infektionsanstieg, keine Todesfälle.</w:t>
      </w:r>
    </w:p>
    <w:p>
      <w:r>
        <w:rPr>
          <w:b/>
          <w:sz w:val="19"/>
        </w:rPr>
        <w:t xml:space="preserve">Übertragbarkeit: </w:t>
      </w:r>
      <w:r>
        <w:rPr>
          <w:sz w:val="19"/>
        </w:rPr>
        <w:t>Phasen-2-Studie mit Potential für Frühintervention; internationale Prüfung, Übertragbarkeit begrenzt bis zur Phase-3-Validierung.</w:t>
      </w:r>
    </w:p>
    <w:p>
      <w:r>
        <w:rPr>
          <w:color w:val="5A7D3A"/>
          <w:sz w:val="18"/>
        </w:rPr>
        <w:t>https://pubmed.ncbi.nlm.nih.gov/42728379/</w:t>
      </w:r>
    </w:p>
    <w:p>
      <w:pPr>
        <w:pStyle w:val="Heading2"/>
      </w:pPr>
      <w:r>
        <w:t>HCC-Management in Asien nach europäischen Leitlinien adaptiert</w:t>
      </w:r>
    </w:p>
    <w:p>
      <w:r>
        <w:rPr>
          <w:i/>
          <w:color w:val="666666"/>
          <w:sz w:val="18"/>
        </w:rPr>
        <w:t>Tan CK et al.  ·  ESMO Open  ·  09.07.2026  ·  PMID 42660571</w:t>
      </w:r>
    </w:p>
    <w:p>
      <w:r>
        <w:t>Pan-asiatische Expertengruppe adaptierte ESMO-Leitlinien zu Diagnose, Therapie und Nachsorge des Hepatozellulären Karzinoms für zehn asiatische Länder.</w:t>
      </w:r>
    </w:p>
    <w:p>
      <w:r>
        <w:rPr>
          <w:b/>
        </w:rPr>
        <w:t xml:space="preserve">Ergebnis: </w:t>
      </w:r>
      <w:r>
        <w:t>Konsens-Richtlinie mit regionsspezifischen Empfehlungen verabschiedet; Fokus auf harmonisierte Behandlung und Zugang trotz regionaler Unterschiede in Arzneimittelzulassung und Erstattung.</w:t>
      </w:r>
    </w:p>
    <w:p>
      <w:r>
        <w:rPr>
          <w:b/>
          <w:sz w:val="19"/>
        </w:rPr>
        <w:t xml:space="preserve">Übertragbarkeit: </w:t>
      </w:r>
      <w:r>
        <w:rPr>
          <w:sz w:val="19"/>
        </w:rPr>
        <w:t>Internationale Leitlinie mit europäischen Standards, aber auch asiatischen Besonderheiten; teilweise auf deutsches System übertragbar.</w:t>
      </w:r>
    </w:p>
    <w:p>
      <w:r>
        <w:rPr>
          <w:color w:val="5A7D3A"/>
          <w:sz w:val="18"/>
        </w:rPr>
        <w:t>https://pubmed.ncbi.nlm.nih.gov/42660571/</w:t>
      </w:r>
    </w:p>
    <w:p>
      <w:pPr>
        <w:pStyle w:val="Heading2"/>
      </w:pPr>
      <w:r>
        <w:t>Epigenetisches Altern in Dickdarmgewebe zeigt Lebensstilfaktoren-Einfluss</w:t>
      </w:r>
    </w:p>
    <w:p>
      <w:r>
        <w:rPr>
          <w:i/>
          <w:color w:val="666666"/>
          <w:sz w:val="18"/>
        </w:rPr>
        <w:t>Hardikar S et al.  ·  J Natl Cancer Inst  ·  25.08.2026  ·  PMID 42640567</w:t>
      </w:r>
    </w:p>
    <w:p>
      <w:r>
        <w:t>Analyse von epigenetischen Alterungsmodellen (Horvath, Hannum, Zhang u.a.) in Kolonialgewebe von 554 Proben (96 normal, 245 angrenzend, 208 Tumore) zur Untersuchung von Zusammenhängen mit Lebensstilfaktoren und Krebsentwicklung.</w:t>
      </w:r>
    </w:p>
    <w:p>
      <w:r>
        <w:rPr>
          <w:b/>
        </w:rPr>
        <w:t xml:space="preserve">Ergebnis: </w:t>
      </w:r>
      <w:r>
        <w:t>Horvath-Modell zeigte beste Korrelation mit chronologischem Alter (r &gt;0,70) in normalem Gewebe; signifikante Alters-Beschleunigung in tumoren vs. normal/angrenzend bei allen Modellen; körperliche Aktivität (PhenoAge), Rauchen (GrimAge) und Alkoholkonsum (Horvath, Mitose-Uhren) assoziiert mit epigenetischem Altern in angrenzender Mukosa.</w:t>
      </w:r>
    </w:p>
    <w:p>
      <w:r>
        <w:rPr>
          <w:b/>
          <w:sz w:val="19"/>
        </w:rPr>
        <w:t xml:space="preserve">Übertragbarkeit: </w:t>
      </w:r>
      <w:r>
        <w:rPr>
          <w:sz w:val="19"/>
        </w:rPr>
        <w:t>USA/deutsche Zentren, diverse Populationen; Grundlagenforschung zu Risikostratifikation.</w:t>
      </w:r>
    </w:p>
    <w:p>
      <w:r>
        <w:rPr>
          <w:color w:val="5A7D3A"/>
          <w:sz w:val="18"/>
        </w:rPr>
        <w:t>https://pubmed.ncbi.nlm.nih.gov/42640567/</w:t>
      </w:r>
    </w:p>
    <w:p>
      <w:pPr>
        <w:pStyle w:val="Heading2"/>
      </w:pPr>
      <w:r>
        <w:t>Tebentafusp gegen Uveales Melanom im UK-Programm wirksam wie Phase-3-Daten</w:t>
      </w:r>
    </w:p>
    <w:p>
      <w:r>
        <w:rPr>
          <w:i/>
          <w:color w:val="666666"/>
          <w:sz w:val="18"/>
        </w:rPr>
        <w:t>Joseph M et al.  ·  Oncologist  ·  09.09.2026  ·  PMID 42640561</w:t>
      </w:r>
    </w:p>
    <w:p>
      <w:r>
        <w:t>Retrospektive Real-World-Effektivitäts- und Toxizitäts-Analyse der UK Expanded Access Programme (EAP) mit 88 Patienten mit metastasiertem uvealen Melanom, behandelt Juli 2021–Juni 2023.</w:t>
      </w:r>
    </w:p>
    <w:p>
      <w:r>
        <w:rPr>
          <w:b/>
        </w:rPr>
        <w:t xml:space="preserve">Ergebnis: </w:t>
      </w:r>
      <w:r>
        <w:t>Medianes Gesamtüberleben 21 Monate (95%-KI 17-NR); medianes progressionsfreies Überleben 2,76 Monate (95%-KI 2,53–3,22); 12-Monats-Überlebenrate 75% (95%-KI 66,1–85,6); niedrigere LDH und niedrigere Leberlastung tendierten zu besserem Überleben; LDH ≥2× obere Normgrenze zeigte sehr schlechte Prognose; keine Grade ≥3 Toxizität nach Dosis 5.</w:t>
      </w:r>
    </w:p>
    <w:p>
      <w:r>
        <w:rPr>
          <w:b/>
          <w:sz w:val="19"/>
        </w:rPr>
        <w:t xml:space="preserve">Übertragbarkeit: </w:t>
      </w:r>
      <w:r>
        <w:rPr>
          <w:sz w:val="19"/>
        </w:rPr>
        <w:t>Britisches NHS-System, vergleichbar mit deutschem, Real-World-Evidenz für Kostenträger relevant.</w:t>
      </w:r>
    </w:p>
    <w:p>
      <w:r>
        <w:rPr>
          <w:color w:val="5A7D3A"/>
          <w:sz w:val="18"/>
        </w:rPr>
        <w:t>https://pubmed.ncbi.nlm.nih.gov/42640561/</w:t>
      </w:r>
    </w:p>
    <w:p>
      <w:pPr>
        <w:pStyle w:val="Heading2"/>
      </w:pPr>
      <w:r>
        <w:t>Daratumumab+Lenalidomid verlängert Überleben im älteren Myelom dauerhaft</w:t>
      </w:r>
    </w:p>
    <w:p>
      <w:r>
        <w:rPr>
          <w:i/>
          <w:color w:val="666666"/>
          <w:sz w:val="18"/>
        </w:rPr>
        <w:t>Facon T et al.  ·  Leukemia  ·  24.08.2026  ·  PMID 42637879</w:t>
      </w:r>
    </w:p>
    <w:p>
      <w:r>
        <w:t>Finale Analyse der MAIA-Studie: Randomisierte Phase-III-Prüfung zu Daratumumab+Lenalidomid/Dexamethason (D-Rd) vs. Lenalidomid/Dexamethason (Rd) bei 737 nicht-transplant-fähigen Patienten mit neu diagnostiziertem multiplem Myelom.</w:t>
      </w:r>
    </w:p>
    <w:p>
      <w:r>
        <w:rPr>
          <w:b/>
        </w:rPr>
        <w:t xml:space="preserve">Ergebnis: </w:t>
      </w:r>
      <w:r>
        <w:t>Medianes Gesamtüberleben: 90,3 Monate (D-Rd) vs. 64,1 Monate (Rd), HR 0,67 (95%-KI 0,55–0,82); 7-Jahres-Überleben 53,1% vs. 39,3%; mediane Zeit bis Folgetherapie nicht erreicht vs. 42,4 Monate. Follow-up &gt;7 Jahre.</w:t>
      </w:r>
    </w:p>
    <w:p>
      <w:r>
        <w:rPr>
          <w:b/>
          <w:sz w:val="19"/>
        </w:rPr>
        <w:t xml:space="preserve">Übertragbarkeit: </w:t>
      </w:r>
      <w:r>
        <w:rPr>
          <w:sz w:val="19"/>
        </w:rPr>
        <w:t>Multinationale Studie; Basis für Leitlinienstandard bei älteren Patienten, in Deutschland anwendbar.</w:t>
      </w:r>
    </w:p>
    <w:p>
      <w:r>
        <w:rPr>
          <w:color w:val="5A7D3A"/>
          <w:sz w:val="18"/>
        </w:rPr>
        <w:t>https://pubmed.ncbi.nlm.nih.gov/42637879/</w:t>
      </w:r>
    </w:p>
    <w:p>
      <w:pPr>
        <w:pStyle w:val="Heading2"/>
      </w:pPr>
      <w:r>
        <w:t>Olaparib-Erhaltung bei BRCA-mutiertem Brustkrebs: 6-Jahres-Vorteile halten an</w:t>
      </w:r>
    </w:p>
    <w:p>
      <w:r>
        <w:rPr>
          <w:i/>
          <w:color w:val="666666"/>
          <w:sz w:val="18"/>
        </w:rPr>
        <w:t>Garber JE et al.  ·  Ann Oncol  ·  24.08.2026  ·  PMID 42636977</w:t>
      </w:r>
    </w:p>
    <w:p>
      <w:r>
        <w:t>Dritte geplante Zwischenanalyse der randomisierten Phase-III-OlympiA-Studie zu adjuvantem Olaparib (PARP-Inhibitor) versus Placebo nach Chemotherapie bei 1.836 Patientinnen mit Keimbahn-BRCA-Mutation und HER2-negativem Hochrisiko-Brustkrebs.</w:t>
      </w:r>
    </w:p>
    <w:p>
      <w:r>
        <w:rPr>
          <w:b/>
        </w:rPr>
        <w:t xml:space="preserve">Ergebnis: </w:t>
      </w:r>
      <w:r>
        <w:t>Bei 6,1 Jahren medianer Nachbeobachtung: Invasives rezidivfreies Überleben (HR 0,65; 95%-KI 0,53–0,78), Gesamtüberleben (HR 0,72; 95%-KI 0,56–0,93); 6-Jahres-Überleben 87,5% vs. 83,2%; keine neuen Sicherheitssignale, kein erhöhtes MDS/AML-Risiko (0,4% vs. 0,7%).</w:t>
      </w:r>
    </w:p>
    <w:p>
      <w:r>
        <w:rPr>
          <w:b/>
          <w:sz w:val="19"/>
        </w:rPr>
        <w:t xml:space="preserve">Übertragbarkeit: </w:t>
      </w:r>
      <w:r>
        <w:rPr>
          <w:sz w:val="19"/>
        </w:rPr>
        <w:t>Multinationale Studie mit europäischen und deutschen Zentren; Befund ändert Leitlinienempfehlungen.</w:t>
      </w:r>
    </w:p>
    <w:p>
      <w:r>
        <w:rPr>
          <w:color w:val="5A7D3A"/>
          <w:sz w:val="18"/>
        </w:rPr>
        <w:t>https://pubmed.ncbi.nlm.nih.gov/42636977/</w:t>
      </w:r>
    </w:p>
    <w:p>
      <w:pPr>
        <w:pStyle w:val="Heading1"/>
      </w:pPr>
      <w:r>
        <w:t>Aufgenommen am 13.09.2026</w:t>
      </w:r>
    </w:p>
    <w:p>
      <w:pPr>
        <w:pStyle w:val="Heading2"/>
      </w:pPr>
      <w:r>
        <w:t>Genomische Alterationen in Hirn-Metastasen von Brustkrebs: 76,8 % haben therapeutisch nutzbare Targets</w:t>
      </w:r>
    </w:p>
    <w:p>
      <w:r>
        <w:rPr>
          <w:i/>
          <w:color w:val="666666"/>
          <w:sz w:val="18"/>
        </w:rPr>
        <w:t>Griguolo G et al.  ·  ESMO Open  ·  11.09.2026  ·  PMID 42727421</w:t>
      </w:r>
    </w:p>
    <w:p>
      <w:r>
        <w:t>Whole-exome-Sequenzierung von 56 Hirn-Metastasen-Proben aus Brustkrebs-Patienten zur Identifikation klinisch umsetzbarer genomischer Alterationen nach ESCAT-Kriterien.</w:t>
      </w:r>
    </w:p>
    <w:p>
      <w:r>
        <w:rPr>
          <w:b/>
        </w:rPr>
        <w:t xml:space="preserve">Ergebnis: </w:t>
      </w:r>
      <w:r>
        <w:t>76,8 % zeigten ESCAT-I/II-Alterationen; häufigste waren DNA-Reparatur-Gene (BRCA1/2/PALB2: 53,6 %); biallele Inaktivierung bei 19,6 % (höher bei HER2-negativ: 26 % HR-neg/HER2-neg, 21 % HR-pos/HER2-neg); PIK3CA/AKT1/PTEN-Alterationen in 48,2 %; kein ESR1 in HR-positiven; hotspot PIK3CA bei HER2-positivem assoziiert mit schlechterer Prognose.</w:t>
      </w:r>
    </w:p>
    <w:p>
      <w:r>
        <w:rPr>
          <w:b/>
          <w:sz w:val="19"/>
        </w:rPr>
        <w:t xml:space="preserve">Übertragbarkeit: </w:t>
      </w:r>
      <w:r>
        <w:rPr>
          <w:sz w:val="19"/>
        </w:rPr>
        <w:t>Italienisch-französische Kooperation, ESCAT-Klassifikation europäisch – direkt auf deutsches Targeting-System übertragbar.</w:t>
      </w:r>
    </w:p>
    <w:p>
      <w:r>
        <w:rPr>
          <w:color w:val="5A7D3A"/>
          <w:sz w:val="18"/>
        </w:rPr>
        <w:t>https://pubmed.ncbi.nlm.nih.gov/42727421/</w:t>
      </w:r>
    </w:p>
    <w:p>
      <w:pPr>
        <w:pStyle w:val="Heading2"/>
      </w:pPr>
      <w:r>
        <w:t>Hautkrebs-Bestrahlungen um 79% gestiegen: Trends der Radioonkologie 2015–2022</w:t>
      </w:r>
    </w:p>
    <w:p>
      <w:r>
        <w:rPr>
          <w:i/>
          <w:color w:val="666666"/>
          <w:sz w:val="18"/>
        </w:rPr>
        <w:t>Diefenhardt M et al.  ·  Strahlenther Onkol  ·  11.09.2026  ·  PMID 42726226</w:t>
      </w:r>
    </w:p>
    <w:p>
      <w:r>
        <w:t>Retrospektive Analyse von 8.842 Patienten in einer deutschen Uniklinik-Radiotherapie zwischen 2015 und 2022 zu Trends in Tumorentitäten, Alter und Behandlungsabständen.</w:t>
      </w:r>
    </w:p>
    <w:p>
      <w:r>
        <w:rPr>
          <w:b/>
        </w:rPr>
        <w:t xml:space="preserve">Ergebnis: </w:t>
      </w:r>
      <w:r>
        <w:t>Hautkrebs-Bestrahlungen stiegen um 79 %, Prostata um 10 %, Medianalter von 62 auf 64 Jahre; 47 % der Patienten kamen aus 10-km-Radius; Pandemie 2020-2021 führte zu keinen signifikanten Veränderungen in Patientenzahlen oder Tumortyp-Verteilung.</w:t>
      </w:r>
    </w:p>
    <w:p>
      <w:r>
        <w:rPr>
          <w:b/>
          <w:sz w:val="19"/>
        </w:rPr>
        <w:t xml:space="preserve">Übertragbarkeit: </w:t>
      </w:r>
      <w:r>
        <w:rPr>
          <w:sz w:val="19"/>
        </w:rPr>
        <w:t>Deutsche Uniklinik-Daten, direkt auf deutsches Radiotherapie-Versorgungssystem übertragbar.</w:t>
      </w:r>
    </w:p>
    <w:p>
      <w:r>
        <w:rPr>
          <w:color w:val="5A7D3A"/>
          <w:sz w:val="18"/>
        </w:rPr>
        <w:t>https://pubmed.ncbi.nlm.nih.gov/42726226/</w:t>
      </w:r>
    </w:p>
    <w:p>
      <w:pPr>
        <w:pStyle w:val="Heading2"/>
      </w:pPr>
      <w:r>
        <w:t>Cell-free DNA in Großzelliger B-Zell-Lymphom: technische Anforderungen für Minimal-Residual-Disease-Monitoring</w:t>
      </w:r>
    </w:p>
    <w:p>
      <w:r>
        <w:rPr>
          <w:i/>
          <w:color w:val="666666"/>
          <w:sz w:val="18"/>
        </w:rPr>
        <w:t>Krupka JA et al.  ·  Blood  ·  03.09.2026  ·  PMID 42691013</w:t>
      </w:r>
    </w:p>
    <w:p>
      <w:r>
        <w:t>Narrative Übersichtsarbeit zu ctDNA-Einsatz im diffusen großzelligen B-Zell-Lymphom mit Fokus auf technische Herausforderungen, Assay-Design und klinische Implementierung.</w:t>
      </w:r>
    </w:p>
    <w:p>
      <w:r>
        <w:rPr>
          <w:b/>
        </w:rPr>
        <w:t xml:space="preserve">Ergebnis: </w:t>
      </w:r>
      <w:r>
        <w:t>Tumor-informierte Assays mit mehreren genetischen Markern verbessern Sensitivität des Monitoring substanziell; Standardisierung und prospektive Validierung sind notwendig für Routineimplementierung; niedrige ctDNA-Häufigkeit und Unterscheidung von niedrigen Allel-Fraktionen bleiben Hauptprobleme.</w:t>
      </w:r>
    </w:p>
    <w:p>
      <w:r>
        <w:rPr>
          <w:b/>
          <w:sz w:val="19"/>
        </w:rPr>
        <w:t xml:space="preserve">Übertragbarkeit: </w:t>
      </w:r>
      <w:r>
        <w:rPr>
          <w:sz w:val="19"/>
        </w:rPr>
        <w:t>Technisches Review ohne spezifische Zahlen, eher Empfehlungscharakter; europäische Kontributoren.</w:t>
      </w:r>
    </w:p>
    <w:p>
      <w:r>
        <w:rPr>
          <w:color w:val="5A7D3A"/>
          <w:sz w:val="18"/>
        </w:rPr>
        <w:t>https://pubmed.ncbi.nlm.nih.gov/42691013/</w:t>
      </w:r>
    </w:p>
    <w:p>
      <w:pPr>
        <w:pStyle w:val="Heading2"/>
      </w:pPr>
      <w:r>
        <w:t>Tumor-Protein ADAMTSL4 treibt Kachexie durch TGFβ-Aktivierung – therapeutisches Ziel identifiziert</w:t>
      </w:r>
    </w:p>
    <w:p>
      <w:r>
        <w:rPr>
          <w:i/>
          <w:color w:val="666666"/>
          <w:sz w:val="18"/>
        </w:rPr>
        <w:t>Machado J et al.  ·  Cancer Discov  ·  01.09.2026  ·  PMID 42678278</w:t>
      </w:r>
    </w:p>
    <w:p>
      <w:r>
        <w:t>Mechanistische Studie in Modellen und Patienten mit kolorektalem und Lungenkarzinom zur Rolle von Tumor-Sekretion von ADAMTSL4 in der Pathogenese von Krebs-Kachexie.</w:t>
      </w:r>
    </w:p>
    <w:p>
      <w:r>
        <w:rPr>
          <w:b/>
        </w:rPr>
        <w:t xml:space="preserve">Ergebnis: </w:t>
      </w:r>
      <w:r>
        <w:t>ADAMTSL4-Überexpression machte nicht-kachektische Tumoren zu kachektischen; ADAMTSL4-Knockout reduzierte Muskelatrophie-Signaturen und Kachexie-Schweregrad; erhöhte zirkulierende ADAMTSL4-Level waren mit TGFβ-getriebener Muskelatrophie in Kachexie-Patienten assoziiert; ADAMTSL4-Blockade könnte selektive Therapie ohne systemische TGFβ-Blockade ermöglichen.</w:t>
      </w:r>
    </w:p>
    <w:p>
      <w:r>
        <w:rPr>
          <w:b/>
          <w:sz w:val="19"/>
        </w:rPr>
        <w:t xml:space="preserve">Übertragbarkeit: </w:t>
      </w:r>
      <w:r>
        <w:rPr>
          <w:sz w:val="19"/>
        </w:rPr>
        <w:t>USA-Studie mit deutschen und internationalen Zentren; präklinisches Modell mit klinischer Validierung – Weg zur Therapeutik erkennbar.</w:t>
      </w:r>
    </w:p>
    <w:p>
      <w:r>
        <w:rPr>
          <w:color w:val="5A7D3A"/>
          <w:sz w:val="18"/>
        </w:rPr>
        <w:t>https://pubmed.ncbi.nlm.nih.gov/42678278/</w:t>
      </w:r>
    </w:p>
    <w:p>
      <w:pPr>
        <w:pStyle w:val="Heading2"/>
      </w:pPr>
      <w:r>
        <w:t>Durvalumab perioperativ bei resektablem NSCLC: AEGEAN-Phase-III-Studie verbessert ereignisfreies Überleben</w:t>
      </w:r>
    </w:p>
    <w:p>
      <w:r>
        <w:rPr>
          <w:i/>
          <w:color w:val="666666"/>
          <w:sz w:val="18"/>
        </w:rPr>
        <w:t>Heymach JV et al.  ·  J Clin Oncol  ·  28.08.2026  ·  PMID 42664473</w:t>
      </w:r>
    </w:p>
    <w:p>
      <w:r>
        <w:t>Phase-III-Studie mit 740 Patienten zu neoadjuvanter Chemotherapie plus Durvalumab oder Placebo vor Operation und anschließender adjuvanter Durvalumab/Placebo-Therapie beim resektablen NSCLC Stadium II-IIIB.</w:t>
      </w:r>
    </w:p>
    <w:p>
      <w:r>
        <w:rPr>
          <w:b/>
        </w:rPr>
        <w:t xml:space="preserve">Ergebnis: </w:t>
      </w:r>
      <w:r>
        <w:t>Durvalumab reduzierte ereignisfreies Überleben (HR 0,69; 95%-KI 0,55–0,88), Zahlentrend für progressionsfreies Überleben (HR 0,66) und Gesamtüberleben (HR 0,89); Grad-3/4-Nebenwirkungen unter adjuvanter Therapie: 15,4 % vs. 10,6 % Placebo; Sicherheitsprofil konsistent mit Einzelsubstanzen.</w:t>
      </w:r>
    </w:p>
    <w:p>
      <w:r>
        <w:rPr>
          <w:b/>
          <w:sz w:val="19"/>
        </w:rPr>
        <w:t xml:space="preserve">Übertragbarkeit: </w:t>
      </w:r>
      <w:r>
        <w:rPr>
          <w:sz w:val="19"/>
        </w:rPr>
        <w:t>Internationale Phase-III-Studie mit europäischen Zentren; praxisverändernd bei AMNOG und Zulassung.</w:t>
      </w:r>
    </w:p>
    <w:p>
      <w:r>
        <w:rPr>
          <w:color w:val="5A7D3A"/>
          <w:sz w:val="18"/>
        </w:rPr>
        <w:t>https://pubmed.ncbi.nlm.nih.gov/42664473/</w:t>
      </w:r>
    </w:p>
    <w:p>
      <w:pPr>
        <w:pStyle w:val="Heading2"/>
      </w:pPr>
      <w:r>
        <w:t>Dynamisches Prognose-Modell CIRI2-CLL für Rezidivrisiko nach limitierter Therapie verbessert Vorhersage um bis zu 37 %</w:t>
      </w:r>
    </w:p>
    <w:p>
      <w:r>
        <w:rPr>
          <w:i/>
          <w:color w:val="666666"/>
          <w:sz w:val="18"/>
        </w:rPr>
        <w:t>Al-Sawaf O et al.  ·  J Clin Oncol  ·  27.08.2026  ·  PMID 42659576</w:t>
      </w:r>
    </w:p>
    <w:p>
      <w:r>
        <w:t>Validierungsstudie eines verfeinerten kontinuierlichen Risikoindex (CIRI2-CLL) zur Prognosebestimmung nach limitierter Behandlung der chronischen lymphatischen Leukämie mit Minimal-Residual-Disease-Status.</w:t>
      </w:r>
    </w:p>
    <w:p>
      <w:r>
        <w:rPr>
          <w:b/>
        </w:rPr>
        <w:t xml:space="preserve">Ergebnis: </w:t>
      </w:r>
      <w:r>
        <w:t>CIRI2-CLL zeigte gute Kalibrierung (ca. 5 % Differenz zwischen beobachteter und vorhergesagter Ereigniswahrscheinlichkeit); C-Statistik 0,82–0,98 an allen Zeitpunkten; 14–37 % Verbesserung der PFS-Vorhersage gegenüber MRD und CLL-IPI; 3-Jahres-PFS: 100,0 % (niedrig), 70,2 % (mittel), 10,8 % (hoch); Modell frei verfügbar auf Stanford-Plattform für individualisierte Therapieentscheidung.</w:t>
      </w:r>
    </w:p>
    <w:p>
      <w:r>
        <w:rPr>
          <w:b/>
          <w:sz w:val="19"/>
        </w:rPr>
        <w:t xml:space="preserve">Übertragbarkeit: </w:t>
      </w:r>
      <w:r>
        <w:rPr>
          <w:sz w:val="19"/>
        </w:rPr>
        <w:t>Deutsche CLL-Studiengruppe führend; validiert in europäischen und internationalen Kohorten.</w:t>
      </w:r>
    </w:p>
    <w:p>
      <w:r>
        <w:rPr>
          <w:color w:val="5A7D3A"/>
          <w:sz w:val="18"/>
        </w:rPr>
        <w:t>https://pubmed.ncbi.nlm.nih.gov/42659576/</w:t>
      </w:r>
    </w:p>
    <w:p>
      <w:pPr>
        <w:pStyle w:val="Heading1"/>
      </w:pPr>
      <w:r>
        <w:t>Aufgenommen am 12.09.2026</w:t>
      </w:r>
    </w:p>
    <w:p>
      <w:pPr>
        <w:pStyle w:val="Heading2"/>
      </w:pPr>
      <w:r>
        <w:t>PRO-Symptommonitoring bei Lungenkrebspatienten verlängert Gesamtüberleben um 5 Monate</w:t>
      </w:r>
    </w:p>
    <w:p>
      <w:r>
        <w:rPr>
          <w:i/>
          <w:color w:val="666666"/>
          <w:sz w:val="18"/>
        </w:rPr>
        <w:t>Hassing MJ et al.  ·  Lancet Oncol  ·  11.09.2026  ·  PMID 42727592</w:t>
      </w:r>
    </w:p>
    <w:p>
      <w:r>
        <w:t>Randomisierte niederländische Studie (14 medizinische Zentren, Stepped-Wedge-Design) zur Wirkung wöchentlicher Online-Symptomselbstberichte auf Überleben bei Patienten mit Lung Cancer im Stadium I-IV unter Behandlung.</w:t>
      </w:r>
    </w:p>
    <w:p>
      <w:r>
        <w:rPr>
          <w:b/>
        </w:rPr>
        <w:t xml:space="preserve">Ergebnis: </w:t>
      </w:r>
      <w:r>
        <w:t>Bei 446 Patienten (median 50 Monate Follow-up): Median Overall Survival in der Intervention 26 Monate versus Kontrolle 21 Monate (Hazard Ratio 0,80; 95%-CI 0,63–1,00; p=0,049). Progression-Free Survival zeigte keinen signifikanten Unterschied (HR 0,86; p=0,18). Praxisrelevant: strukturierte Patient-Reported Outcomes ermöglichen 5-Monate-Gewinn bei aktuellen Therapien.</w:t>
      </w:r>
    </w:p>
    <w:p>
      <w:r>
        <w:rPr>
          <w:b/>
          <w:sz w:val="19"/>
        </w:rPr>
        <w:t xml:space="preserve">Übertragbarkeit: </w:t>
      </w:r>
      <w:r>
        <w:rPr>
          <w:sz w:val="19"/>
        </w:rPr>
        <w:t>Niederländische Klinikdaten mit Versorgungsauftrag ähnlich Deutschland</w:t>
      </w:r>
    </w:p>
    <w:p>
      <w:r>
        <w:rPr>
          <w:color w:val="5A7D3A"/>
          <w:sz w:val="18"/>
        </w:rPr>
        <w:t>https://pubmed.ncbi.nlm.nih.gov/42727592/</w:t>
      </w:r>
    </w:p>
    <w:p>
      <w:pPr>
        <w:pStyle w:val="Heading2"/>
      </w:pPr>
      <w:r>
        <w:t>Trastuzumab Botidotin gegenüber Trastuzumab Emtansine: 11,1 vs. 4,4 Monate progressionsfreies Überleben</w:t>
      </w:r>
    </w:p>
    <w:p>
      <w:r>
        <w:rPr>
          <w:i/>
          <w:color w:val="666666"/>
          <w:sz w:val="18"/>
        </w:rPr>
        <w:t>Zhang J et al.  ·  J Clin Oncol  ·  11.09.2026  ·  PMID 42727044</w:t>
      </w:r>
    </w:p>
    <w:p>
      <w:r>
        <w:t>Phase-III-Studie (365 Patienten, China, 57 Zentren) mit randomisierter Direktvergleich zweier HER2-gerichteter Antikörper-Wirkstoff-Konjugate bei vorbehandeltem HER2-positivem metastasiertem Brustkrebs.</w:t>
      </w:r>
    </w:p>
    <w:p>
      <w:r>
        <w:rPr>
          <w:b/>
        </w:rPr>
        <w:t xml:space="preserve">Ergebnis: </w:t>
      </w:r>
      <w:r>
        <w:t>Trastuzumab Botidotin vs. Trastuzumab Emtansine: medianes Progression-Free Survival 11,1 vs. 4,4 Monate (HR 0,39; p&lt;0,0001); Objective Response Rate 76,9% vs. 53,0%. Grade ≥3 unerwünschte Ereignisse 69,8% vs. 63,7%, höchste Inzidenz bei Augenoberflächen-Toxizität (47,7%), aber meist reversibel.</w:t>
      </w:r>
    </w:p>
    <w:p>
      <w:r>
        <w:rPr>
          <w:b/>
          <w:sz w:val="19"/>
        </w:rPr>
        <w:t xml:space="preserve">Übertragbarkeit: </w:t>
      </w:r>
      <w:r>
        <w:rPr>
          <w:sz w:val="19"/>
        </w:rPr>
        <w:t>China-Studie, Botidotin hat EU-Zulassung; Übertragbarkeit für deutsche Zentren gegeben</w:t>
      </w:r>
    </w:p>
    <w:p>
      <w:r>
        <w:rPr>
          <w:color w:val="5A7D3A"/>
          <w:sz w:val="18"/>
        </w:rPr>
        <w:t>https://pubmed.ncbi.nlm.nih.gov/42727044/</w:t>
      </w:r>
    </w:p>
    <w:p>
      <w:pPr>
        <w:pStyle w:val="Heading2"/>
      </w:pPr>
      <w:r>
        <w:t>Lokale Therapie + Immune Checkpoint Inhibitor bei rezidiviertem/metastasiertem Nasopharynxkarzinom: 30,5 vs. 16,8 Monate PFS</w:t>
      </w:r>
    </w:p>
    <w:p>
      <w:r>
        <w:rPr>
          <w:i/>
          <w:color w:val="666666"/>
          <w:sz w:val="18"/>
        </w:rPr>
        <w:t>Chen X et al.  ·  Eur J Cancer  ·  27.08.2026  ·  PMID 42721861</w:t>
      </w:r>
    </w:p>
    <w:p>
      <w:r>
        <w:t>Retrospektive chinesische Studie (223 Patienten, Fudan University Shanghai) zum Vergleich von ICI allein versus lokale Therapie kombiniert mit ICI (LOCI) bei rezidiviertem oder metastasiertem Nasopharynxkarzinom; IPTW und Propensity-Score-Matching zur Confounding-Kontrolle.</w:t>
      </w:r>
    </w:p>
    <w:p>
      <w:r>
        <w:rPr>
          <w:b/>
        </w:rPr>
        <w:t xml:space="preserve">Ergebnis: </w:t>
      </w:r>
      <w:r>
        <w:t>Median Progression-Free Survival mit LOCI 30,53 Monate vs. ICI allein 16,77 Monate (HR 0,524; 95%-CI 0,339–0,785; log-rank p=0,0014). Benefit nach PSM und IPTW-Adjustment bestätigt. Bei lokalem Rezidiv oder Nodusbefall (LRR-NPC): verbessertes Distant-Metastasis-Free-Survival (HR 0,437). Bei Oligometastasen (≤3 Läsionen) ebenfalls PFS-Vorteil (HR 0,458; p=0,0416).</w:t>
      </w:r>
    </w:p>
    <w:p>
      <w:r>
        <w:rPr>
          <w:b/>
          <w:sz w:val="19"/>
        </w:rPr>
        <w:t xml:space="preserve">Übertragbarkeit: </w:t>
      </w:r>
      <w:r>
        <w:rPr>
          <w:sz w:val="19"/>
        </w:rPr>
        <w:t>China, Strahlentherapie mit ICI-Standard auch europäisch; Real-World-Ansatz übertragbar</w:t>
      </w:r>
    </w:p>
    <w:p>
      <w:r>
        <w:rPr>
          <w:color w:val="5A7D3A"/>
          <w:sz w:val="18"/>
        </w:rPr>
        <w:t>https://pubmed.ncbi.nlm.nih.gov/42721861/</w:t>
      </w:r>
    </w:p>
    <w:p>
      <w:pPr>
        <w:pStyle w:val="Heading2"/>
      </w:pPr>
      <w:r>
        <w:t>EORTC QLQ-CHI: erste Lebensqualitätsskala speziell für Kinder mit Krebs (8–14 Jahre)</w:t>
      </w:r>
    </w:p>
    <w:p>
      <w:r>
        <w:rPr>
          <w:i/>
          <w:color w:val="666666"/>
          <w:sz w:val="18"/>
        </w:rPr>
        <w:t>Vetrano C et al.  ·  Eur J Cancer  ·  05.10.2026  ·  PMID 42685381</w:t>
      </w:r>
    </w:p>
    <w:p>
      <w:r>
        <w:t>Mixed-Methods-Studie (Phasen I/II) zur Entwicklung eines EORTC-Fragebogenmoduls; 47 Kinder, 45 Eltern, 22 Fachleute aus 6 Ländern; Leitlinien der EORTC Quality-of-Life Group.</w:t>
      </w:r>
    </w:p>
    <w:p>
      <w:r>
        <w:rPr>
          <w:b/>
        </w:rPr>
        <w:t xml:space="preserve">Ergebnis: </w:t>
      </w:r>
      <w:r>
        <w:t>57 Schlüsselprobleme identifiziert aus 1.200+ initial bewerteten Aspekten (Vergleich Kinder-, Eltern- und Fachperspektive). Kinder präferierten 4 Antwortoptionen (70,0%) und kürzere Recall-Periode (43,3%). Fragebogen mit 50 Items in zwei Skalenbereiche eingeteilt: symptomorientiert und psychosozial. Nächste Schritte: Pilottestung (Phase III/IV), Validierung.</w:t>
      </w:r>
    </w:p>
    <w:p>
      <w:r>
        <w:rPr>
          <w:b/>
          <w:sz w:val="19"/>
        </w:rPr>
        <w:t xml:space="preserve">Übertragbarkeit: </w:t>
      </w:r>
      <w:r>
        <w:rPr>
          <w:sz w:val="19"/>
        </w:rPr>
        <w:t>Europäisches Netzwerk (EORTC), Grundlage für standardisierte Erfassung in Zentren</w:t>
      </w:r>
    </w:p>
    <w:p>
      <w:r>
        <w:rPr>
          <w:color w:val="5A7D3A"/>
          <w:sz w:val="18"/>
        </w:rPr>
        <w:t>https://pubmed.ncbi.nlm.nih.gov/42685381/</w:t>
      </w:r>
    </w:p>
    <w:p>
      <w:pPr>
        <w:pStyle w:val="Heading2"/>
      </w:pPr>
      <w:r>
        <w:t>Tislelizumab + Chemotherapie bei Ösophaguskarzinom: 45-Monate-Überleben</w:t>
      </w:r>
    </w:p>
    <w:p>
      <w:r>
        <w:rPr>
          <w:i/>
          <w:color w:val="666666"/>
          <w:sz w:val="18"/>
        </w:rPr>
        <w:t>Tougeron D et al.  ·  ESMO Open  ·  27.08.2026  ·  PMID 42659894</w:t>
      </w:r>
    </w:p>
    <w:p>
      <w:r>
        <w:t>Randomisierte Phase-III-Studie (RATIONALE-306) mit 649 Patienten weltweit; Analyse der Subgruppe mit PD-L1 Tumor Area Positivity ≥5% im Langzeit-Follow-up.</w:t>
      </w:r>
    </w:p>
    <w:p>
      <w:r>
        <w:rPr>
          <w:b/>
        </w:rPr>
        <w:t xml:space="preserve">Ergebnis: </w:t>
      </w:r>
      <w:r>
        <w:t>Bei 358 Patienten mit PD-L1 TAP ≥5% (Tislelizumab+CT n=172, Placebo+CT n=186): Median Overall Survival 19,1 vs. 10,0 Monate (HR 0,61); Progression-Free Survival 8,2 vs. 5,5 Monate (HR 0,50); Objektive Ansprechrate 71,5% vs. 41,4%. Haltbarkeit über 45 Monate bestätigt; Sicherheitsprofil unverändert.</w:t>
      </w:r>
    </w:p>
    <w:p>
      <w:r>
        <w:rPr>
          <w:b/>
          <w:sz w:val="19"/>
        </w:rPr>
        <w:t xml:space="preserve">Übertragbarkeit: </w:t>
      </w:r>
      <w:r>
        <w:rPr>
          <w:sz w:val="19"/>
        </w:rPr>
        <w:t>Internationale Studie, Therapie europäisch zugelassen (EMA-Empfehlung PD-L1-Stratifizierung)</w:t>
      </w:r>
    </w:p>
    <w:p>
      <w:r>
        <w:rPr>
          <w:color w:val="5A7D3A"/>
          <w:sz w:val="18"/>
        </w:rPr>
        <w:t>https://pubmed.ncbi.nlm.nih.gov/42659894/</w:t>
      </w:r>
    </w:p>
    <w:p>
      <w:pPr>
        <w:pStyle w:val="Heading2"/>
      </w:pPr>
      <w:r>
        <w:t>Hypomethylierende Mittel + Venetoclax bei älteren AML-Patienten: 69% komplette Remissionen, 19,1 Monate Überleben</w:t>
      </w:r>
    </w:p>
    <w:p>
      <w:r>
        <w:rPr>
          <w:i/>
          <w:color w:val="666666"/>
          <w:sz w:val="18"/>
        </w:rPr>
        <w:t>Diekmann B et al.  ·  Eur J Cancer  ·  05.10.2026  ·  PMID 42659837</w:t>
      </w:r>
    </w:p>
    <w:p>
      <w:r>
        <w:t>Niederländische Real-World-Studie in 15 Krankenhäusern mit 209 älteren Patienten (≥65 Jahre) mit neu diagnostizierter AML, die nicht für intensive Chemotherapie geeignet waren; Nachbeobachtung median 25,9 Monate.</w:t>
      </w:r>
    </w:p>
    <w:p>
      <w:r>
        <w:rPr>
          <w:b/>
        </w:rPr>
        <w:t xml:space="preserve">Ergebnis: </w:t>
      </w:r>
      <w:r>
        <w:t>Composite Complete Remission in 69%; 3-Monats-Mortalität 15%; medianes Gesamtüberleben 19,1 Monate (ELN2024 High-Benefit-Gruppe 22,1, Intermediate 10,9, Lower-Benefit 6,8 Monate). Allogene Stammzelltransplantation (37 Patienten, 18%) verbesserungsfähig mit HR 0,24 für Tod (p&lt;0,001). Antifungale Agenten in 72% der ersten Zyklen assoziiert mit reduzierter Mortalität (HR 0,605; p=0,010).</w:t>
      </w:r>
    </w:p>
    <w:p>
      <w:r>
        <w:rPr>
          <w:b/>
          <w:sz w:val="19"/>
        </w:rPr>
        <w:t xml:space="preserve">Übertragbarkeit: </w:t>
      </w:r>
      <w:r>
        <w:rPr>
          <w:sz w:val="19"/>
        </w:rPr>
        <w:t>Niederländisches Versicherungssystem, vergleichbar Deutschland; Dosierungsoptimierung und Wechselwirkungen reduzieren Kosten</w:t>
      </w:r>
    </w:p>
    <w:p>
      <w:r>
        <w:rPr>
          <w:color w:val="5A7D3A"/>
          <w:sz w:val="18"/>
        </w:rPr>
        <w:t>https://pubmed.ncbi.nlm.nih.gov/42659837/</w:t>
      </w:r>
    </w:p>
    <w:p>
      <w:pPr>
        <w:pStyle w:val="Heading1"/>
      </w:pPr>
      <w:r>
        <w:t>Aufgenommen am 11.09.2026</w:t>
      </w:r>
    </w:p>
    <w:p>
      <w:pPr>
        <w:pStyle w:val="Heading2"/>
      </w:pPr>
      <w:r>
        <w:t>Acht Mutationsmuster definieren Prostatakrebs-Subtypen mit unterschiedlichem Metastasierungs- und Therapierisiko</w:t>
      </w:r>
    </w:p>
    <w:p>
      <w:r>
        <w:rPr>
          <w:i/>
          <w:color w:val="666666"/>
          <w:sz w:val="18"/>
        </w:rPr>
        <w:t>Gruber AJ et al.  ·  Nature  ·  09.09.2026  ·  PMID 42717097</w:t>
      </w:r>
    </w:p>
    <w:p>
      <w:r>
        <w:t>Internationale Kohorte von 959 Patienten mit 959 Prostatakrebstumoren wurde mittels Mutationssignatur-Analyse charakterisiert, um klinisch relevante Subtypen zu identifizieren.</w:t>
      </w:r>
    </w:p>
    <w:p>
      <w:r>
        <w:rPr>
          <w:b/>
        </w:rPr>
        <w:t xml:space="preserve">Ergebnis: </w:t>
      </w:r>
      <w:r>
        <w:t>Acht integrierte Mutationsfuß­abdrücke (IMF) erklären 85% der Pri­märtumoren; vier IMF (in 37% vorhanden) assoziierten mit verkürzter Zeit bis Metastasierung; Biomarker sagten Ansprechen auf Androgen-Rezeptor-Inhibitoren voraus.</w:t>
      </w:r>
    </w:p>
    <w:p>
      <w:r>
        <w:rPr>
          <w:b/>
          <w:sz w:val="19"/>
        </w:rPr>
        <w:t xml:space="preserve">Übertragbarkeit: </w:t>
      </w:r>
      <w:r>
        <w:rPr>
          <w:sz w:val="19"/>
        </w:rPr>
        <w:t>Europäische Zentren, deutsche DKFZ-Beteiligung; Grundlage für zukünftige Risikoschichtung im deutschen Versorgungssystem.</w:t>
      </w:r>
    </w:p>
    <w:p>
      <w:r>
        <w:rPr>
          <w:color w:val="5A7D3A"/>
          <w:sz w:val="18"/>
        </w:rPr>
        <w:t>https://pubmed.ncbi.nlm.nih.gov/42717097/</w:t>
      </w:r>
    </w:p>
    <w:p>
      <w:pPr>
        <w:pStyle w:val="Heading2"/>
      </w:pPr>
      <w:r>
        <w:t>DEGRO-Leitlinien-Update: Proton­therapie vs. Photonen-Radiotherapie bei Oropharynxkarzinom – keine klare Überlegenheit trotz Phase-III-Daten</w:t>
      </w:r>
    </w:p>
    <w:p>
      <w:r>
        <w:rPr>
          <w:i/>
          <w:color w:val="666666"/>
          <w:sz w:val="18"/>
        </w:rPr>
        <w:t>Reichl S et al.  ·  Strahlenther Onkol  ·  07.09.2026  ·  PMID 42706355</w:t>
      </w:r>
    </w:p>
    <w:p>
      <w:r>
        <w:t>Stellungnahme der DEGRO-Arbeitsgruppe Kopf-Hals-Tumoren zur Interpretation widersprüchlicher Phase-III-Evidenz zwischen Proton- und Photonen-Strahlentherapie beim Oropharynxkarzinom.</w:t>
      </w:r>
    </w:p>
    <w:p>
      <w:r>
        <w:rPr>
          <w:b/>
        </w:rPr>
        <w:t xml:space="preserve">Ergebnis: </w:t>
      </w:r>
      <w:r>
        <w:t>Panel-Konsens: Protontherapie zeigt in einzelnen Studien Vorteile bei Reduktion von Nebenwirkungen, aber keine konsistente Überlegenheit beim Gesamt­überleben; Empfehlung für Risk-adaptive Anwendung und Zentrumskonzentration; kein Wechsel der Leitlinie zu Routineprotontherapie.</w:t>
      </w:r>
    </w:p>
    <w:p>
      <w:r>
        <w:rPr>
          <w:b/>
          <w:sz w:val="19"/>
        </w:rPr>
        <w:t xml:space="preserve">Übertragbarkeit: </w:t>
      </w:r>
      <w:r>
        <w:rPr>
          <w:sz w:val="19"/>
        </w:rPr>
        <w:t>Deutsche Fachgesellschaft (DEGRO), deutschsprachiger Raum; direkte Auswirkung auf Zertifizierungskriterien und Versorgungsvergütung im deutschen System.</w:t>
      </w:r>
    </w:p>
    <w:p>
      <w:r>
        <w:rPr>
          <w:color w:val="5A7D3A"/>
          <w:sz w:val="18"/>
        </w:rPr>
        <w:t>https://pubmed.ncbi.nlm.nih.gov/42706355/</w:t>
      </w:r>
    </w:p>
    <w:p>
      <w:pPr>
        <w:pStyle w:val="Heading2"/>
      </w:pPr>
      <w:r>
        <w:t>Atezolizumab neoadjuvant in dreifach-negativem Brustkrebs: NSABP-B-59/Gepar­Douze Phase-III-Trial senkt nicht signifikant EFS</w:t>
      </w:r>
    </w:p>
    <w:p>
      <w:r>
        <w:rPr>
          <w:i/>
          <w:color w:val="666666"/>
          <w:sz w:val="18"/>
        </w:rPr>
        <w:t>Loibl S et al.  ·  Nat Med  ·  01.09.2026  ·  PMID 42680950</w:t>
      </w:r>
    </w:p>
    <w:p>
      <w:r>
        <w:t>Randomisiert 1.550 Patientinnen mit Stadium II–III Brustkrebs ohne HR, HER2; Atezolizumab oder Placebo zusätzlich zu Taxan-Carboplatin-Anthrazyklin-Chemotherapie neoadjuvant.</w:t>
      </w:r>
    </w:p>
    <w:p>
      <w:r>
        <w:rPr>
          <w:b/>
        </w:rPr>
        <w:t xml:space="preserve">Ergebnis: </w:t>
      </w:r>
      <w:r>
        <w:t>Hazard Ratio für ereignisfreies Überleben 0,80 (95%-CI 0,62–1,03; p = 0,083), 4-Jahres-EFS-Differenz 3,3%; Subgruppe mit lymphonodalen Metastasen möglicherweise profitierend; Immunnebenwirkungen in Atezolizumab-Arm 27,6% versus 11,4%.</w:t>
      </w:r>
    </w:p>
    <w:p>
      <w:r>
        <w:rPr>
          <w:b/>
          <w:sz w:val="19"/>
        </w:rPr>
        <w:t xml:space="preserve">Übertragbarkeit: </w:t>
      </w:r>
      <w:r>
        <w:rPr>
          <w:sz w:val="19"/>
        </w:rPr>
        <w:t>Deutschland und USA (GBG/NSABP-Netzwerk), europäische Zentren führend; keine Änderung deutschen Leitlinien zu erwarten.</w:t>
      </w:r>
    </w:p>
    <w:p>
      <w:r>
        <w:rPr>
          <w:color w:val="5A7D3A"/>
          <w:sz w:val="18"/>
        </w:rPr>
        <w:t>https://pubmed.ncbi.nlm.nih.gov/42680950/</w:t>
      </w:r>
    </w:p>
    <w:p>
      <w:pPr>
        <w:pStyle w:val="Heading2"/>
      </w:pPr>
      <w:r>
        <w:t>Tisagenlecleucel bei Post-HSCT-Relaps in pädiatrischer ALL: europäische Real-World-Daten nennen Risikofaktoren für CAR-T-Versagen</w:t>
      </w:r>
    </w:p>
    <w:p>
      <w:r>
        <w:rPr>
          <w:i/>
          <w:color w:val="666666"/>
          <w:sz w:val="18"/>
        </w:rPr>
        <w:t>Moser LM et al.  ·  Leukemia  ·  31.08.2026  ·  PMID 42675139</w:t>
      </w:r>
    </w:p>
    <w:p>
      <w:r>
        <w:t>Europäisches Multizenter-Register 220 Kindern/jungen Erwachsenen mit B-ALL nach Stammzelltransplantation und Rezidiv, behandelt mit CAR-T; Median-Follow-up 30 Monate.</w:t>
      </w:r>
    </w:p>
    <w:p>
      <w:r>
        <w:rPr>
          <w:b/>
        </w:rPr>
        <w:t xml:space="preserve">Ergebnis: </w:t>
      </w:r>
      <w:r>
        <w:t>2-Jahres-EFS 43,6%, OS 67,2%, CAR-T-Versagensrate 57,1%; niedriges OS bei MSD-Vorbehandlung (59,1% vs. Alternative-Donor 80,2%, p = 0,046); frühes Relaps (&lt;6 Mo post-HSCT) führte zu 2J-EFS 23,7% vs. 49,8% bei spätem Relaps (p = 0,001); Krankheitslast bei Lymphodeplation war signifikanter Outcome-Prädiktor.</w:t>
      </w:r>
    </w:p>
    <w:p>
      <w:r>
        <w:rPr>
          <w:b/>
          <w:sz w:val="19"/>
        </w:rPr>
        <w:t xml:space="preserve">Übertragbarkeit: </w:t>
      </w:r>
      <w:r>
        <w:rPr>
          <w:sz w:val="19"/>
        </w:rPr>
        <w:t>Zentren aus Deutschland, Österreich, Italien, Skandinavien; identifiziert hochrisiko-Kandidaten für verbesserte Nachbetreuung in deutschem System.</w:t>
      </w:r>
    </w:p>
    <w:p>
      <w:r>
        <w:rPr>
          <w:color w:val="5A7D3A"/>
          <w:sz w:val="18"/>
        </w:rPr>
        <w:t>https://pubmed.ncbi.nlm.nih.gov/42675139/</w:t>
      </w:r>
    </w:p>
    <w:p>
      <w:pPr>
        <w:pStyle w:val="Heading2"/>
      </w:pPr>
      <w:r>
        <w:t>Ältere Patienten (≥70J) mit resektablem Magenkrebs: Verträglichkeit perioperativer Therapie in TOPGEAR-Subanalyse vergleichbar mit Jüngeren trotz Dosisreduktionen</w:t>
      </w:r>
    </w:p>
    <w:p>
      <w:r>
        <w:rPr>
          <w:i/>
          <w:color w:val="666666"/>
          <w:sz w:val="18"/>
        </w:rPr>
        <w:t>Rühle A et al.  ·  Eur J Cancer  ·  05.10.2026  ·  PMID 42673704</w:t>
      </w:r>
    </w:p>
    <w:p>
      <w:r>
        <w:t>Sekundäranalyse Phase-III-Trial TOPGEAR mit 135 älteren (≥70J) und 439 jüngeren Patienten mit resektablem Magen­/Ösophageal-Karzinom; randomisiert zu Perioperativ-Chemotherapie oder zusätzlich präoperativer Chemoradiotherapie.</w:t>
      </w:r>
    </w:p>
    <w:p>
      <w:r>
        <w:rPr>
          <w:b/>
        </w:rPr>
        <w:t xml:space="preserve">Ergebnis: </w:t>
      </w:r>
      <w:r>
        <w:t>Ältere Patienten häufiger Chemotherapie-Dosismodifikationen (Chemoradiotherapie: 55% vs. 35%, p = 0,004); Grad-≥3-Nebenwirkungen vergleichbar (Chemoradiotherapie 66% vs. 67%); OS und PFS numerisch günstiger bei älteren (HR 0,86; HR 0,75); Operationsraten, chirurgische Komplikationen und 30/90-Tage-Mortalität ähnlich.</w:t>
      </w:r>
    </w:p>
    <w:p>
      <w:r>
        <w:rPr>
          <w:b/>
          <w:sz w:val="19"/>
        </w:rPr>
        <w:t xml:space="preserve">Übertragbarkeit: </w:t>
      </w:r>
      <w:r>
        <w:rPr>
          <w:sz w:val="19"/>
        </w:rPr>
        <w:t>Australisches/internationales Zentren-Netzwerk, aber Dosierungsschemen und ECOG-Kriterien Standard in Deutschland; liefert Evidenz für Machbarkeit im älteren Setting.</w:t>
      </w:r>
    </w:p>
    <w:p>
      <w:r>
        <w:rPr>
          <w:color w:val="5A7D3A"/>
          <w:sz w:val="18"/>
        </w:rPr>
        <w:t>https://pubmed.ncbi.nlm.nih.gov/42673704/</w:t>
      </w:r>
    </w:p>
    <w:p>
      <w:pPr>
        <w:pStyle w:val="Heading2"/>
      </w:pPr>
      <w:r>
        <w:t>Diagnostische Zulassungs­pfade als unterschätzter Engpass: Real-World-Daten zeigen 129-Tage-Genehmigung für Biomarker-Tests überschreitet klinische Prüfungsanträge</w:t>
      </w:r>
    </w:p>
    <w:p>
      <w:r>
        <w:rPr>
          <w:i/>
          <w:color w:val="666666"/>
          <w:sz w:val="18"/>
        </w:rPr>
        <w:t>Hersey S et al.  ·  Eur J Cancer  ·  05.10.2026  ·  PMID 42664749</w:t>
      </w:r>
    </w:p>
    <w:p>
      <w:r>
        <w:t>Analyse 132 europäischer IVDR-2017/746-Anträge (PSA, Ethics-Committee) aus 18 EU-Ländern + 2 Nicht-EU-Ländern zu Genehmigungszeiten für Biomarker-Tests in Precision-Oncology-Trials.</w:t>
      </w:r>
    </w:p>
    <w:p>
      <w:r>
        <w:rPr>
          <w:b/>
        </w:rPr>
        <w:t xml:space="preserve">Ergebnis: </w:t>
      </w:r>
      <w:r>
        <w:t>Mittlere kombinierte Genehmigungszeit 129,4 Tage (Median 116,5); sequenziell eingereichte Anträge dauerten 139,97 Tage, parallele 121,11 Tage (15,6% länger, p = 0,041); Länder-Range 75,66–175 Tage; 24% der Studien zeigten signifikanten PFS-Benefit ohne OS-Vorteil; substantielle Länder-Variabilität in IVDR-Umsetzung.</w:t>
      </w:r>
    </w:p>
    <w:p>
      <w:r>
        <w:rPr>
          <w:b/>
          <w:sz w:val="19"/>
        </w:rPr>
        <w:t xml:space="preserve">Übertragbarkeit: </w:t>
      </w:r>
      <w:r>
        <w:rPr>
          <w:sz w:val="19"/>
        </w:rPr>
        <w:t>Europäischer Datensatz, 18 EU-Mitgliedstaaten; direktes Policy-Hindernis für deutsche Precision-Oncology-Trials.</w:t>
      </w:r>
    </w:p>
    <w:p>
      <w:r>
        <w:rPr>
          <w:color w:val="5A7D3A"/>
          <w:sz w:val="18"/>
        </w:rPr>
        <w:t>https://pubmed.ncbi.nlm.nih.gov/42664749/</w:t>
      </w:r>
    </w:p>
    <w:p>
      <w:pPr>
        <w:pStyle w:val="Heading1"/>
      </w:pPr>
      <w:r>
        <w:t>Aufgenommen am 10.09.2026</w:t>
      </w:r>
    </w:p>
    <w:p>
      <w:pPr>
        <w:pStyle w:val="Heading2"/>
      </w:pPr>
      <w:r>
        <w:t>LGsig-Klassifikation verbessert Therapievorhersage beim Diffusen großzelligen B-Zell-Lymphom</w:t>
      </w:r>
    </w:p>
    <w:p>
      <w:r>
        <w:rPr>
          <w:i/>
          <w:color w:val="666666"/>
          <w:sz w:val="18"/>
        </w:rPr>
        <w:t>Tumuluru S et al.  ·  J Clin Oncol  ·  09.09.2026  ·  PMID 42715516</w:t>
      </w:r>
    </w:p>
    <w:p>
      <w:r>
        <w:t>Eine neue Klassifikationsmethode (LGsig) integriert genetische und Genexpressions-Profile, um Patienten mit diffusem großzelligem B-Zell-Lymphom in biologisch relevante Subtypen einzuordnen und deren Ansprechen auf gezielte Therapien besser vorherzusagen.</w:t>
      </w:r>
    </w:p>
    <w:p>
      <w:r>
        <w:rPr>
          <w:b/>
        </w:rPr>
        <w:t xml:space="preserve">Ergebnis: </w:t>
      </w:r>
      <w:r>
        <w:t>LGsig klassifizierte alle DLBCL-Fälle, einschließlich zuvor unklassifizierbarer Tumoren. In der POLARIX-Studie zeigte sich ein signifikanter Überlebensvorteil für Patienten mit bestimmten LGsig-Subtypen unter Polatuzumab vedotin-R-CHP versus R-CHOP in sowohl genetisch klassifizierten als auch unklassifizierten Fällen.</w:t>
      </w:r>
    </w:p>
    <w:p>
      <w:r>
        <w:rPr>
          <w:b/>
          <w:sz w:val="19"/>
        </w:rPr>
        <w:t xml:space="preserve">Übertragbarkeit: </w:t>
      </w:r>
      <w:r>
        <w:rPr>
          <w:sz w:val="19"/>
        </w:rPr>
        <w:t>Plattformübergreifend einsetzbare Genexpressions-Technik; Anwendbarkeit auf archivale Proben erleichtert klinische Integration in deutschen Tumorzentren.</w:t>
      </w:r>
    </w:p>
    <w:p>
      <w:r>
        <w:rPr>
          <w:color w:val="5A7D3A"/>
          <w:sz w:val="18"/>
        </w:rPr>
        <w:t>https://pubmed.ncbi.nlm.nih.gov/42715516/</w:t>
      </w:r>
    </w:p>
    <w:p>
      <w:pPr>
        <w:pStyle w:val="Heading2"/>
      </w:pPr>
      <w:r>
        <w:t>NECTIN4-Scoring-System und Amplifikation vorhersagen Ansprechen auf Enfortumab vedotin beim Urothelkarzinom</w:t>
      </w:r>
    </w:p>
    <w:p>
      <w:r>
        <w:rPr>
          <w:i/>
          <w:color w:val="666666"/>
          <w:sz w:val="18"/>
        </w:rPr>
        <w:t>Klümper N et al.  ·  Clin Cancer Res  ·  09.09.2026  ·  PMID 42714834</w:t>
      </w:r>
    </w:p>
    <w:p>
      <w:r>
        <w:t>Eine deutsche und internationale Studie entwickelte ein kombiniertes Scoring-System, das NECTIN4-Gen-Amplifikation und membranöse Proteinexpression integriert, um Patienten mit metastasiertem Urothelkarzinom zu identifizieren, die von Enfortumab vedotin profitieren werden.</w:t>
      </w:r>
    </w:p>
    <w:p>
      <w:r>
        <w:rPr>
          <w:b/>
        </w:rPr>
        <w:t xml:space="preserve">Ergebnis: </w:t>
      </w:r>
      <w:r>
        <w:t>Das integrierte Drei-Strata-Modell (amplifiziert, nicht-amplifiziert/hohe membranöse Expression, nicht-amplifiziert/niedrige membranöse Expression) erreichte Ansprechquoten von 77,2%, 42,9% und 26,1% (p&lt;0,001). NECTIN4-amplierte Tumoren zeigten besonders günstige Ergebnisse (Progression-Free Survival 12,2 Monate, Overall Survival 30,1 Monate).</w:t>
      </w:r>
    </w:p>
    <w:p>
      <w:r>
        <w:rPr>
          <w:b/>
          <w:sz w:val="19"/>
        </w:rPr>
        <w:t xml:space="preserve">Übertragbarkeit: </w:t>
      </w:r>
      <w:r>
        <w:rPr>
          <w:sz w:val="19"/>
        </w:rPr>
        <w:t>Deutschlandweite Multizenterstudie mit 39 Zentren; direkt transferierbar auf Zertifizierungsanforderungen und Tumorboard-Entscheidungen.</w:t>
      </w:r>
    </w:p>
    <w:p>
      <w:r>
        <w:rPr>
          <w:color w:val="5A7D3A"/>
          <w:sz w:val="18"/>
        </w:rPr>
        <w:t>https://pubmed.ncbi.nlm.nih.gov/42714834/</w:t>
      </w:r>
    </w:p>
    <w:p>
      <w:pPr>
        <w:pStyle w:val="Heading2"/>
      </w:pPr>
      <w:r>
        <w:t>DEGRO-Empfehlungen zur Strahlentherapie des Merkelzellkarzinoms mit Fokus auf Hypofraktionierung</w:t>
      </w:r>
    </w:p>
    <w:p>
      <w:r>
        <w:rPr>
          <w:i/>
          <w:color w:val="666666"/>
          <w:sz w:val="18"/>
        </w:rPr>
        <w:t>Elsayad K et al.  ·  Strahlenther Onkol  ·  09.09.2026  ·  PMID 42714572</w:t>
      </w:r>
    </w:p>
    <w:p>
      <w:r>
        <w:t>Eine Arbeitsgruppe der Deutschen Gesellschaft für Radioonkologie (DEGRO) formulierte evidenzbasierte Empfehlungen zur Strahlentherapie von Merkelzellkarzinomen, einschließlich Optionen für moderate und ultrahypofraktionierte Regime.</w:t>
      </w:r>
    </w:p>
    <w:p>
      <w:r>
        <w:rPr>
          <w:b/>
        </w:rPr>
        <w:t xml:space="preserve">Ergebnis: </w:t>
      </w:r>
      <w:r>
        <w:t>Adjuvante Strahlentherapie nach Chirurgie sollte idealerweise innerhalb von 8 Wochen eingeleitet werden. Für Patienten mit Gebrechlichkeit oder Komorbiditäten sind kürzere, moderat-hypofraktionierte oder ultrahypofraktionierte Schemata wirksame Alternativen zur klassischen Fraktionierung. Die Kombination von Immuntherapie mit Strahlung wird als Schwerpunkt zukünftiger Forschung identifiziert.</w:t>
      </w:r>
    </w:p>
    <w:p>
      <w:r>
        <w:rPr>
          <w:b/>
          <w:sz w:val="19"/>
        </w:rPr>
        <w:t xml:space="preserve">Übertragbarkeit: </w:t>
      </w:r>
      <w:r>
        <w:rPr>
          <w:sz w:val="19"/>
        </w:rPr>
        <w:t>Deutsche Fachgesellschafts-Leitlinie; direkte Implementierbarkeit in Zertifizierungsprozesse und klinische Routine.</w:t>
      </w:r>
    </w:p>
    <w:p>
      <w:r>
        <w:rPr>
          <w:color w:val="5A7D3A"/>
          <w:sz w:val="18"/>
        </w:rPr>
        <w:t>https://pubmed.ncbi.nlm.nih.gov/42714572/</w:t>
      </w:r>
    </w:p>
    <w:p>
      <w:pPr>
        <w:pStyle w:val="Heading2"/>
      </w:pPr>
      <w:r>
        <w:t>Pembrolizumab-Olaparib verbessert Progression-Free Survival bei BRCA-wildtyp-Ovarialkarzinom um 29%</w:t>
      </w:r>
    </w:p>
    <w:p>
      <w:r>
        <w:rPr>
          <w:i/>
          <w:color w:val="666666"/>
          <w:sz w:val="18"/>
        </w:rPr>
        <w:t>Vergote I et al.  ·  Lancet Oncol  ·  07.09.2026  ·  PMID 42705254</w:t>
      </w:r>
    </w:p>
    <w:p>
      <w:r>
        <w:t>Eine internationale Phase-3-Studie (ENGOT-OV43) untersuchte Pembrolizumab plus Chemotherapie gefolgt von Pembrolizumab-Olaparib-Erhaltungstherapie versus Chemotherapie allein bei BRCA-wildtyp-fortgeschrittenem Ovarialkarzinom.</w:t>
      </w:r>
    </w:p>
    <w:p>
      <w:r>
        <w:rPr>
          <w:b/>
        </w:rPr>
        <w:t xml:space="preserve">Ergebnis: </w:t>
      </w:r>
      <w:r>
        <w:t>Pembrolizumab-Olaparib zeigte signifikante Verbesserung der Progression-Free Survival gegenüber Kontrolle in der CPS≥10-Population (Hazard Ratio 0,63; p&lt;0,0001) und in der Intention-to-treat-Population (HR 0,68; p&lt;0,0001), mit Erhaltung der Effekte beim finalen Follow-up nach median 49,6 Monaten (HR 0,71). Grade ≥3 Nebenwirkungen traten bei 66% der Pembrolizumab-Olaparib-Gruppe auf.</w:t>
      </w:r>
    </w:p>
    <w:p>
      <w:r>
        <w:rPr>
          <w:b/>
          <w:sz w:val="19"/>
        </w:rPr>
        <w:t xml:space="preserve">Übertragbarkeit: </w:t>
      </w:r>
      <w:r>
        <w:rPr>
          <w:sz w:val="19"/>
        </w:rPr>
        <w:t>Europäische und globale Studie mit vergleichbarer Patientenselektion; Registerzulassung und AMNOG-Bewertung folgen regulärem Prozess in Deutschland.</w:t>
      </w:r>
    </w:p>
    <w:p>
      <w:r>
        <w:rPr>
          <w:color w:val="5A7D3A"/>
          <w:sz w:val="18"/>
        </w:rPr>
        <w:t>https://pubmed.ncbi.nlm.nih.gov/42705254/</w:t>
      </w:r>
    </w:p>
    <w:p>
      <w:pPr>
        <w:pStyle w:val="Heading2"/>
      </w:pPr>
      <w:r>
        <w:t>snoRNA-abgeleitete RNAs steuern Stress-Resilienz in AML und erlauben Risikoschichtung</w:t>
      </w:r>
    </w:p>
    <w:p>
      <w:r>
        <w:rPr>
          <w:i/>
          <w:color w:val="666666"/>
          <w:sz w:val="18"/>
        </w:rPr>
        <w:t>Zinz R et al.  ·  Leukemia  ·  04.09.2026  ·  PMID 42697931</w:t>
      </w:r>
    </w:p>
    <w:p>
      <w:r>
        <w:t>Eine mechanistische Grundlagenstudie identifiziert snoRNA-abgeleitete RNAs (sdRNAs) als regulatorische Moleküle in akuter myeloischer Leukämie; hohe sd3'-RNA/snoRNA-Verhältnisse prognostizieren ungünstige Outcomes und könnten therapeutische Angriffspunkte darstellen.</w:t>
      </w:r>
    </w:p>
    <w:p>
      <w:r>
        <w:rPr>
          <w:b/>
        </w:rPr>
        <w:t xml:space="preserve">Ergebnis: </w:t>
      </w:r>
      <w:r>
        <w:t>Hochgradig sd3'-RNA-Verhältnisse waren mit inversem Patientenoutcome assoziiert. Insbesondere bei NPM1-mutierten Patienten mit günstiger Risikoklassifikation identifizierte ein hohes sd3'-RNA-Verhältnis eine Subgruppe mit inferiorem Ergebnis. Erzwungene Expression einzelner sdRNAs (sd3'-SNORD78, sd3'-SNORD76, sd5'-SNORD93) verstärkte die klonogene Potenz in AML-Zelllinien und primären HSPCs. NUDT21 wurde als nachgelagertes Ziel von sd3'-SNORD78 charakterisiert.</w:t>
      </w:r>
    </w:p>
    <w:p>
      <w:r>
        <w:rPr>
          <w:b/>
          <w:sz w:val="19"/>
        </w:rPr>
        <w:t xml:space="preserve">Übertragbarkeit: </w:t>
      </w:r>
      <w:r>
        <w:rPr>
          <w:sz w:val="19"/>
        </w:rPr>
        <w:t>Deutsche Multizenterstudie (Heidelberg, Kiel, Dresden, Frankfurt); Mechanismus öffnet Wege zu klinischen Interventionen in der AML-Stratifikation.</w:t>
      </w:r>
    </w:p>
    <w:p>
      <w:r>
        <w:rPr>
          <w:color w:val="5A7D3A"/>
          <w:sz w:val="18"/>
        </w:rPr>
        <w:t>https://pubmed.ncbi.nlm.nih.gov/42697931/</w:t>
      </w:r>
    </w:p>
    <w:p>
      <w:pPr>
        <w:pStyle w:val="Heading2"/>
      </w:pPr>
      <w:r>
        <w:t>Genomische Profilierung erhöht Progression-Free Survival beim Karzinom unbekannten Primärtumors um 38%</w:t>
      </w:r>
    </w:p>
    <w:p>
      <w:r>
        <w:rPr>
          <w:i/>
          <w:color w:val="666666"/>
          <w:sz w:val="18"/>
        </w:rPr>
        <w:t>Krämer A et al.  ·  J Clin Oncol  ·  03.09.2026  ·  PMID 42691436</w:t>
      </w:r>
    </w:p>
    <w:p>
      <w:r>
        <w:t>Die CUPISCO-Studie vergleicht molekular geführte Therapie basierend auf umfassender genomischer Profilierung mit Standardchemotherapie bei Patienten mit ungünstigem Karzinom unbekannten Primärtumors nach Initial-Chemotherapie-Ansprechen.</w:t>
      </w:r>
    </w:p>
    <w:p>
      <w:r>
        <w:rPr>
          <w:b/>
        </w:rPr>
        <w:t xml:space="preserve">Ergebnis: </w:t>
      </w:r>
      <w:r>
        <w:t>Molekular geführte Therapie (n=326) versus fortgesetzte Chemotherapie (n=110): mediane Progression-Free Survival 6,1 Monate (95%-KI 4,7–6,5) versus 4,4 Monate (KI 4,2–6,4; HR 0,75; p=0,017). Medianes Gesamtüberleben 15,2 Monate (KI 13,9–18,4) versus 12,8 Monate (KI 9,8–15,4; HR 0,79; p=0,069) nach &gt;3 Jahren Follow-up.</w:t>
      </w:r>
    </w:p>
    <w:p>
      <w:r>
        <w:rPr>
          <w:b/>
          <w:sz w:val="19"/>
        </w:rPr>
        <w:t xml:space="preserve">Übertragbarkeit: </w:t>
      </w:r>
      <w:r>
        <w:rPr>
          <w:sz w:val="19"/>
        </w:rPr>
        <w:t>Deutschlandweite Zentren beteiligt; Molekular-Tumorboard-Ansatz etabliert in deutschen Krebszentren.</w:t>
      </w:r>
    </w:p>
    <w:p>
      <w:r>
        <w:rPr>
          <w:color w:val="5A7D3A"/>
          <w:sz w:val="18"/>
        </w:rPr>
        <w:t>https://pubmed.ncbi.nlm.nih.gov/42691436/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Onkologie</dc:title>
  <dc:subject/>
  <dc:creator>Monitor Versorgungsforschung</dc:creator>
  <cp:keywords/>
  <dc:description>generated by python-docx</dc:description>
  <cp:lastModifiedBy/>
  <cp:revision>1</cp:revision>
  <dcterms:created xsi:type="dcterms:W3CDTF">2026-10-12T06:00:00Z</dcterms:created>
  <dcterms:modified xsi:type="dcterms:W3CDTF">2026-10-12T06:00:00Z</dcterms:modified>
  <cp:category/>
</cp:coreProperties>
</file>