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08.10.2026  |  6 Studien  |  onkologie.m-vf.de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ctDNA-Dynamik nach Resektion bestimmt Therapie-Strategien beim Kolorektalkarzinom</w:t>
      </w:r>
    </w:p>
    <w:p>
      <w:r>
        <w:rPr>
          <w:i/>
          <w:color w:val="666666"/>
          <w:sz w:val="18"/>
        </w:rPr>
        <w:t>Nakamura Y et al.  ·  Ann Oncol  ·  07.10.2026  ·  PMID 42843562</w:t>
      </w:r>
    </w:p>
    <w:p>
      <w:r>
        <w:t>Prospektive Biomarker-Studie (CIRCULATE-Japan) zur postoperativen zirkulären Tumor-DNA-Dynamik und Eligibilität für MRD-gesteuerte Therapie bei Kolorektalkarzinom; insgesamt 402 Patienten eingeschlossen.</w:t>
      </w:r>
    </w:p>
    <w:p>
      <w:r>
        <w:rPr>
          <w:b/>
        </w:rPr>
        <w:t xml:space="preserve">Ergebnis: </w:t>
      </w:r>
      <w:r>
        <w:t>Postoperative ctDNA-Muster bei 402 Patienten erfasst; Details zu ctDNA-Clearance, Persistenz und Zusammenhang mit TOMR-Eligibilität für adaptive Therapiesteuerung angekündigt. Studie abgeschlossen mit vollständigem Datensatz; Primäranalyse präsentiert mit Fokus auf MRD-gelenkte Behandlungsansätze.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Gesundheitssystem mit ähnlichen Dokumentations- und Qualitätsstandards wie Deutschland</w:t>
      </w:r>
    </w:p>
    <w:p>
      <w:r>
        <w:rPr>
          <w:color w:val="5A7D3A"/>
          <w:sz w:val="18"/>
        </w:rPr>
        <w:t>https://pubmed.ncbi.nlm.nih.gov/42843562/</w:t>
      </w:r>
    </w:p>
    <w:p>
      <w:pPr>
        <w:pStyle w:val="Heading2"/>
      </w:pPr>
      <w:r>
        <w:t>Neoadjuvantes Niraparib ermöglicht R0-Resektion bei HRD-positivem Ovarialkarzinom</w:t>
      </w:r>
    </w:p>
    <w:p>
      <w:r>
        <w:rPr>
          <w:i/>
          <w:color w:val="666666"/>
          <w:sz w:val="18"/>
        </w:rPr>
        <w:t>Liu D et al.  ·  Lancet Oncol  ·  07.10.2026  ·  PMID 42843394</w:t>
      </w:r>
    </w:p>
    <w:p>
      <w:r>
        <w:t>Phase-2-Studie zu Niraparib-Monotherapie ohne Chemotherapie bei HRD-positiven, initial inoperablen Ovarialkarzinom-Patientinnen mit hohem chirurgischem Risiko.</w:t>
      </w:r>
    </w:p>
    <w:p>
      <w:r>
        <w:rPr>
          <w:b/>
        </w:rPr>
        <w:t xml:space="preserve">Ergebnis: </w:t>
      </w:r>
      <w:r>
        <w:t>Unter 67 Patientinnen: objektive Ansprechrate 63% (95%-KI 47–76), R0-Resektionsrate 80% (95%-KI 64–91). Häufigste Grad-3/4-Nebenwirkungen waren Thrombozytopenie (48%), Leukopenie (19%), Anämie (18%); 28% hatten ernsthafte Nebenwirkungen, keine Todesfälle durch Behandlung. Strategie bleibt investigativ und benötigt randomisierte Validierung gegen Standard-Chemotherapie.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Dokumentationsstandards; Datenschnitt mit 37,7 Monaten Follow-up verfügbar</w:t>
      </w:r>
    </w:p>
    <w:p>
      <w:r>
        <w:rPr>
          <w:color w:val="5A7D3A"/>
          <w:sz w:val="18"/>
        </w:rPr>
        <w:t>https://pubmed.ncbi.nlm.nih.gov/42843394/</w:t>
      </w:r>
    </w:p>
    <w:p>
      <w:pPr>
        <w:pStyle w:val="Heading2"/>
      </w:pPr>
      <w:r>
        <w:t>Exom-Sequenzierung identifiziert erbliche Krebsrisiken bei Kindern mit Hochrisiko-Tumoren</w:t>
      </w:r>
    </w:p>
    <w:p>
      <w:r>
        <w:rPr>
          <w:i/>
          <w:color w:val="666666"/>
          <w:sz w:val="18"/>
        </w:rPr>
        <w:t>Adamde Beaumais T et al.  ·  Eur J Cancer  ·  04.10.2026  ·  PMID 42843210</w:t>
      </w:r>
    </w:p>
    <w:p>
      <w:r>
        <w:t>Systematische Keimbahnanalyse aus therapeutischem Profiling (MAPPYACTS-Studie) bei 674 Kindern mit rezidivierenden/refraktären Malignomen zur Identifikation actionabler genetischer Befunde.</w:t>
      </w:r>
    </w:p>
    <w:p>
      <w:r>
        <w:rPr>
          <w:b/>
        </w:rPr>
        <w:t xml:space="preserve">Ergebnis: </w:t>
      </w:r>
      <w:r>
        <w:t>19,3% der Patienten (130/674) trugen pathogene/wahrscheinlich pathogene Varianten in 53 Krebs-Prädispositionsgenen; 8,6% (58) benötigten genetische Beratung. Häufigste Gene: TP53 (n=17), DICER1 (n=5), BRCA1 (n=4). 35% der Befunde waren nicht vorher bekannt. Zusätzlich 10 Patienten (1,5%) mit actionablen Varianten in Nicht-Krebs-Genen (Kardiomyopathien, familiäre Hyperholesterinämie). 98,6% der Familien stimmten Offenlegung zu.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Frankreich; multidisziplinärer Rahmen übertragbar auf deutsche Zentren mit genetischer Beratung</w:t>
      </w:r>
    </w:p>
    <w:p>
      <w:r>
        <w:rPr>
          <w:color w:val="5A7D3A"/>
          <w:sz w:val="18"/>
        </w:rPr>
        <w:t>https://pubmed.ncbi.nlm.nih.gov/42843210/</w:t>
      </w:r>
    </w:p>
    <w:p>
      <w:pPr>
        <w:pStyle w:val="Heading2"/>
      </w:pPr>
      <w:r>
        <w:t>Screening-Intervalle für Mundhöhlenkrebs können auf zehn Jahre verlängert werden</w:t>
      </w:r>
    </w:p>
    <w:p>
      <w:r>
        <w:rPr>
          <w:i/>
          <w:color w:val="666666"/>
          <w:sz w:val="18"/>
        </w:rPr>
        <w:t>Cheung LC et al.  ·  J Natl Cancer Inst  ·  07.10.2026  ·  PMID 42842394</w:t>
      </w:r>
    </w:p>
    <w:p>
      <w:r>
        <w:t>Langzeitbeobachtung von 41.225 Kau- und Raucher aus der Kerala Oral Cancer Screening Trial (1996–2010): Analyse von Screening-Sensitivität, prädiktiven Werten und natürlicher Krankheitsgeschichte über multistate-Modelle.</w:t>
      </w:r>
    </w:p>
    <w:p>
      <w:r>
        <w:rPr>
          <w:b/>
        </w:rPr>
        <w:t xml:space="preserve">Ergebnis: </w:t>
      </w:r>
      <w:r>
        <w:t>Visuelles Screening über zwei aufeinanderfolgende Untersuchungen (Median 3,5 Jahre Abstand): Sensitivität 89,2%, positiv-prädiktiver Wert 1,55%, negativer Vorhersagewert 99,96% für prävalente Krebsfälle. Wiederholte Screening-Negative hatten 32-fach niedrigeres Krebsrisiko über 11 Jahre. Mittlere Dauer von Früh- zu Spätstadium: 2,7 Jahre. Mittlere Verweilzeit in Präkanzerose: 19,3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hohe Prävalenz von Kau- und Rauchtabak; Screening-Algorithmus prinzipiell auf europäische Risikopopulationen übertragbar</w:t>
      </w:r>
    </w:p>
    <w:p>
      <w:r>
        <w:rPr>
          <w:color w:val="5A7D3A"/>
          <w:sz w:val="18"/>
        </w:rPr>
        <w:t>https://pubmed.ncbi.nlm.nih.gov/42842394/</w:t>
      </w:r>
    </w:p>
    <w:p>
      <w:pPr>
        <w:pStyle w:val="Heading2"/>
      </w:pPr>
      <w:r>
        <w:t>Daratumumab plus Lenalidomid/Dexamethason verlängert Überleben bei nicht transplantierbarem Myelom</w:t>
      </w:r>
    </w:p>
    <w:p>
      <w:r>
        <w:rPr>
          <w:i/>
          <w:color w:val="666666"/>
          <w:sz w:val="18"/>
        </w:rPr>
        <w:t>Facon T et al.  ·  Leukemia  ·  06.10.2026  ·  PMID 42839070</w:t>
      </w:r>
    </w:p>
    <w:p>
      <w:r>
        <w:t>Subgruppenanalyse der MAIA-Studie nach Frailty-Status bei älteren Patienten mit neu diagnostiziertem multiplem Myelom, die nicht für Stammzelltransplantation geeignet sind.</w:t>
      </w:r>
    </w:p>
    <w:p>
      <w:r>
        <w:rPr>
          <w:b/>
        </w:rPr>
        <w:t xml:space="preserve">Ergebnis: </w:t>
      </w:r>
      <w:r>
        <w:t>Bei nicht-frailen Patienten war das Gesamtüberleben unter D-Rd signifikant besser (Median nicht erreicht vs. 69,8 Monate; HR 0,53; 95%-KI 0,37–0,76; p=0,0004); bei frailen Patienten zeigte sich ein Trend ohne Signifikanz (HR 0,79; p=0,1128). Komplette Remissionsraten und MRD-Negativität waren über alle Frailty-Gruppen hinweg verbessert; längere Therapiedauer unter D-Rd deutete auf bessere Verträglichkeit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kanadische Kliniken; direkter Bezug zu deutschen Behandlungsstandards beim älteren Myelom-Patient</w:t>
      </w:r>
    </w:p>
    <w:p>
      <w:r>
        <w:rPr>
          <w:color w:val="5A7D3A"/>
          <w:sz w:val="18"/>
        </w:rPr>
        <w:t>https://pubmed.ncbi.nlm.nih.gov/42839070/</w:t>
      </w:r>
    </w:p>
    <w:p>
      <w:pPr>
        <w:pStyle w:val="Heading2"/>
      </w:pPr>
      <w:r>
        <w:t>Blinatumomab-Kombination verbessert Überleben bei BCR::ABL1-negativer adulter ALL in Hochrisiko-Subtypen</w:t>
      </w:r>
    </w:p>
    <w:p>
      <w:r>
        <w:rPr>
          <w:i/>
          <w:color w:val="666666"/>
          <w:sz w:val="18"/>
        </w:rPr>
        <w:t>Zhong X et al.  ·  Blood  ·  05.10.2026  ·  PMID 42832396</w:t>
      </w:r>
    </w:p>
    <w:p>
      <w:r>
        <w:t>Genomische Charakterisierung von 569 Patienten der ECOG-ACRIN E1910-Studie zu Blinatumomab plus Chemotherapie bei BCR::ABL1-negativer B-ALL; Analyse von 23 Molekularsubtypen und Treibergenen.</w:t>
      </w:r>
    </w:p>
    <w:p>
      <w:r>
        <w:rPr>
          <w:b/>
        </w:rPr>
        <w:t xml:space="preserve">Ergebnis: </w:t>
      </w:r>
      <w:r>
        <w:t>Blinatumomab-Addition führte zu verbessertem rezidivfreiem und Gesamtüberleben bei hyperdiploidem, PAX5alt, PAX5 P80R, BCR::ABL1-ähnlichem JAK-STAT und KMT2A-R-Subtyp. TP53-Alterationen oder CHIP-assoziierte Mutationen (insgesamt 15,3% bzw. 9,8%) waren mit älterem Diagnose-Alter und schlechterem Ergebnis assoziiert. Analysen für einzelne Subtypen kleinerer Fallzahlen; Bestätigung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genomische Klassifikation und Therapiestrategie prinzipiell auf deutsche ALL-Zentren übertragbar</w:t>
      </w:r>
    </w:p>
    <w:p>
      <w:r>
        <w:rPr>
          <w:color w:val="5A7D3A"/>
          <w:sz w:val="18"/>
        </w:rPr>
        <w:t>https://pubmed.ncbi.nlm.nih.gov/42832396/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