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26.10.2026  |  6 Studien  |  onkologie.m-vf.de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Dostarlimab-Monotherapie erreicht 68% klinische Komplettremission beim dMMR/MSI-H-Rektumkarzinom</w:t>
      </w:r>
    </w:p>
    <w:p>
      <w:r>
        <w:rPr>
          <w:i/>
          <w:color w:val="666666"/>
          <w:sz w:val="18"/>
        </w:rPr>
        <w:t>Cercek A et al.  ·  Ann Oncol  ·  25.10.2026  ·  PMID 42927858</w:t>
      </w:r>
    </w:p>
    <w:p>
      <w:r>
        <w:t>Multizentrisches Phase-III-Registrierungsstudium zur neoadjuvanten Dostarlimab-Monotherapie bei 154 Patienten mit lokal fortgeschrittenem, dMMR/MSI-H-Rektumkarzinom statt Standard-Multimodaltherapie.</w:t>
      </w:r>
    </w:p>
    <w:p>
      <w:r>
        <w:rPr>
          <w:b/>
        </w:rPr>
        <w:t xml:space="preserve">Ergebnis: </w:t>
      </w:r>
      <w:r>
        <w:t>68% der auswertbaren Patienten (144 mit ≥12 Monaten Follow-up) erreichten anhaltende klinische Komplettremission (cCR12), 76% die kombinierte Rate cCR12+pathologische CR. 98% behielten die cCR über ≥12 Monate. Keine Rezidive bei Patienten in cCR oder pCR. Grad-≥3 immunvermittelte Nebenwirkungen bei 3%. Patientenrelevante Outcomes zeigten bedeutsame Verbesserungen.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(inkl. Deutschland), vergleichbar EU-Zulassungsprozess; Ergebnis kann Leitlinienstandards bei dMMR/MSI-H-LARC verändern.</w:t>
      </w:r>
    </w:p>
    <w:p>
      <w:r>
        <w:rPr>
          <w:color w:val="5A7D3A"/>
          <w:sz w:val="18"/>
        </w:rPr>
        <w:t>https://pubmed.ncbi.nlm.nih.gov/42927858/</w:t>
      </w:r>
    </w:p>
    <w:p>
      <w:pPr>
        <w:pStyle w:val="Heading2"/>
      </w:pPr>
      <w:r>
        <w:t>Pembrolizumab plus Chemotherapie verlängert PFS vs. Monotherapie bei PD-L1-hohem NSCLC</w:t>
      </w:r>
    </w:p>
    <w:p>
      <w:r>
        <w:rPr>
          <w:i/>
          <w:color w:val="666666"/>
          <w:sz w:val="18"/>
        </w:rPr>
        <w:t>Descourt R et al.  ·  Ann Oncol  ·  25.10.2026  ·  PMID 42927854</w:t>
      </w:r>
    </w:p>
    <w:p>
      <w:r>
        <w:t>Französische multizentrische Phase-III-Randomisierungsstudie (321 Patienten) zu Pembrolizumab mit oder ohne platinbasierter Chemotherapie als Erstlinie bei fortgeschrittenem NSCLC mit PD-L1≥50%.</w:t>
      </w:r>
    </w:p>
    <w:p>
      <w:r>
        <w:rPr>
          <w:b/>
        </w:rPr>
        <w:t xml:space="preserve">Ergebnis: </w:t>
      </w:r>
      <w:r>
        <w:t>Median-PFS signifikant längerwirkend mit Kombinationstherapie: 16,1 Monate vs. 6,9 Monate (HR 0,56; 95% KI 0,43–0,74; p&lt;0,001). Median-OS 50,2 vs. 29,9 Monate (HR 0,77; 95% KI 0,56–1,05, nicht signifikant). Grad-≥3-Therapienebenwirkungen 54% vs. 19%; Grad-≥3 immunvermittelte Nebenwirkungen 13% in beiden Armen.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Französisches Gesundheitssystem mit Dokumentation vergleichbar Deutschland; Ergebnis praxisverändernd für Firstline-NSCLC-Strategie.</w:t>
      </w:r>
    </w:p>
    <w:p>
      <w:r>
        <w:rPr>
          <w:color w:val="5A7D3A"/>
          <w:sz w:val="18"/>
        </w:rPr>
        <w:t>https://pubmed.ncbi.nlm.nih.gov/42927854/</w:t>
      </w:r>
    </w:p>
    <w:p>
      <w:pPr>
        <w:pStyle w:val="Heading2"/>
      </w:pPr>
      <w:r>
        <w:t>GDF-15-Blockade mit Nivolumab erhöht pathologische CR-Rate beim Blasenkarzinom</w:t>
      </w:r>
    </w:p>
    <w:p>
      <w:r>
        <w:rPr>
          <w:i/>
          <w:color w:val="666666"/>
          <w:sz w:val="18"/>
        </w:rPr>
        <w:t>Necchi A et al.  ·  Nat Med  ·  24.10.2026  ·  PMID 42926233</w:t>
      </w:r>
    </w:p>
    <w:p>
      <w:r>
        <w:t>Explorative, stratifizierte, placebokontrollierte Phase-2a-Studie (31 Patienten) zur Sicherheit und Wirksamkeit von GDF-15-Neutralisierung (Visugromab) plus Nivolumab neoadjuvant bei muskelinvasivem Blasenkarzinom.</w:t>
      </w:r>
    </w:p>
    <w:p>
      <w:r>
        <w:rPr>
          <w:b/>
        </w:rPr>
        <w:t xml:space="preserve">Ergebnis: </w:t>
      </w:r>
      <w:r>
        <w:t>pCR-Rate: 33% (N+V, 5/15) vs. 8% (N+P, 1/13); Major Pathologic Response 60% vs. 23%; radiographisches Gesamtansprechrate 60% vs. 15%. Responsen mit N+V assoziiert mit höheren CD8+-T-Zelldichten unabhängig von CPS und Baseline-GDF-15. Grad-3–4-Therapienebenwirkungen bei 13% (N+V) vs. 20% (N+P), keine therapiebedingten Operationsverzögerungen.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Italienische/deutsche akademische Kooperation; explorative Phase-2a mit klarem Mechanismus-Befund, Basis für weitere Studien in Europa.</w:t>
      </w:r>
    </w:p>
    <w:p>
      <w:r>
        <w:rPr>
          <w:color w:val="5A7D3A"/>
          <w:sz w:val="18"/>
        </w:rPr>
        <w:t>https://pubmed.ncbi.nlm.nih.gov/42926233/</w:t>
      </w:r>
    </w:p>
    <w:p>
      <w:pPr>
        <w:pStyle w:val="Heading2"/>
      </w:pPr>
      <w:r>
        <w:t>Pembrolizumab+Chemotherapie verlängert PFS, nicht OS bei HR+/HER2−/PD-L1+ Brustkrebs</w:t>
      </w:r>
    </w:p>
    <w:p>
      <w:r>
        <w:rPr>
          <w:i/>
          <w:color w:val="666666"/>
          <w:sz w:val="18"/>
        </w:rPr>
        <w:t>Rugo HS et al.  ·  Ann Oncol  ·  24.10.2026  ·  PMID 42926111</w:t>
      </w:r>
    </w:p>
    <w:p>
      <w:r>
        <w:t>Multinationale Phase-III-Randomisierungsstudie (342 Teilnehmer) zu Pembrolizumab plus Chemotherapie vs. Placebo plus Chemotherapie bei fortgeschrittenem HR+/HER2−-Brustkrebs mit PD-L1-Positivität (CPS≥1).</w:t>
      </w:r>
    </w:p>
    <w:p>
      <w:r>
        <w:rPr>
          <w:b/>
        </w:rPr>
        <w:t xml:space="preserve">Ergebnis: </w:t>
      </w:r>
      <w:r>
        <w:t>Interim-Analyse (Median-Follow-up 29,1 Monate): PFS signifikant verlängert mit Pembrolizumab+Chemo: 6,7 vs. 6,0 Monate (HR 0,74; 95% KI 0,58–0,95; p=0,0089). Final Analysis (34,9 Monate): OS 21,0 vs. 22,2 Monate (HR 1,04; 95% KI 0,81–1,33; p=0,6185), nicht signifikant. CPS≥10-Subgruppe numerisches PFS-Vorteil (HR 0,59). Grad-≥3-Therapienebenwirkungen 38% vs. 33%.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 mit europäischen Zentren; PFS-Vorteil ohne OS-Vorteil begrenzt praxisverändernd.</w:t>
      </w:r>
    </w:p>
    <w:p>
      <w:r>
        <w:rPr>
          <w:color w:val="5A7D3A"/>
          <w:sz w:val="18"/>
        </w:rPr>
        <w:t>https://pubmed.ncbi.nlm.nih.gov/42926111/</w:t>
      </w:r>
    </w:p>
    <w:p>
      <w:pPr>
        <w:pStyle w:val="Heading2"/>
      </w:pPr>
      <w:r>
        <w:t>Adjuvantes Cisplatin-Gemcitabin nicht überlegen Capecitabin bei Gallengangskarzinom</w:t>
      </w:r>
    </w:p>
    <w:p>
      <w:r>
        <w:rPr>
          <w:i/>
          <w:color w:val="666666"/>
          <w:sz w:val="18"/>
        </w:rPr>
        <w:t>Stein A et al.  ·  Ann Oncol  ·  24.10.2026  ·  PMID 42926109</w:t>
      </w:r>
    </w:p>
    <w:p>
      <w:r>
        <w:t>Internationale, randomisierte Phase-III-Studie (591 Patienten aus 8 Ländern) zu adjuvantem Cisplatin-Gemcitabin vs. Capecitabin nach R0-Resektion von Cholangiokarziom oder muskelinvasivem Gallenblasenkrebs.</w:t>
      </w:r>
    </w:p>
    <w:p>
      <w:r>
        <w:rPr>
          <w:b/>
        </w:rPr>
        <w:t xml:space="preserve">Ergebnis: </w:t>
      </w:r>
      <w:r>
        <w:t>Median-DFS: 25,7 Monate (CisGem) vs. 17,9 Monate (Capecitabin), log-rank p=0,097 (nicht signifikant). RMST-Analyse (3 Jahre): 2,6 zusätzliche DFS-Monate mit CisGem (95% KI 0,6–4,68; p=0,011), kein signifikanter OS-Vorteil (58,1 vs. 48,2 Monate; p=0,076). Höhere SAE-Rate mit CisGem (130 vs. 113), höhere Gesamtnebenwirkungen (74,7% vs. 69,5%).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Kooperationszentrum (AIO), vergleichbar deutsches Versicherungssystem; Ergebnis gegen Intensivierung in Adjuvans relevant.</w:t>
      </w:r>
    </w:p>
    <w:p>
      <w:r>
        <w:rPr>
          <w:color w:val="5A7D3A"/>
          <w:sz w:val="18"/>
        </w:rPr>
        <w:t>https://pubmed.ncbi.nlm.nih.gov/42926109/</w:t>
      </w:r>
    </w:p>
    <w:p>
      <w:pPr>
        <w:pStyle w:val="Heading2"/>
      </w:pPr>
      <w:r>
        <w:t>Nivolumab+Ipilimumab zeigt signifikanten OS-Vorteil gegen Nivolumab bei MSI-H/dMMR-mCRC</w:t>
      </w:r>
    </w:p>
    <w:p>
      <w:r>
        <w:rPr>
          <w:i/>
          <w:color w:val="666666"/>
          <w:sz w:val="18"/>
        </w:rPr>
        <w:t>Lonardi S et al.  ·  Ann Oncol  ·  24.10.2026  ·  PMID 42926106</w:t>
      </w:r>
    </w:p>
    <w:p>
      <w:r>
        <w:t>Phase-III-Registrierungsstudie (839 Patienten randomisiert, 532 zentralbestätigt MSI-H/dMMR) zu NIVO+IPI vs. NIVO (alle Linien) und vs. Chemotherapie (1L) bei metastasierendem MSI-H/dMMR-Kolorektalkarzinom.</w:t>
      </w:r>
    </w:p>
    <w:p>
      <w:r>
        <w:rPr>
          <w:b/>
        </w:rPr>
        <w:t xml:space="preserve">Ergebnis: </w:t>
      </w:r>
      <w:r>
        <w:t>Median-Follow-up 68,0 Monate über alle Linien. NIVO+IPI zeigte signifikanten OS-Vorteil vs. NIVO (alle Linien: HR 0,61; 95% KI 0,46–0,82; p=0,0009) und vs. Chemo (1L: HR 0,37; 95% KI 0,24–0,57; p&lt;0,0001). Klinisch bedeutsamer OS-Vorteil 1L NIVO+IPI vs. NIVO (HR 0,66; p=0,0432), Signifikanzschwelle nicht erreicht. Grad-3/4-Therapienebenwirkungen 22% (NIVO+IPI) vs. 14% (NIVO).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Zentren (Italien, Spanien, Frankreich); Ergebnis bestätigt Standard-of-Care für MSI-H/dMMR-mCRC europaweit.</w:t>
      </w:r>
    </w:p>
    <w:p>
      <w:r>
        <w:rPr>
          <w:color w:val="5A7D3A"/>
          <w:sz w:val="18"/>
        </w:rPr>
        <w:t>https://pubmed.ncbi.nlm.nih.gov/42926106/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