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14.09.2026  |  6 Studien  |  onkologie.m-vf.de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Teclistamab in smolderendem Myelom hocheffektiv: Phase-2-Trial</w:t>
      </w:r>
    </w:p>
    <w:p>
      <w:r>
        <w:rPr>
          <w:i/>
          <w:color w:val="666666"/>
          <w:sz w:val="18"/>
        </w:rPr>
        <w:t>Nadeem O et al.  ·  Nat Med  ·  11.09.2026  ·  PMID 42728379</w:t>
      </w:r>
    </w:p>
    <w:p>
      <w:r>
        <w:t>Randomisierte Phase-2-ImmunoPRISM-Studie verglich Teclistamab (BCMA-Bispecific Antibody, Fixdauer) mit Lenalidomid/Dexamethason bei 59 Patienten mit Hochrisiko-smolderendem multiplem Myelom.</w:t>
      </w:r>
    </w:p>
    <w:p>
      <w:r>
        <w:rPr>
          <w:b/>
        </w:rPr>
        <w:t xml:space="preserve">Ergebnis: </w:t>
      </w:r>
      <w:r>
        <w:t>Teclistamab: komplette Remission 77,8% vs. 0% (Rd); minimale Resterkrankung-Negativität (10-5) 82,2%; 2-Jahres-Progressionsfreies Überleben 92% vs. 49%; Grad 1–2 Zytokine-Freisetzung, kein Grade-3-Infektionsanstieg,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Phasen-2-Studie mit Potential für Frühintervention; internationale Prüfung, Übertragbarkeit begrenzt bis zur Phase-3-Validierung.</w:t>
      </w:r>
    </w:p>
    <w:p>
      <w:r>
        <w:rPr>
          <w:color w:val="5A7D3A"/>
          <w:sz w:val="18"/>
        </w:rPr>
        <w:t>https://pubmed.ncbi.nlm.nih.gov/42728379/</w:t>
      </w:r>
    </w:p>
    <w:p>
      <w:pPr>
        <w:pStyle w:val="Heading2"/>
      </w:pPr>
      <w:r>
        <w:t>HCC-Management in Asien nach europäischen Leitlinien adaptiert</w:t>
      </w:r>
    </w:p>
    <w:p>
      <w:r>
        <w:rPr>
          <w:i/>
          <w:color w:val="666666"/>
          <w:sz w:val="18"/>
        </w:rPr>
        <w:t>Tan CK et al.  ·  ESMO Open  ·  09.07.2026  ·  PMID 42660571</w:t>
      </w:r>
    </w:p>
    <w:p>
      <w:r>
        <w:t>Pan-asiatische Expertengruppe adaptierte ESMO-Leitlinien zu Diagnose, Therapie und Nachsorge des Hepatozellulären Karzinoms für zehn asiatische Länder.</w:t>
      </w:r>
    </w:p>
    <w:p>
      <w:r>
        <w:rPr>
          <w:b/>
        </w:rPr>
        <w:t xml:space="preserve">Ergebnis: </w:t>
      </w:r>
      <w:r>
        <w:t>Konsens-Richtlinie mit regionsspezifischen Empfehlungen verabschiedet; Fokus auf harmonisierte Behandlung und Zugang trotz regionaler Unterschiede in Arzneimittelzulassung und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Leitlinie mit europäischen Standards, aber auch asiatischen Besonderheiten; teilweise auf deutsches System übertragbar.</w:t>
      </w:r>
    </w:p>
    <w:p>
      <w:r>
        <w:rPr>
          <w:color w:val="5A7D3A"/>
          <w:sz w:val="18"/>
        </w:rPr>
        <w:t>https://pubmed.ncbi.nlm.nih.gov/42660571/</w:t>
      </w:r>
    </w:p>
    <w:p>
      <w:pPr>
        <w:pStyle w:val="Heading2"/>
      </w:pPr>
      <w:r>
        <w:t>Epigenetisches Altern in Dickdarmgewebe zeigt Lebensstilfaktoren-Einfluss</w:t>
      </w:r>
    </w:p>
    <w:p>
      <w:r>
        <w:rPr>
          <w:i/>
          <w:color w:val="666666"/>
          <w:sz w:val="18"/>
        </w:rPr>
        <w:t>Hardikar S et al.  ·  J Natl Cancer Inst  ·  25.08.2026  ·  PMID 42640567</w:t>
      </w:r>
    </w:p>
    <w:p>
      <w:r>
        <w:t>Analyse von epigenetischen Alterungsmodellen (Horvath, Hannum, Zhang u.a.) in Kolonialgewebe von 554 Proben (96 normal, 245 angrenzend, 208 Tumore) zur Untersuchung von Zusammenhängen mit Lebensstilfaktoren und Krebsentwicklung.</w:t>
      </w:r>
    </w:p>
    <w:p>
      <w:r>
        <w:rPr>
          <w:b/>
        </w:rPr>
        <w:t xml:space="preserve">Ergebnis: </w:t>
      </w:r>
      <w:r>
        <w:t>Horvath-Modell zeigte beste Korrelation mit chronologischem Alter (r &gt;0,70) in normalem Gewebe; signifikante Alters-Beschleunigung in tumoren vs. normal/angrenzend bei allen Modellen; körperliche Aktivität (PhenoAge), Rauchen (GrimAge) und Alkoholkonsum (Horvath, Mitose-Uhren) assoziiert mit epigenetischem Altern in angrenzender Mukosa.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USA/deutsche Zentren, diverse Populationen; Grundlagenforschung zu Risikostratifikation.</w:t>
      </w:r>
    </w:p>
    <w:p>
      <w:r>
        <w:rPr>
          <w:color w:val="5A7D3A"/>
          <w:sz w:val="18"/>
        </w:rPr>
        <w:t>https://pubmed.ncbi.nlm.nih.gov/42640567/</w:t>
      </w:r>
    </w:p>
    <w:p>
      <w:pPr>
        <w:pStyle w:val="Heading2"/>
      </w:pPr>
      <w:r>
        <w:t>Tebentafusp gegen Uveales Melanom im UK-Programm wirksam wie Phase-3-Daten</w:t>
      </w:r>
    </w:p>
    <w:p>
      <w:r>
        <w:rPr>
          <w:i/>
          <w:color w:val="666666"/>
          <w:sz w:val="18"/>
        </w:rPr>
        <w:t>Joseph M et al.  ·  Oncologist  ·  09.09.2026  ·  PMID 42640561</w:t>
      </w:r>
    </w:p>
    <w:p>
      <w:r>
        <w:t>Retrospektive Real-World-Effektivitäts- und Toxizitäts-Analyse der UK Expanded Access Programme (EAP) mit 88 Patienten mit metastasiertem uvealen Melanom, behandelt Juli 2021–Juni 2023.</w:t>
      </w:r>
    </w:p>
    <w:p>
      <w:r>
        <w:rPr>
          <w:b/>
        </w:rPr>
        <w:t xml:space="preserve">Ergebnis: </w:t>
      </w:r>
      <w:r>
        <w:t>Medianes Gesamtüberleben 21 Monate (95%-KI 17-NR); medianes progressionsfreies Überleben 2,76 Monate (95%-KI 2,53–3,22); 12-Monats-Überlebenrate 75% (95%-KI 66,1–85,6); niedrigere LDH und niedrigere Leberlastung tendierten zu besserem Überleben; LDH ≥2× obere Normgrenze zeigte sehr schlechte Prognose; keine Grade ≥3 Toxizität nach Dosis 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NHS-System, vergleichbar mit deutschem, Real-World-Evidenz für Kostenträger relevant.</w:t>
      </w:r>
    </w:p>
    <w:p>
      <w:r>
        <w:rPr>
          <w:color w:val="5A7D3A"/>
          <w:sz w:val="18"/>
        </w:rPr>
        <w:t>https://pubmed.ncbi.nlm.nih.gov/42640561/</w:t>
      </w:r>
    </w:p>
    <w:p>
      <w:pPr>
        <w:pStyle w:val="Heading2"/>
      </w:pPr>
      <w:r>
        <w:t>Daratumumab+Lenalidomid verlängert Überleben im älteren Myelom dauerhaft</w:t>
      </w:r>
    </w:p>
    <w:p>
      <w:r>
        <w:rPr>
          <w:i/>
          <w:color w:val="666666"/>
          <w:sz w:val="18"/>
        </w:rPr>
        <w:t>Facon T et al.  ·  Leukemia  ·  24.08.2026  ·  PMID 42637879</w:t>
      </w:r>
    </w:p>
    <w:p>
      <w:r>
        <w:t>Finale Analyse der MAIA-Studie: Randomisierte Phase-III-Prüfung zu Daratumumab+Lenalidomid/Dexamethason (D-Rd) vs. Lenalidomid/Dexamethason (Rd) bei 737 nicht-transplant-fähigen Patienten mit neu diagnostiziertem multiplem Myelom.</w:t>
      </w:r>
    </w:p>
    <w:p>
      <w:r>
        <w:rPr>
          <w:b/>
        </w:rPr>
        <w:t xml:space="preserve">Ergebnis: </w:t>
      </w:r>
      <w:r>
        <w:t>Medianes Gesamtüberleben: 90,3 Monate (D-Rd) vs. 64,1 Monate (Rd), HR 0,67 (95%-KI 0,55–0,82); 7-Jahres-Überleben 53,1% vs. 39,3%; mediane Zeit bis Folgetherapie nicht erreicht vs. 42,4 Monate. Follow-up &gt;7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Studie; Basis für Leitlinienstandard bei älteren Patienten, in Deutschland anwendbar.</w:t>
      </w:r>
    </w:p>
    <w:p>
      <w:r>
        <w:rPr>
          <w:color w:val="5A7D3A"/>
          <w:sz w:val="18"/>
        </w:rPr>
        <w:t>https://pubmed.ncbi.nlm.nih.gov/42637879/</w:t>
      </w:r>
    </w:p>
    <w:p>
      <w:pPr>
        <w:pStyle w:val="Heading2"/>
      </w:pPr>
      <w:r>
        <w:t>Olaparib-Erhaltung bei BRCA-mutiertem Brustkrebs: 6-Jahres-Vorteile halten an</w:t>
      </w:r>
    </w:p>
    <w:p>
      <w:r>
        <w:rPr>
          <w:i/>
          <w:color w:val="666666"/>
          <w:sz w:val="18"/>
        </w:rPr>
        <w:t>Garber JE et al.  ·  Ann Oncol  ·  24.08.2026  ·  PMID 42636977</w:t>
      </w:r>
    </w:p>
    <w:p>
      <w:r>
        <w:t>Dritte geplante Zwischenanalyse der randomisierten Phase-III-OlympiA-Studie zu adjuvantem Olaparib (PARP-Inhibitor) versus Placebo nach Chemotherapie bei 1.836 Patientinnen mit Keimbahn-BRCA-Mutation und HER2-negativem Hochrisiko-Brustkrebs.</w:t>
      </w:r>
    </w:p>
    <w:p>
      <w:r>
        <w:rPr>
          <w:b/>
        </w:rPr>
        <w:t xml:space="preserve">Ergebnis: </w:t>
      </w:r>
      <w:r>
        <w:t>Bei 6,1 Jahren medianer Nachbeobachtung: Invasives rezidivfreies Überleben (HR 0,65; 95%-KI 0,53–0,78), Gesamtüberleben (HR 0,72; 95%-KI 0,56–0,93); 6-Jahres-Überleben 87,5% vs. 83,2%; keine neuen Sicherheitssignale, kein erhöhtes MDS/AML-Risiko (0,4% vs. 0,7%).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europäischen und deutschen Zentren; Befund ändert Leitlinienempfehlungen.</w:t>
      </w:r>
    </w:p>
    <w:p>
      <w:r>
        <w:rPr>
          <w:color w:val="5A7D3A"/>
          <w:sz w:val="18"/>
        </w:rPr>
        <w:t>https://pubmed.ncbi.nlm.nih.gov/42636977/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2026-09-14T06:00:00Z</dcterms:created>
  <dcterms:modified xsi:type="dcterms:W3CDTF">2026-09-14T06:00:00Z</dcterms:modified>
  <cp:category/>
</cp:coreProperties>
</file>