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Onkologie</w:t>
      </w:r>
    </w:p>
    <w:p>
      <w:r>
        <w:rPr>
          <w:i/>
          <w:color w:val="666666"/>
          <w:sz w:val="18"/>
        </w:rPr>
        <w:t>Stand: 14.09.2026  |  30 Studien  |  onkologie.m-vf.de</w:t>
      </w:r>
    </w:p>
    <w:p>
      <w:pPr>
        <w:pStyle w:val="Heading1"/>
      </w:pPr>
      <w:r>
        <w:t>Aufgenommen am 14.09.2026</w:t>
      </w:r>
    </w:p>
    <w:p>
      <w:pPr>
        <w:pStyle w:val="Heading2"/>
      </w:pPr>
      <w:r>
        <w:t>Teclistamab in smolderendem Myelom hocheffektiv: Phase-2-Trial</w:t>
      </w:r>
    </w:p>
    <w:p>
      <w:r>
        <w:rPr>
          <w:i/>
          <w:color w:val="666666"/>
          <w:sz w:val="18"/>
        </w:rPr>
        <w:t>Nadeem O et al.  ·  Nat Med  ·  11.09.2026  ·  PMID 42728379</w:t>
      </w:r>
    </w:p>
    <w:p>
      <w:r>
        <w:t>Randomisierte Phase-2-ImmunoPRISM-Studie verglich Teclistamab (BCMA-Bispecific Antibody, Fixdauer) mit Lenalidomid/Dexamethason bei 59 Patienten mit Hochrisiko-smolderendem multiplem Myelom.</w:t>
      </w:r>
    </w:p>
    <w:p>
      <w:r>
        <w:rPr>
          <w:b/>
        </w:rPr>
        <w:t xml:space="preserve">Ergebnis: </w:t>
      </w:r>
      <w:r>
        <w:t>Teclistamab: komplette Remission 77,8% vs. 0% (Rd); minimale Resterkrankung-Negativität (10-5) 82,2%; 2-Jahres-Progressionsfreies Überleben 92% vs. 49%; Grad 1–2 Zytokine-Freisetzung, kein Grade-3-Infektionsanstieg, keine Todesfälle.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Phasen-2-Studie mit Potential für Frühintervention; internationale Prüfung, Übertragbarkeit begrenzt bis zur Phase-3-Validierung.</w:t>
      </w:r>
    </w:p>
    <w:p>
      <w:r>
        <w:rPr>
          <w:color w:val="5A7D3A"/>
          <w:sz w:val="18"/>
        </w:rPr>
        <w:t>https://pubmed.ncbi.nlm.nih.gov/42728379/</w:t>
      </w:r>
    </w:p>
    <w:p>
      <w:pPr>
        <w:pStyle w:val="Heading2"/>
      </w:pPr>
      <w:r>
        <w:t>HCC-Management in Asien nach europäischen Leitlinien adaptiert</w:t>
      </w:r>
    </w:p>
    <w:p>
      <w:r>
        <w:rPr>
          <w:i/>
          <w:color w:val="666666"/>
          <w:sz w:val="18"/>
        </w:rPr>
        <w:t>Tan CK et al.  ·  ESMO Open  ·  09.07.2026  ·  PMID 42660571</w:t>
      </w:r>
    </w:p>
    <w:p>
      <w:r>
        <w:t>Pan-asiatische Expertengruppe adaptierte ESMO-Leitlinien zu Diagnose, Therapie und Nachsorge des Hepatozellulären Karzinoms für zehn asiatische Länder.</w:t>
      </w:r>
    </w:p>
    <w:p>
      <w:r>
        <w:rPr>
          <w:b/>
        </w:rPr>
        <w:t xml:space="preserve">Ergebnis: </w:t>
      </w:r>
      <w:r>
        <w:t>Konsens-Richtlinie mit regionsspezifischen Empfehlungen verabschiedet; Fokus auf harmonisierte Behandlung und Zugang trotz regionaler Unterschiede in Arzneimittelzulassung und Erstattung.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Leitlinie mit europäischen Standards, aber auch asiatischen Besonderheiten; teilweise auf deutsches System übertragbar.</w:t>
      </w:r>
    </w:p>
    <w:p>
      <w:r>
        <w:rPr>
          <w:color w:val="5A7D3A"/>
          <w:sz w:val="18"/>
        </w:rPr>
        <w:t>https://pubmed.ncbi.nlm.nih.gov/42660571/</w:t>
      </w:r>
    </w:p>
    <w:p>
      <w:pPr>
        <w:pStyle w:val="Heading2"/>
      </w:pPr>
      <w:r>
        <w:t>Epigenetisches Altern in Dickdarmgewebe zeigt Lebensstilfaktoren-Einfluss</w:t>
      </w:r>
    </w:p>
    <w:p>
      <w:r>
        <w:rPr>
          <w:i/>
          <w:color w:val="666666"/>
          <w:sz w:val="18"/>
        </w:rPr>
        <w:t>Hardikar S et al.  ·  J Natl Cancer Inst  ·  25.08.2026  ·  PMID 42640567</w:t>
      </w:r>
    </w:p>
    <w:p>
      <w:r>
        <w:t>Analyse von epigenetischen Alterungsmodellen (Horvath, Hannum, Zhang u.a.) in Kolonialgewebe von 554 Proben (96 normal, 245 angrenzend, 208 Tumore) zur Untersuchung von Zusammenhängen mit Lebensstilfaktoren und Krebsentwicklung.</w:t>
      </w:r>
    </w:p>
    <w:p>
      <w:r>
        <w:rPr>
          <w:b/>
        </w:rPr>
        <w:t xml:space="preserve">Ergebnis: </w:t>
      </w:r>
      <w:r>
        <w:t>Horvath-Modell zeigte beste Korrelation mit chronologischem Alter (r &gt;0,70) in normalem Gewebe; signifikante Alters-Beschleunigung in tumoren vs. normal/angrenzend bei allen Modellen; körperliche Aktivität (PhenoAge), Rauchen (GrimAge) und Alkoholkonsum (Horvath, Mitose-Uhren) assoziiert mit epigenetischem Altern in angrenzender Mukosa.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USA/deutsche Zentren, diverse Populationen; Grundlagenforschung zu Risikostratifikation.</w:t>
      </w:r>
    </w:p>
    <w:p>
      <w:r>
        <w:rPr>
          <w:color w:val="5A7D3A"/>
          <w:sz w:val="18"/>
        </w:rPr>
        <w:t>https://pubmed.ncbi.nlm.nih.gov/42640567/</w:t>
      </w:r>
    </w:p>
    <w:p>
      <w:pPr>
        <w:pStyle w:val="Heading2"/>
      </w:pPr>
      <w:r>
        <w:t>Tebentafusp gegen Uveales Melanom im UK-Programm wirksam wie Phase-3-Daten</w:t>
      </w:r>
    </w:p>
    <w:p>
      <w:r>
        <w:rPr>
          <w:i/>
          <w:color w:val="666666"/>
          <w:sz w:val="18"/>
        </w:rPr>
        <w:t>Joseph M et al.  ·  Oncologist  ·  09.09.2026  ·  PMID 42640561</w:t>
      </w:r>
    </w:p>
    <w:p>
      <w:r>
        <w:t>Retrospektive Real-World-Effektivitäts- und Toxizitäts-Analyse der UK Expanded Access Programme (EAP) mit 88 Patienten mit metastasiertem uvealen Melanom, behandelt Juli 2021–Juni 2023.</w:t>
      </w:r>
    </w:p>
    <w:p>
      <w:r>
        <w:rPr>
          <w:b/>
        </w:rPr>
        <w:t xml:space="preserve">Ergebnis: </w:t>
      </w:r>
      <w:r>
        <w:t>Medianes Gesamtüberleben 21 Monate (95%-KI 17-NR); medianes progressionsfreies Überleben 2,76 Monate (95%-KI 2,53–3,22); 12-Monats-Überlebenrate 75% (95%-KI 66,1–85,6); niedrigere LDH und niedrigere Leberlastung tendierten zu besserem Überleben; LDH ≥2× obere Normgrenze zeigte sehr schlechte Prognose; keine Grade ≥3 Toxizität nach Dosis 5.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Britisches NHS-System, vergleichbar mit deutschem, Real-World-Evidenz für Kostenträger relevant.</w:t>
      </w:r>
    </w:p>
    <w:p>
      <w:r>
        <w:rPr>
          <w:color w:val="5A7D3A"/>
          <w:sz w:val="18"/>
        </w:rPr>
        <w:t>https://pubmed.ncbi.nlm.nih.gov/42640561/</w:t>
      </w:r>
    </w:p>
    <w:p>
      <w:pPr>
        <w:pStyle w:val="Heading2"/>
      </w:pPr>
      <w:r>
        <w:t>Daratumumab+Lenalidomid verlängert Überleben im älteren Myelom dauerhaft</w:t>
      </w:r>
    </w:p>
    <w:p>
      <w:r>
        <w:rPr>
          <w:i/>
          <w:color w:val="666666"/>
          <w:sz w:val="18"/>
        </w:rPr>
        <w:t>Facon T et al.  ·  Leukemia  ·  24.08.2026  ·  PMID 42637879</w:t>
      </w:r>
    </w:p>
    <w:p>
      <w:r>
        <w:t>Finale Analyse der MAIA-Studie: Randomisierte Phase-III-Prüfung zu Daratumumab+Lenalidomid/Dexamethason (D-Rd) vs. Lenalidomid/Dexamethason (Rd) bei 737 nicht-transplant-fähigen Patienten mit neu diagnostiziertem multiplem Myelom.</w:t>
      </w:r>
    </w:p>
    <w:p>
      <w:r>
        <w:rPr>
          <w:b/>
        </w:rPr>
        <w:t xml:space="preserve">Ergebnis: </w:t>
      </w:r>
      <w:r>
        <w:t>Medianes Gesamtüberleben: 90,3 Monate (D-Rd) vs. 64,1 Monate (Rd), HR 0,67 (95%-KI 0,55–0,82); 7-Jahres-Überleben 53,1% vs. 39,3%; mediane Zeit bis Folgetherapie nicht erreicht vs. 42,4 Monate. Follow-up &gt;7 Jahre.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Studie; Basis für Leitlinienstandard bei älteren Patienten, in Deutschland anwendbar.</w:t>
      </w:r>
    </w:p>
    <w:p>
      <w:r>
        <w:rPr>
          <w:color w:val="5A7D3A"/>
          <w:sz w:val="18"/>
        </w:rPr>
        <w:t>https://pubmed.ncbi.nlm.nih.gov/42637879/</w:t>
      </w:r>
    </w:p>
    <w:p>
      <w:pPr>
        <w:pStyle w:val="Heading2"/>
      </w:pPr>
      <w:r>
        <w:t>Olaparib-Erhaltung bei BRCA-mutiertem Brustkrebs: 6-Jahres-Vorteile halten an</w:t>
      </w:r>
    </w:p>
    <w:p>
      <w:r>
        <w:rPr>
          <w:i/>
          <w:color w:val="666666"/>
          <w:sz w:val="18"/>
        </w:rPr>
        <w:t>Garber JE et al.  ·  Ann Oncol  ·  24.08.2026  ·  PMID 42636977</w:t>
      </w:r>
    </w:p>
    <w:p>
      <w:r>
        <w:t>Dritte geplante Zwischenanalyse der randomisierten Phase-III-OlympiA-Studie zu adjuvantem Olaparib (PARP-Inhibitor) versus Placebo nach Chemotherapie bei 1.836 Patientinnen mit Keimbahn-BRCA-Mutation und HER2-negativem Hochrisiko-Brustkrebs.</w:t>
      </w:r>
    </w:p>
    <w:p>
      <w:r>
        <w:rPr>
          <w:b/>
        </w:rPr>
        <w:t xml:space="preserve">Ergebnis: </w:t>
      </w:r>
      <w:r>
        <w:t>Bei 6,1 Jahren medianer Nachbeobachtung: Invasives rezidivfreies Überleben (HR 0,65; 95%-KI 0,53–0,78), Gesamtüberleben (HR 0,72; 95%-KI 0,56–0,93); 6-Jahres-Überleben 87,5% vs. 83,2%; keine neuen Sicherheitssignale, kein erhöhtes MDS/AML-Risiko (0,4% vs. 0,7%).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Studie mit europäischen und deutschen Zentren; Befund ändert Leitlinienempfehlungen.</w:t>
      </w:r>
    </w:p>
    <w:p>
      <w:r>
        <w:rPr>
          <w:color w:val="5A7D3A"/>
          <w:sz w:val="18"/>
        </w:rPr>
        <w:t>https://pubmed.ncbi.nlm.nih.gov/42636977/</w:t>
      </w:r>
    </w:p>
    <w:p>
      <w:pPr>
        <w:pStyle w:val="Heading1"/>
      </w:pPr>
      <w:r>
        <w:t>Aufgenommen am 13.09.2026</w:t>
      </w:r>
    </w:p>
    <w:p>
      <w:pPr>
        <w:pStyle w:val="Heading2"/>
      </w:pPr>
      <w:r>
        <w:t>Genomische Alterationen in Hirn-Metastasen von Brustkrebs: 76,8 % haben therapeutisch nutzbare Targets</w:t>
      </w:r>
    </w:p>
    <w:p>
      <w:r>
        <w:rPr>
          <w:i/>
          <w:color w:val="666666"/>
          <w:sz w:val="18"/>
        </w:rPr>
        <w:t>Griguolo G et al.  ·  ESMO Open  ·  11.09.2026  ·  PMID 42727421</w:t>
      </w:r>
    </w:p>
    <w:p>
      <w:r>
        <w:t>Whole-exome-Sequenzierung von 56 Hirn-Metastasen-Proben aus Brustkrebs-Patienten zur Identifikation klinisch umsetzbarer genomischer Alterationen nach ESCAT-Kriterien.</w:t>
      </w:r>
    </w:p>
    <w:p>
      <w:r>
        <w:rPr>
          <w:b/>
        </w:rPr>
        <w:t xml:space="preserve">Ergebnis: </w:t>
      </w:r>
      <w:r>
        <w:t>76,8 % zeigten ESCAT-I/II-Alterationen; häufigste waren DNA-Reparatur-Gene (BRCA1/2/PALB2: 53,6 %); biallele Inaktivierung bei 19,6 % (höher bei HER2-negativ: 26 % HR-neg/HER2-neg, 21 % HR-pos/HER2-neg); PIK3CA/AKT1/PTEN-Alterationen in 48,2 %; kein ESR1 in HR-positiven; hotspot PIK3CA bei HER2-positivem assoziiert mit schlechterer Prognose.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Italienisch-französische Kooperation, ESCAT-Klassifikation europäisch – direkt auf deutsches Targeting-System übertragbar.</w:t>
      </w:r>
    </w:p>
    <w:p>
      <w:r>
        <w:rPr>
          <w:color w:val="5A7D3A"/>
          <w:sz w:val="18"/>
        </w:rPr>
        <w:t>https://pubmed.ncbi.nlm.nih.gov/42727421/</w:t>
      </w:r>
    </w:p>
    <w:p>
      <w:pPr>
        <w:pStyle w:val="Heading2"/>
      </w:pPr>
      <w:r>
        <w:t>Hautkrebs-Bestrahlungen um 79% gestiegen: Trends der Radioonkologie 2015–2022</w:t>
      </w:r>
    </w:p>
    <w:p>
      <w:r>
        <w:rPr>
          <w:i/>
          <w:color w:val="666666"/>
          <w:sz w:val="18"/>
        </w:rPr>
        <w:t>Diefenhardt M et al.  ·  Strahlenther Onkol  ·  11.09.2026  ·  PMID 42726226</w:t>
      </w:r>
    </w:p>
    <w:p>
      <w:r>
        <w:t>Retrospektive Analyse von 8.842 Patienten in einer deutschen Uniklinik-Radiotherapie zwischen 2015 und 2022 zu Trends in Tumorentitäten, Alter und Behandlungsabständen.</w:t>
      </w:r>
    </w:p>
    <w:p>
      <w:r>
        <w:rPr>
          <w:b/>
        </w:rPr>
        <w:t xml:space="preserve">Ergebnis: </w:t>
      </w:r>
      <w:r>
        <w:t>Hautkrebs-Bestrahlungen stiegen um 79 %, Prostata um 10 %, Medianalter von 62 auf 64 Jahre; 47 % der Patienten kamen aus 10-km-Radius; Pandemie 2020-2021 führte zu keinen signifikanten Veränderungen in Patientenzahlen oder Tumortyp-Verteilung.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Uniklinik-Daten, direkt auf deutsches Radiotherapie-Versorgungssystem übertragbar.</w:t>
      </w:r>
    </w:p>
    <w:p>
      <w:r>
        <w:rPr>
          <w:color w:val="5A7D3A"/>
          <w:sz w:val="18"/>
        </w:rPr>
        <w:t>https://pubmed.ncbi.nlm.nih.gov/42726226/</w:t>
      </w:r>
    </w:p>
    <w:p>
      <w:pPr>
        <w:pStyle w:val="Heading2"/>
      </w:pPr>
      <w:r>
        <w:t>Cell-free DNA in Großzelliger B-Zell-Lymphom: technische Anforderungen für Minimal-Residual-Disease-Monitoring</w:t>
      </w:r>
    </w:p>
    <w:p>
      <w:r>
        <w:rPr>
          <w:i/>
          <w:color w:val="666666"/>
          <w:sz w:val="18"/>
        </w:rPr>
        <w:t>Krupka JA et al.  ·  Blood  ·  03.09.2026  ·  PMID 42691013</w:t>
      </w:r>
    </w:p>
    <w:p>
      <w:r>
        <w:t>Narrative Übersichtsarbeit zu ctDNA-Einsatz im diffusen großzelligen B-Zell-Lymphom mit Fokus auf technische Herausforderungen, Assay-Design und klinische Implementierung.</w:t>
      </w:r>
    </w:p>
    <w:p>
      <w:r>
        <w:rPr>
          <w:b/>
        </w:rPr>
        <w:t xml:space="preserve">Ergebnis: </w:t>
      </w:r>
      <w:r>
        <w:t>Tumor-informierte Assays mit mehreren genetischen Markern verbessern Sensitivität des Monitoring substanziell; Standardisierung und prospektive Validierung sind notwendig für Routineimplementierung; niedrige ctDNA-Häufigkeit und Unterscheidung von niedrigen Allel-Fraktionen bleiben Hauptprobleme.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Technisches Review ohne spezifische Zahlen, eher Empfehlungscharakter; europäische Kontributoren.</w:t>
      </w:r>
    </w:p>
    <w:p>
      <w:r>
        <w:rPr>
          <w:color w:val="5A7D3A"/>
          <w:sz w:val="18"/>
        </w:rPr>
        <w:t>https://pubmed.ncbi.nlm.nih.gov/42691013/</w:t>
      </w:r>
    </w:p>
    <w:p>
      <w:pPr>
        <w:pStyle w:val="Heading2"/>
      </w:pPr>
      <w:r>
        <w:t>Tumor-Protein ADAMTSL4 treibt Kachexie durch TGFβ-Aktivierung – therapeutisches Ziel identifiziert</w:t>
      </w:r>
    </w:p>
    <w:p>
      <w:r>
        <w:rPr>
          <w:i/>
          <w:color w:val="666666"/>
          <w:sz w:val="18"/>
        </w:rPr>
        <w:t>Machado J et al.  ·  Cancer Discov  ·  01.09.2026  ·  PMID 42678278</w:t>
      </w:r>
    </w:p>
    <w:p>
      <w:r>
        <w:t>Mechanistische Studie in Modellen und Patienten mit kolorektalem und Lungenkarzinom zur Rolle von Tumor-Sekretion von ADAMTSL4 in der Pathogenese von Krebs-Kachexie.</w:t>
      </w:r>
    </w:p>
    <w:p>
      <w:r>
        <w:rPr>
          <w:b/>
        </w:rPr>
        <w:t xml:space="preserve">Ergebnis: </w:t>
      </w:r>
      <w:r>
        <w:t>ADAMTSL4-Überexpression machte nicht-kachektische Tumoren zu kachektischen; ADAMTSL4-Knockout reduzierte Muskelatrophie-Signaturen und Kachexie-Schweregrad; erhöhte zirkulierende ADAMTSL4-Level waren mit TGFβ-getriebener Muskelatrophie in Kachexie-Patienten assoziiert; ADAMTSL4-Blockade könnte selektive Therapie ohne systemische TGFβ-Blockade ermöglichen.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 mit deutschen und internationalen Zentren; präklinisches Modell mit klinischer Validierung – Weg zur Therapeutik erkennbar.</w:t>
      </w:r>
    </w:p>
    <w:p>
      <w:r>
        <w:rPr>
          <w:color w:val="5A7D3A"/>
          <w:sz w:val="18"/>
        </w:rPr>
        <w:t>https://pubmed.ncbi.nlm.nih.gov/42678278/</w:t>
      </w:r>
    </w:p>
    <w:p>
      <w:pPr>
        <w:pStyle w:val="Heading2"/>
      </w:pPr>
      <w:r>
        <w:t>Durvalumab perioperativ bei resektablem NSCLC: AEGEAN-Phase-III-Studie verbessert ereignisfreies Überleben</w:t>
      </w:r>
    </w:p>
    <w:p>
      <w:r>
        <w:rPr>
          <w:i/>
          <w:color w:val="666666"/>
          <w:sz w:val="18"/>
        </w:rPr>
        <w:t>Heymach JV et al.  ·  J Clin Oncol  ·  28.08.2026  ·  PMID 42664473</w:t>
      </w:r>
    </w:p>
    <w:p>
      <w:r>
        <w:t>Phase-III-Studie mit 740 Patienten zu neoadjuvanter Chemotherapie plus Durvalumab oder Placebo vor Operation und anschließender adjuvanter Durvalumab/Placebo-Therapie beim resektablen NSCLC Stadium II-IIIB.</w:t>
      </w:r>
    </w:p>
    <w:p>
      <w:r>
        <w:rPr>
          <w:b/>
        </w:rPr>
        <w:t xml:space="preserve">Ergebnis: </w:t>
      </w:r>
      <w:r>
        <w:t>Durvalumab reduzierte ereignisfreies Überleben (HR 0,69; 95%-KI 0,55–0,88), Zahlentrend für progressionsfreies Überleben (HR 0,66) und Gesamtüberleben (HR 0,89); Grad-3/4-Nebenwirkungen unter adjuvanter Therapie: 15,4 % vs. 10,6 % Placebo; Sicherheitsprofil konsistent mit Einzelsubstanzen.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Phase-III-Studie mit europäischen Zentren; praxisverändernd bei AMNOG und Zulassung.</w:t>
      </w:r>
    </w:p>
    <w:p>
      <w:r>
        <w:rPr>
          <w:color w:val="5A7D3A"/>
          <w:sz w:val="18"/>
        </w:rPr>
        <w:t>https://pubmed.ncbi.nlm.nih.gov/42664473/</w:t>
      </w:r>
    </w:p>
    <w:p>
      <w:pPr>
        <w:pStyle w:val="Heading2"/>
      </w:pPr>
      <w:r>
        <w:t>Dynamisches Prognose-Modell CIRI2-CLL für Rezidivrisiko nach limitierter Therapie verbessert Vorhersage um bis zu 37 %</w:t>
      </w:r>
    </w:p>
    <w:p>
      <w:r>
        <w:rPr>
          <w:i/>
          <w:color w:val="666666"/>
          <w:sz w:val="18"/>
        </w:rPr>
        <w:t>Al-Sawaf O et al.  ·  J Clin Oncol  ·  27.08.2026  ·  PMID 42659576</w:t>
      </w:r>
    </w:p>
    <w:p>
      <w:r>
        <w:t>Validierungsstudie eines verfeinerten kontinuierlichen Risikoindex (CIRI2-CLL) zur Prognosebestimmung nach limitierter Behandlung der chronischen lymphatischen Leukämie mit Minimal-Residual-Disease-Status.</w:t>
      </w:r>
    </w:p>
    <w:p>
      <w:r>
        <w:rPr>
          <w:b/>
        </w:rPr>
        <w:t xml:space="preserve">Ergebnis: </w:t>
      </w:r>
      <w:r>
        <w:t>CIRI2-CLL zeigte gute Kalibrierung (ca. 5 % Differenz zwischen beobachteter und vorhergesagter Ereigniswahrscheinlichkeit); C-Statistik 0,82–0,98 an allen Zeitpunkten; 14–37 % Verbesserung der PFS-Vorhersage gegenüber MRD und CLL-IPI; 3-Jahres-PFS: 100,0 % (niedrig), 70,2 % (mittel), 10,8 % (hoch); Modell frei verfügbar auf Stanford-Plattform für individualisierte Therapieentscheidung.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CLL-Studiengruppe führend; validiert in europäischen und internationalen Kohorten.</w:t>
      </w:r>
    </w:p>
    <w:p>
      <w:r>
        <w:rPr>
          <w:color w:val="5A7D3A"/>
          <w:sz w:val="18"/>
        </w:rPr>
        <w:t>https://pubmed.ncbi.nlm.nih.gov/42659576/</w:t>
      </w:r>
    </w:p>
    <w:p>
      <w:pPr>
        <w:pStyle w:val="Heading1"/>
      </w:pPr>
      <w:r>
        <w:t>Aufgenommen am 12.09.2026</w:t>
      </w:r>
    </w:p>
    <w:p>
      <w:pPr>
        <w:pStyle w:val="Heading2"/>
      </w:pPr>
      <w:r>
        <w:t>PRO-Symptommonitoring bei Lungenkrebspatienten verlängert Gesamtüberleben um 5 Monate</w:t>
      </w:r>
    </w:p>
    <w:p>
      <w:r>
        <w:rPr>
          <w:i/>
          <w:color w:val="666666"/>
          <w:sz w:val="18"/>
        </w:rPr>
        <w:t>Hassing MJ et al.  ·  Lancet Oncol  ·  11.09.2026  ·  PMID 42727592</w:t>
      </w:r>
    </w:p>
    <w:p>
      <w:r>
        <w:t>Randomisierte niederländische Studie (14 medizinische Zentren, Stepped-Wedge-Design) zur Wirkung wöchentlicher Online-Symptomselbstberichte auf Überleben bei Patienten mit Lung Cancer im Stadium I-IV unter Behandlung.</w:t>
      </w:r>
    </w:p>
    <w:p>
      <w:r>
        <w:rPr>
          <w:b/>
        </w:rPr>
        <w:t xml:space="preserve">Ergebnis: </w:t>
      </w:r>
      <w:r>
        <w:t>Bei 446 Patienten (median 50 Monate Follow-up): Median Overall Survival in der Intervention 26 Monate versus Kontrolle 21 Monate (Hazard Ratio 0,80; 95%-CI 0,63–1,00; p=0,049). Progression-Free Survival zeigte keinen signifikanten Unterschied (HR 0,86; p=0,18). Praxisrelevant: strukturierte Patient-Reported Outcomes ermöglichen 5-Monate-Gewinn bei aktuellen Therapien.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Klinikdaten mit Versorgungsauftrag ähnlich Deutschland</w:t>
      </w:r>
    </w:p>
    <w:p>
      <w:r>
        <w:rPr>
          <w:color w:val="5A7D3A"/>
          <w:sz w:val="18"/>
        </w:rPr>
        <w:t>https://pubmed.ncbi.nlm.nih.gov/42727592/</w:t>
      </w:r>
    </w:p>
    <w:p>
      <w:pPr>
        <w:pStyle w:val="Heading2"/>
      </w:pPr>
      <w:r>
        <w:t>Trastuzumab Botidotin gegenüber Trastuzumab Emtansine: 11,1 vs. 4,4 Monate progressionsfreies Überleben</w:t>
      </w:r>
    </w:p>
    <w:p>
      <w:r>
        <w:rPr>
          <w:i/>
          <w:color w:val="666666"/>
          <w:sz w:val="18"/>
        </w:rPr>
        <w:t>Zhang J et al.  ·  J Clin Oncol  ·  11.09.2026  ·  PMID 42727044</w:t>
      </w:r>
    </w:p>
    <w:p>
      <w:r>
        <w:t>Phase-III-Studie (365 Patienten, China, 57 Zentren) mit randomisierter Direktvergleich zweier HER2-gerichteter Antikörper-Wirkstoff-Konjugate bei vorbehandeltem HER2-positivem metastasiertem Brustkrebs.</w:t>
      </w:r>
    </w:p>
    <w:p>
      <w:r>
        <w:rPr>
          <w:b/>
        </w:rPr>
        <w:t xml:space="preserve">Ergebnis: </w:t>
      </w:r>
      <w:r>
        <w:t>Trastuzumab Botidotin vs. Trastuzumab Emtansine: medianes Progression-Free Survival 11,1 vs. 4,4 Monate (HR 0,39; p&lt;0,0001); Objective Response Rate 76,9% vs. 53,0%. Grade ≥3 unerwünschte Ereignisse 69,8% vs. 63,7%, höchste Inzidenz bei Augenoberflächen-Toxizität (47,7%), aber meist reversibel.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Botidotin hat EU-Zulassung; Übertragbarkeit für deutsche Zentren gegeben</w:t>
      </w:r>
    </w:p>
    <w:p>
      <w:r>
        <w:rPr>
          <w:color w:val="5A7D3A"/>
          <w:sz w:val="18"/>
        </w:rPr>
        <w:t>https://pubmed.ncbi.nlm.nih.gov/42727044/</w:t>
      </w:r>
    </w:p>
    <w:p>
      <w:pPr>
        <w:pStyle w:val="Heading2"/>
      </w:pPr>
      <w:r>
        <w:t>Lokale Therapie + Immune Checkpoint Inhibitor bei rezidiviertem/metastasiertem Nasopharynxkarzinom: 30,5 vs. 16,8 Monate PFS</w:t>
      </w:r>
    </w:p>
    <w:p>
      <w:r>
        <w:rPr>
          <w:i/>
          <w:color w:val="666666"/>
          <w:sz w:val="18"/>
        </w:rPr>
        <w:t>Chen X et al.  ·  Eur J Cancer  ·  27.08.2026  ·  PMID 42721861</w:t>
      </w:r>
    </w:p>
    <w:p>
      <w:r>
        <w:t>Retrospektive chinesische Studie (223 Patienten, Fudan University Shanghai) zum Vergleich von ICI allein versus lokale Therapie kombiniert mit ICI (LOCI) bei rezidiviertem oder metastasiertem Nasopharynxkarzinom; IPTW und Propensity-Score-Matching zur Confounding-Kontrolle.</w:t>
      </w:r>
    </w:p>
    <w:p>
      <w:r>
        <w:rPr>
          <w:b/>
        </w:rPr>
        <w:t xml:space="preserve">Ergebnis: </w:t>
      </w:r>
      <w:r>
        <w:t>Median Progression-Free Survival mit LOCI 30,53 Monate vs. ICI allein 16,77 Monate (HR 0,524; 95%-CI 0,339–0,785; log-rank p=0,0014). Benefit nach PSM und IPTW-Adjustment bestätigt. Bei lokalem Rezidiv oder Nodusbefall (LRR-NPC): verbessertes Distant-Metastasis-Free-Survival (HR 0,437). Bei Oligometastasen (≤3 Läsionen) ebenfalls PFS-Vorteil (HR 0,458; p=0,0416).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Strahlentherapie mit ICI-Standard auch europäisch; Real-World-Ansatz übertragbar</w:t>
      </w:r>
    </w:p>
    <w:p>
      <w:r>
        <w:rPr>
          <w:color w:val="5A7D3A"/>
          <w:sz w:val="18"/>
        </w:rPr>
        <w:t>https://pubmed.ncbi.nlm.nih.gov/42721861/</w:t>
      </w:r>
    </w:p>
    <w:p>
      <w:pPr>
        <w:pStyle w:val="Heading2"/>
      </w:pPr>
      <w:r>
        <w:t>EORTC QLQ-CHI: erste Lebensqualitätsskala speziell für Kinder mit Krebs (8–14 Jahre)</w:t>
      </w:r>
    </w:p>
    <w:p>
      <w:r>
        <w:rPr>
          <w:i/>
          <w:color w:val="666666"/>
          <w:sz w:val="18"/>
        </w:rPr>
        <w:t>Vetrano C et al.  ·  Eur J Cancer  ·  05.10.2026  ·  PMID 42685381</w:t>
      </w:r>
    </w:p>
    <w:p>
      <w:r>
        <w:t>Mixed-Methods-Studie (Phasen I/II) zur Entwicklung eines EORTC-Fragebogenmoduls; 47 Kinder, 45 Eltern, 22 Fachleute aus 6 Ländern; Leitlinien der EORTC Quality-of-Life Group.</w:t>
      </w:r>
    </w:p>
    <w:p>
      <w:r>
        <w:rPr>
          <w:b/>
        </w:rPr>
        <w:t xml:space="preserve">Ergebnis: </w:t>
      </w:r>
      <w:r>
        <w:t>57 Schlüsselprobleme identifiziert aus 1.200+ initial bewerteten Aspekten (Vergleich Kinder-, Eltern- und Fachperspektive). Kinder präferierten 4 Antwortoptionen (70,0%) und kürzere Recall-Periode (43,3%). Fragebogen mit 50 Items in zwei Skalenbereiche eingeteilt: symptomorientiert und psychosozial. Nächste Schritte: Pilottestung (Phase III/IV), Validierung.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Netzwerk (EORTC), Grundlage für standardisierte Erfassung in Zentren</w:t>
      </w:r>
    </w:p>
    <w:p>
      <w:r>
        <w:rPr>
          <w:color w:val="5A7D3A"/>
          <w:sz w:val="18"/>
        </w:rPr>
        <w:t>https://pubmed.ncbi.nlm.nih.gov/42685381/</w:t>
      </w:r>
    </w:p>
    <w:p>
      <w:pPr>
        <w:pStyle w:val="Heading2"/>
      </w:pPr>
      <w:r>
        <w:t>Tislelizumab + Chemotherapie bei Ösophaguskarzinom: 45-Monate-Überleben</w:t>
      </w:r>
    </w:p>
    <w:p>
      <w:r>
        <w:rPr>
          <w:i/>
          <w:color w:val="666666"/>
          <w:sz w:val="18"/>
        </w:rPr>
        <w:t>Tougeron D et al.  ·  ESMO Open  ·  27.08.2026  ·  PMID 42659894</w:t>
      </w:r>
    </w:p>
    <w:p>
      <w:r>
        <w:t>Randomisierte Phase-III-Studie (RATIONALE-306) mit 649 Patienten weltweit; Analyse der Subgruppe mit PD-L1 Tumor Area Positivity ≥5% im Langzeit-Follow-up.</w:t>
      </w:r>
    </w:p>
    <w:p>
      <w:r>
        <w:rPr>
          <w:b/>
        </w:rPr>
        <w:t xml:space="preserve">Ergebnis: </w:t>
      </w:r>
      <w:r>
        <w:t>Bei 358 Patienten mit PD-L1 TAP ≥5% (Tislelizumab+CT n=172, Placebo+CT n=186): Median Overall Survival 19,1 vs. 10,0 Monate (HR 0,61); Progression-Free Survival 8,2 vs. 5,5 Monate (HR 0,50); Objektive Ansprechrate 71,5% vs. 41,4%. Haltbarkeit über 45 Monate bestätigt; Sicherheitsprofil unverändert.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Studie, Therapie europäisch zugelassen (EMA-Empfehlung PD-L1-Stratifizierung)</w:t>
      </w:r>
    </w:p>
    <w:p>
      <w:r>
        <w:rPr>
          <w:color w:val="5A7D3A"/>
          <w:sz w:val="18"/>
        </w:rPr>
        <w:t>https://pubmed.ncbi.nlm.nih.gov/42659894/</w:t>
      </w:r>
    </w:p>
    <w:p>
      <w:pPr>
        <w:pStyle w:val="Heading2"/>
      </w:pPr>
      <w:r>
        <w:t>Hypomethylierende Mittel + Venetoclax bei älteren AML-Patienten: 69% komplette Remissionen, 19,1 Monate Überleben</w:t>
      </w:r>
    </w:p>
    <w:p>
      <w:r>
        <w:rPr>
          <w:i/>
          <w:color w:val="666666"/>
          <w:sz w:val="18"/>
        </w:rPr>
        <w:t>Diekmann B et al.  ·  Eur J Cancer  ·  05.10.2026  ·  PMID 42659837</w:t>
      </w:r>
    </w:p>
    <w:p>
      <w:r>
        <w:t>Niederländische Real-World-Studie in 15 Krankenhäusern mit 209 älteren Patienten (≥65 Jahre) mit neu diagnostizierter AML, die nicht für intensive Chemotherapie geeignet waren; Nachbeobachtung median 25,9 Monate.</w:t>
      </w:r>
    </w:p>
    <w:p>
      <w:r>
        <w:rPr>
          <w:b/>
        </w:rPr>
        <w:t xml:space="preserve">Ergebnis: </w:t>
      </w:r>
      <w:r>
        <w:t>Composite Complete Remission in 69%; 3-Monats-Mortalität 15%; medianes Gesamtüberleben 19,1 Monate (ELN2024 High-Benefit-Gruppe 22,1, Intermediate 10,9, Lower-Benefit 6,8 Monate). Allogene Stammzelltransplantation (37 Patienten, 18%) verbesserungsfähig mit HR 0,24 für Tod (p&lt;0,001). Antifungale Agenten in 72% der ersten Zyklen assoziiert mit reduzierter Mortalität (HR 0,605; p=0,010).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Niederländisches Versicherungssystem, vergleichbar Deutschland; Dosierungsoptimierung und Wechselwirkungen reduzieren Kosten</w:t>
      </w:r>
    </w:p>
    <w:p>
      <w:r>
        <w:rPr>
          <w:color w:val="5A7D3A"/>
          <w:sz w:val="18"/>
        </w:rPr>
        <w:t>https://pubmed.ncbi.nlm.nih.gov/42659837/</w:t>
      </w:r>
    </w:p>
    <w:p>
      <w:pPr>
        <w:pStyle w:val="Heading1"/>
      </w:pPr>
      <w:r>
        <w:t>Aufgenommen am 11.09.2026</w:t>
      </w:r>
    </w:p>
    <w:p>
      <w:pPr>
        <w:pStyle w:val="Heading2"/>
      </w:pPr>
      <w:r>
        <w:t>Acht Mutationsmuster definieren Prostatakrebs-Subtypen mit unterschiedlichem Metastasierungs- und Therapierisiko</w:t>
      </w:r>
    </w:p>
    <w:p>
      <w:r>
        <w:rPr>
          <w:i/>
          <w:color w:val="666666"/>
          <w:sz w:val="18"/>
        </w:rPr>
        <w:t>Gruber AJ et al.  ·  Nature  ·  09.09.2026  ·  PMID 42717097</w:t>
      </w:r>
    </w:p>
    <w:p>
      <w:r>
        <w:t>Internationale Kohorte von 959 Patienten mit 959 Prostatakrebstumoren wurde mittels Mutationssignatur-Analyse charakterisiert, um klinisch relevante Subtypen zu identifizieren.</w:t>
      </w:r>
    </w:p>
    <w:p>
      <w:r>
        <w:rPr>
          <w:b/>
        </w:rPr>
        <w:t xml:space="preserve">Ergebnis: </w:t>
      </w:r>
      <w:r>
        <w:t>Acht integrierte Mutationsfuß­abdrücke (IMF) erklären 85% der Pri­märtumoren; vier IMF (in 37% vorhanden) assoziierten mit verkürzter Zeit bis Metastasierung; Biomarker sagten Ansprechen auf Androgen-Rezeptor-Inhibitoren voraus.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Zentren, deutsche DKFZ-Beteiligung; Grundlage für zukünftige Risikoschichtung im deutschen Versorgungssystem.</w:t>
      </w:r>
    </w:p>
    <w:p>
      <w:r>
        <w:rPr>
          <w:color w:val="5A7D3A"/>
          <w:sz w:val="18"/>
        </w:rPr>
        <w:t>https://pubmed.ncbi.nlm.nih.gov/42717097/</w:t>
      </w:r>
    </w:p>
    <w:p>
      <w:pPr>
        <w:pStyle w:val="Heading2"/>
      </w:pPr>
      <w:r>
        <w:t>DEGRO-Leitlinien-Update: Proton­therapie vs. Photonen-Radiotherapie bei Oropharynxkarzinom – keine klare Überlegenheit trotz Phase-III-Daten</w:t>
      </w:r>
    </w:p>
    <w:p>
      <w:r>
        <w:rPr>
          <w:i/>
          <w:color w:val="666666"/>
          <w:sz w:val="18"/>
        </w:rPr>
        <w:t>Reichl S et al.  ·  Strahlenther Onkol  ·  07.09.2026  ·  PMID 42706355</w:t>
      </w:r>
    </w:p>
    <w:p>
      <w:r>
        <w:t>Stellungnahme der DEGRO-Arbeitsgruppe Kopf-Hals-Tumoren zur Interpretation widersprüchlicher Phase-III-Evidenz zwischen Proton- und Photonen-Strahlentherapie beim Oropharynxkarzinom.</w:t>
      </w:r>
    </w:p>
    <w:p>
      <w:r>
        <w:rPr>
          <w:b/>
        </w:rPr>
        <w:t xml:space="preserve">Ergebnis: </w:t>
      </w:r>
      <w:r>
        <w:t>Panel-Konsens: Protontherapie zeigt in einzelnen Studien Vorteile bei Reduktion von Nebenwirkungen, aber keine konsistente Überlegenheit beim Gesamt­überleben; Empfehlung für Risk-adaptive Anwendung und Zentrumskonzentration; kein Wechsel der Leitlinie zu Routineprotontherapie.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Fachgesellschaft (DEGRO), deutschsprachiger Raum; direkte Auswirkung auf Zertifizierungskriterien und Versorgungsvergütung im deutschen System.</w:t>
      </w:r>
    </w:p>
    <w:p>
      <w:r>
        <w:rPr>
          <w:color w:val="5A7D3A"/>
          <w:sz w:val="18"/>
        </w:rPr>
        <w:t>https://pubmed.ncbi.nlm.nih.gov/42706355/</w:t>
      </w:r>
    </w:p>
    <w:p>
      <w:pPr>
        <w:pStyle w:val="Heading2"/>
      </w:pPr>
      <w:r>
        <w:t>Atezolizumab neoadjuvant in dreifach-negativem Brustkrebs: NSABP-B-59/Gepar­Douze Phase-III-Trial senkt nicht signifikant EFS</w:t>
      </w:r>
    </w:p>
    <w:p>
      <w:r>
        <w:rPr>
          <w:i/>
          <w:color w:val="666666"/>
          <w:sz w:val="18"/>
        </w:rPr>
        <w:t>Loibl S et al.  ·  Nat Med  ·  01.09.2026  ·  PMID 42680950</w:t>
      </w:r>
    </w:p>
    <w:p>
      <w:r>
        <w:t>Randomisiert 1.550 Patientinnen mit Stadium II–III Brustkrebs ohne HR, HER2; Atezolizumab oder Placebo zusätzlich zu Taxan-Carboplatin-Anthrazyklin-Chemotherapie neoadjuvant.</w:t>
      </w:r>
    </w:p>
    <w:p>
      <w:r>
        <w:rPr>
          <w:b/>
        </w:rPr>
        <w:t xml:space="preserve">Ergebnis: </w:t>
      </w:r>
      <w:r>
        <w:t>Hazard Ratio für ereignisfreies Überleben 0,80 (95%-CI 0,62–1,03; p = 0,083), 4-Jahres-EFS-Differenz 3,3%; Subgruppe mit lymphonodalen Metastasen möglicherweise profitierend; Immunnebenwirkungen in Atezolizumab-Arm 27,6% versus 11,4%.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USA (GBG/NSABP-Netzwerk), europäische Zentren führend; keine Änderung deutschen Leitlinien zu erwarten.</w:t>
      </w:r>
    </w:p>
    <w:p>
      <w:r>
        <w:rPr>
          <w:color w:val="5A7D3A"/>
          <w:sz w:val="18"/>
        </w:rPr>
        <w:t>https://pubmed.ncbi.nlm.nih.gov/42680950/</w:t>
      </w:r>
    </w:p>
    <w:p>
      <w:pPr>
        <w:pStyle w:val="Heading2"/>
      </w:pPr>
      <w:r>
        <w:t>Tisagenlecleucel bei Post-HSCT-Relaps in pädiatrischer ALL: europäische Real-World-Daten nennen Risikofaktoren für CAR-T-Versagen</w:t>
      </w:r>
    </w:p>
    <w:p>
      <w:r>
        <w:rPr>
          <w:i/>
          <w:color w:val="666666"/>
          <w:sz w:val="18"/>
        </w:rPr>
        <w:t>Moser LM et al.  ·  Leukemia  ·  31.08.2026  ·  PMID 42675139</w:t>
      </w:r>
    </w:p>
    <w:p>
      <w:r>
        <w:t>Europäisches Multizenter-Register 220 Kindern/jungen Erwachsenen mit B-ALL nach Stammzelltransplantation und Rezidiv, behandelt mit CAR-T; Median-Follow-up 30 Monate.</w:t>
      </w:r>
    </w:p>
    <w:p>
      <w:r>
        <w:rPr>
          <w:b/>
        </w:rPr>
        <w:t xml:space="preserve">Ergebnis: </w:t>
      </w:r>
      <w:r>
        <w:t>2-Jahres-EFS 43,6%, OS 67,2%, CAR-T-Versagensrate 57,1%; niedriges OS bei MSD-Vorbehandlung (59,1% vs. Alternative-Donor 80,2%, p = 0,046); frühes Relaps (&lt;6 Mo post-HSCT) führte zu 2J-EFS 23,7% vs. 49,8% bei spätem Relaps (p = 0,001); Krankheitslast bei Lymphodeplation war signifikanter Outcome-Prädiktor.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Zentren aus Deutschland, Österreich, Italien, Skandinavien; identifiziert hochrisiko-Kandidaten für verbesserte Nachbetreuung in deutschem System.</w:t>
      </w:r>
    </w:p>
    <w:p>
      <w:r>
        <w:rPr>
          <w:color w:val="5A7D3A"/>
          <w:sz w:val="18"/>
        </w:rPr>
        <w:t>https://pubmed.ncbi.nlm.nih.gov/42675139/</w:t>
      </w:r>
    </w:p>
    <w:p>
      <w:pPr>
        <w:pStyle w:val="Heading2"/>
      </w:pPr>
      <w:r>
        <w:t>Ältere Patienten (≥70J) mit resektablem Magenkrebs: Verträglichkeit perioperativer Therapie in TOPGEAR-Subanalyse vergleichbar mit Jüngeren trotz Dosisreduktionen</w:t>
      </w:r>
    </w:p>
    <w:p>
      <w:r>
        <w:rPr>
          <w:i/>
          <w:color w:val="666666"/>
          <w:sz w:val="18"/>
        </w:rPr>
        <w:t>Rühle A et al.  ·  Eur J Cancer  ·  05.10.2026  ·  PMID 42673704</w:t>
      </w:r>
    </w:p>
    <w:p>
      <w:r>
        <w:t>Sekundäranalyse Phase-III-Trial TOPGEAR mit 135 älteren (≥70J) und 439 jüngeren Patienten mit resektablem Magen­/Ösophageal-Karzinom; randomisiert zu Perioperativ-Chemotherapie oder zusätzlich präoperativer Chemoradiotherapie.</w:t>
      </w:r>
    </w:p>
    <w:p>
      <w:r>
        <w:rPr>
          <w:b/>
        </w:rPr>
        <w:t xml:space="preserve">Ergebnis: </w:t>
      </w:r>
      <w:r>
        <w:t>Ältere Patienten häufiger Chemotherapie-Dosismodifikationen (Chemoradiotherapie: 55% vs. 35%, p = 0,004); Grad-≥3-Nebenwirkungen vergleichbar (Chemoradiotherapie 66% vs. 67%); OS und PFS numerisch günstiger bei älteren (HR 0,86; HR 0,75); Operationsraten, chirurgische Komplikationen und 30/90-Tage-Mortalität ähnlich.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Australisches/internationales Zentren-Netzwerk, aber Dosierungsschemen und ECOG-Kriterien Standard in Deutschland; liefert Evidenz für Machbarkeit im älteren Setting.</w:t>
      </w:r>
    </w:p>
    <w:p>
      <w:r>
        <w:rPr>
          <w:color w:val="5A7D3A"/>
          <w:sz w:val="18"/>
        </w:rPr>
        <w:t>https://pubmed.ncbi.nlm.nih.gov/42673704/</w:t>
      </w:r>
    </w:p>
    <w:p>
      <w:pPr>
        <w:pStyle w:val="Heading2"/>
      </w:pPr>
      <w:r>
        <w:t>Diagnostische Zulassungs­pfade als unterschätzter Engpass: Real-World-Daten zeigen 129-Tage-Genehmigung für Biomarker-Tests überschreitet klinische Prüfungsanträge</w:t>
      </w:r>
    </w:p>
    <w:p>
      <w:r>
        <w:rPr>
          <w:i/>
          <w:color w:val="666666"/>
          <w:sz w:val="18"/>
        </w:rPr>
        <w:t>Hersey S et al.  ·  Eur J Cancer  ·  05.10.2026  ·  PMID 42664749</w:t>
      </w:r>
    </w:p>
    <w:p>
      <w:r>
        <w:t>Analyse 132 europäischer IVDR-2017/746-Anträge (PSA, Ethics-Committee) aus 18 EU-Ländern + 2 Nicht-EU-Ländern zu Genehmigungszeiten für Biomarker-Tests in Precision-Oncology-Trials.</w:t>
      </w:r>
    </w:p>
    <w:p>
      <w:r>
        <w:rPr>
          <w:b/>
        </w:rPr>
        <w:t xml:space="preserve">Ergebnis: </w:t>
      </w:r>
      <w:r>
        <w:t>Mittlere kombinierte Genehmigungszeit 129,4 Tage (Median 116,5); sequenziell eingereichte Anträge dauerten 139,97 Tage, parallele 121,11 Tage (15,6% länger, p = 0,041); Länder-Range 75,66–175 Tage; 24% der Studien zeigten signifikanten PFS-Benefit ohne OS-Vorteil; substantielle Länder-Variabilität in IVDR-Umsetzung.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Europäischer Datensatz, 18 EU-Mitgliedstaaten; direktes Policy-Hindernis für deutsche Precision-Oncology-Trials.</w:t>
      </w:r>
    </w:p>
    <w:p>
      <w:r>
        <w:rPr>
          <w:color w:val="5A7D3A"/>
          <w:sz w:val="18"/>
        </w:rPr>
        <w:t>https://pubmed.ncbi.nlm.nih.gov/42664749/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LGsig-Klassifikation verbessert Therapievorhersage beim Diffusen großzelligen B-Zell-Lymphom</w:t>
      </w:r>
    </w:p>
    <w:p>
      <w:r>
        <w:rPr>
          <w:i/>
          <w:color w:val="666666"/>
          <w:sz w:val="18"/>
        </w:rPr>
        <w:t>Tumuluru S et al.  ·  J Clin Oncol  ·  09.09.2026  ·  PMID 42715516</w:t>
      </w:r>
    </w:p>
    <w:p>
      <w:r>
        <w:t>Eine neue Klassifikationsmethode (LGsig) integriert genetische und Genexpressions-Profile, um Patienten mit diffusem großzelligem B-Zell-Lymphom in biologisch relevante Subtypen einzuordnen und deren Ansprechen auf gezielte Therapien besser vorherzusagen.</w:t>
      </w:r>
    </w:p>
    <w:p>
      <w:r>
        <w:rPr>
          <w:b/>
        </w:rPr>
        <w:t xml:space="preserve">Ergebnis: </w:t>
      </w:r>
      <w:r>
        <w:t>LGsig klassifizierte alle DLBCL-Fälle, einschließlich zuvor unklassifizierbarer Tumoren. In der POLARIX-Studie zeigte sich ein signifikanter Überlebensvorteil für Patienten mit bestimmten LGsig-Subtypen unter Polatuzumab vedotin-R-CHP versus R-CHOP in sowohl genetisch klassifizierten als auch unklassifizierten Fällen.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Plattformübergreifend einsetzbare Genexpressions-Technik; Anwendbarkeit auf archivale Proben erleichtert klinische Integration in deutschen Tumorzentren.</w:t>
      </w:r>
    </w:p>
    <w:p>
      <w:r>
        <w:rPr>
          <w:color w:val="5A7D3A"/>
          <w:sz w:val="18"/>
        </w:rPr>
        <w:t>https://pubmed.ncbi.nlm.nih.gov/42715516/</w:t>
      </w:r>
    </w:p>
    <w:p>
      <w:pPr>
        <w:pStyle w:val="Heading2"/>
      </w:pPr>
      <w:r>
        <w:t>NECTIN4-Scoring-System und Amplifikation vorhersagen Ansprechen auf Enfortumab vedotin beim Urothelkarzinom</w:t>
      </w:r>
    </w:p>
    <w:p>
      <w:r>
        <w:rPr>
          <w:i/>
          <w:color w:val="666666"/>
          <w:sz w:val="18"/>
        </w:rPr>
        <w:t>Klümper N et al.  ·  Clin Cancer Res  ·  09.09.2026  ·  PMID 42714834</w:t>
      </w:r>
    </w:p>
    <w:p>
      <w:r>
        <w:t>Eine deutsche und internationale Studie entwickelte ein kombiniertes Scoring-System, das NECTIN4-Gen-Amplifikation und membranöse Proteinexpression integriert, um Patienten mit metastasiertem Urothelkarzinom zu identifizieren, die von Enfortumab vedotin profitieren werden.</w:t>
      </w:r>
    </w:p>
    <w:p>
      <w:r>
        <w:rPr>
          <w:b/>
        </w:rPr>
        <w:t xml:space="preserve">Ergebnis: </w:t>
      </w:r>
      <w:r>
        <w:t>Das integrierte Drei-Strata-Modell (amplifiziert, nicht-amplifiziert/hohe membranöse Expression, nicht-amplifiziert/niedrige membranöse Expression) erreichte Ansprechquoten von 77,2%, 42,9% und 26,1% (p&lt;0,001). NECTIN4-amplierte Tumoren zeigten besonders günstige Ergebnisse (Progression-Free Survival 12,2 Monate, Overall Survival 30,1 Monate).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Deutschlandweite Multizenterstudie mit 39 Zentren; direkt transferierbar auf Zertifizierungsanforderungen und Tumorboard-Entscheidungen.</w:t>
      </w:r>
    </w:p>
    <w:p>
      <w:r>
        <w:rPr>
          <w:color w:val="5A7D3A"/>
          <w:sz w:val="18"/>
        </w:rPr>
        <w:t>https://pubmed.ncbi.nlm.nih.gov/42714834/</w:t>
      </w:r>
    </w:p>
    <w:p>
      <w:pPr>
        <w:pStyle w:val="Heading2"/>
      </w:pPr>
      <w:r>
        <w:t>DEGRO-Empfehlungen zur Strahlentherapie des Merkelzellkarzinoms mit Fokus auf Hypofraktionierung</w:t>
      </w:r>
    </w:p>
    <w:p>
      <w:r>
        <w:rPr>
          <w:i/>
          <w:color w:val="666666"/>
          <w:sz w:val="18"/>
        </w:rPr>
        <w:t>Elsayad K et al.  ·  Strahlenther Onkol  ·  09.09.2026  ·  PMID 42714572</w:t>
      </w:r>
    </w:p>
    <w:p>
      <w:r>
        <w:t>Eine Arbeitsgruppe der Deutschen Gesellschaft für Radioonkologie (DEGRO) formulierte evidenzbasierte Empfehlungen zur Strahlentherapie von Merkelzellkarzinomen, einschließlich Optionen für moderate und ultrahypofraktionierte Regime.</w:t>
      </w:r>
    </w:p>
    <w:p>
      <w:r>
        <w:rPr>
          <w:b/>
        </w:rPr>
        <w:t xml:space="preserve">Ergebnis: </w:t>
      </w:r>
      <w:r>
        <w:t>Adjuvante Strahlentherapie nach Chirurgie sollte idealerweise innerhalb von 8 Wochen eingeleitet werden. Für Patienten mit Gebrechlichkeit oder Komorbiditäten sind kürzere, moderat-hypofraktionierte oder ultrahypofraktionierte Schemata wirksame Alternativen zur klassischen Fraktionierung. Die Kombination von Immuntherapie mit Strahlung wird als Schwerpunkt zukünftiger Forschung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Fachgesellschafts-Leitlinie; direkte Implementierbarkeit in Zertifizierungsprozesse und klinische Routine.</w:t>
      </w:r>
    </w:p>
    <w:p>
      <w:r>
        <w:rPr>
          <w:color w:val="5A7D3A"/>
          <w:sz w:val="18"/>
        </w:rPr>
        <w:t>https://pubmed.ncbi.nlm.nih.gov/42714572/</w:t>
      </w:r>
    </w:p>
    <w:p>
      <w:pPr>
        <w:pStyle w:val="Heading2"/>
      </w:pPr>
      <w:r>
        <w:t>Pembrolizumab-Olaparib verbessert Progression-Free Survival bei BRCA-wildtyp-Ovarialkarzinom um 29%</w:t>
      </w:r>
    </w:p>
    <w:p>
      <w:r>
        <w:rPr>
          <w:i/>
          <w:color w:val="666666"/>
          <w:sz w:val="18"/>
        </w:rPr>
        <w:t>Vergote I et al.  ·  Lancet Oncol  ·  07.09.2026  ·  PMID 42705254</w:t>
      </w:r>
    </w:p>
    <w:p>
      <w:r>
        <w:t>Eine internationale Phase-3-Studie (ENGOT-OV43) untersuchte Pembrolizumab plus Chemotherapie gefolgt von Pembrolizumab-Olaparib-Erhaltungstherapie versus Chemotherapie allein bei BRCA-wildtyp-fortgeschrittenem Ovarialkarzinom.</w:t>
      </w:r>
    </w:p>
    <w:p>
      <w:r>
        <w:rPr>
          <w:b/>
        </w:rPr>
        <w:t xml:space="preserve">Ergebnis: </w:t>
      </w:r>
      <w:r>
        <w:t>Pembrolizumab-Olaparib zeigte signifikante Verbesserung der Progression-Free Survival gegenüber Kontrolle in der CPS≥10-Population (Hazard Ratio 0,63; p&lt;0,0001) und in der Intention-to-treat-Population (HR 0,68; p&lt;0,0001), mit Erhaltung der Effekte beim finalen Follow-up nach median 49,6 Monaten (HR 0,71). Grade ≥3 Nebenwirkungen traten bei 66% der Pembrolizumab-Olaparib-Gruppe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globale Studie mit vergleichbarer Patientenselektion; Registerzulassung und AMNOG-Bewertung folgen regulärem Prozess in Deutschland.</w:t>
      </w:r>
    </w:p>
    <w:p>
      <w:r>
        <w:rPr>
          <w:color w:val="5A7D3A"/>
          <w:sz w:val="18"/>
        </w:rPr>
        <w:t>https://pubmed.ncbi.nlm.nih.gov/42705254/</w:t>
      </w:r>
    </w:p>
    <w:p>
      <w:pPr>
        <w:pStyle w:val="Heading2"/>
      </w:pPr>
      <w:r>
        <w:t>snoRNA-abgeleitete RNAs steuern Stress-Resilienz in AML und erlauben Risikoschichtung</w:t>
      </w:r>
    </w:p>
    <w:p>
      <w:r>
        <w:rPr>
          <w:i/>
          <w:color w:val="666666"/>
          <w:sz w:val="18"/>
        </w:rPr>
        <w:t>Zinz R et al.  ·  Leukemia  ·  04.09.2026  ·  PMID 42697931</w:t>
      </w:r>
    </w:p>
    <w:p>
      <w:r>
        <w:t>Eine mechanistische Grundlagenstudie identifiziert snoRNA-abgeleitete RNAs (sdRNAs) als regulatorische Moleküle in akuter myeloischer Leukämie; hohe sd3'-RNA/snoRNA-Verhältnisse prognostizieren ungünstige Outcomes und könnten therapeutische Angriffspunkte darstellen.</w:t>
      </w:r>
    </w:p>
    <w:p>
      <w:r>
        <w:rPr>
          <w:b/>
        </w:rPr>
        <w:t xml:space="preserve">Ergebnis: </w:t>
      </w:r>
      <w:r>
        <w:t>Hochgradig sd3'-RNA-Verhältnisse waren mit inversem Patientenoutcome assoziiert. Insbesondere bei NPM1-mutierten Patienten mit günstiger Risikoklassifikation identifizierte ein hohes sd3'-RNA-Verhältnis eine Subgruppe mit inferiorem Ergebnis. Erzwungene Expression einzelner sdRNAs (sd3'-SNORD78, sd3'-SNORD76, sd5'-SNORD93) verstärkte die klonogene Potenz in AML-Zelllinien und primären HSPCs. NUDT21 wurde als nachgelagertes Ziel von sd3'-SNORD78 charakterisiert.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Multizenterstudie (Heidelberg, Kiel, Dresden, Frankfurt); Mechanismus öffnet Wege zu klinischen Interventionen in der AML-Stratifikation.</w:t>
      </w:r>
    </w:p>
    <w:p>
      <w:r>
        <w:rPr>
          <w:color w:val="5A7D3A"/>
          <w:sz w:val="18"/>
        </w:rPr>
        <w:t>https://pubmed.ncbi.nlm.nih.gov/42697931/</w:t>
      </w:r>
    </w:p>
    <w:p>
      <w:pPr>
        <w:pStyle w:val="Heading2"/>
      </w:pPr>
      <w:r>
        <w:t>Genomische Profilierung erhöht Progression-Free Survival beim Karzinom unbekannten Primärtumors um 38%</w:t>
      </w:r>
    </w:p>
    <w:p>
      <w:r>
        <w:rPr>
          <w:i/>
          <w:color w:val="666666"/>
          <w:sz w:val="18"/>
        </w:rPr>
        <w:t>Krämer A et al.  ·  J Clin Oncol  ·  03.09.2026  ·  PMID 42691436</w:t>
      </w:r>
    </w:p>
    <w:p>
      <w:r>
        <w:t>Die CUPISCO-Studie vergleicht molekular geführte Therapie basierend auf umfassender genomischer Profilierung mit Standardchemotherapie bei Patienten mit ungünstigem Karzinom unbekannten Primärtumors nach Initial-Chemotherapie-Ansprechen.</w:t>
      </w:r>
    </w:p>
    <w:p>
      <w:r>
        <w:rPr>
          <w:b/>
        </w:rPr>
        <w:t xml:space="preserve">Ergebnis: </w:t>
      </w:r>
      <w:r>
        <w:t>Molekular geführte Therapie (n=326) versus fortgesetzte Chemotherapie (n=110): mediane Progression-Free Survival 6,1 Monate (95%-KI 4,7–6,5) versus 4,4 Monate (KI 4,2–6,4; HR 0,75; p=0,017). Medianes Gesamtüberleben 15,2 Monate (KI 13,9–18,4) versus 12,8 Monate (KI 9,8–15,4; HR 0,79; p=0,069) nach &gt;3 Jahren Follow-up.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Deutschlandweite Zentren beteiligt; Molekular-Tumorboard-Ansatz etabliert in deutschen Krebszentren.</w:t>
      </w:r>
    </w:p>
    <w:p>
      <w:r>
        <w:rPr>
          <w:color w:val="5A7D3A"/>
          <w:sz w:val="18"/>
        </w:rPr>
        <w:t>https://pubmed.ncbi.nlm.nih.gov/42691436/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Onkologie</dc:title>
  <dc:subject/>
  <dc:creator>Monitor Versorgungsforschung</dc:creator>
  <cp:keywords/>
  <dc:description>generated by python-docx</dc:description>
  <cp:lastModifiedBy/>
  <cp:revision>1</cp:revision>
  <dcterms:created xsi:type="dcterms:W3CDTF">2026-09-14T06:00:00Z</dcterms:created>
  <dcterms:modified xsi:type="dcterms:W3CDTF">2026-09-14T06:00:00Z</dcterms:modified>
  <cp:category/>
</cp:coreProperties>
</file>