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Onkologie</w:t>
      </w:r>
    </w:p>
    <w:p>
      <w:r>
        <w:rPr>
          <w:i/>
          <w:color w:val="666666"/>
          <w:sz w:val="18"/>
        </w:rPr>
        <w:t>Stand: 09.10.2026  |  6 Studien  |  onkologie.m-vf.de</w:t>
      </w:r>
    </w:p>
    <w:p>
      <w:pPr>
        <w:pStyle w:val="Heading1"/>
      </w:pPr>
      <w:r>
        <w:t>Aufgenommen am 09.10.2026</w:t>
      </w:r>
    </w:p>
    <w:p>
      <w:pPr>
        <w:pStyle w:val="Heading2"/>
      </w:pPr>
      <w:r>
        <w:t>Sozioökonomischer Status und Kognition nach Kinderhirntumor: schwedische Kohortenstudie</w:t>
      </w:r>
    </w:p>
    <w:p>
      <w:r>
        <w:rPr>
          <w:i/>
          <w:color w:val="666666"/>
          <w:sz w:val="18"/>
        </w:rPr>
        <w:t>Beamish J et al.  ·  Neuro Oncol  ·  08.10.2026  ·  PMID 42848686</w:t>
      </w:r>
    </w:p>
    <w:p>
      <w:r>
        <w:t>Bevölkerungsbasierte Registry-Studie mit 461 schwedischen Kindern (Diagnose 2008-2023) zu Zusammenhang zwischen Sozioökonomischem Status (Elternbildung, Einkommen, Beruf) und neurokognitiven Ergebnissen bis 5 Jahre post-diagnose.</w:t>
      </w:r>
    </w:p>
    <w:p>
      <w:r>
        <w:rPr>
          <w:b/>
        </w:rPr>
        <w:t xml:space="preserve">Ergebnis: </w:t>
      </w:r>
      <w:r>
        <w:t>Höherer SES assoziiert mit besseren z-Scores bei Verarbeitungsgeschwindigkeit (+0,23), Arbeitsgedächtnis (+0,25), nonverbalem Reasoning (+0,29) und Gesamtkognition (+0,42). Längere Zeit seit Diagnose mit Rückgang Verarbeitungsgeschwindigkeit und verbalem Reasoning. Keine Interaktion zwischen SES und Abnahmeraten, was auf reduzierte kognitive Reserve statt erhöhte Treatment-Toxizität hinweist.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Schwedisches universales Gesundheitssystem, vergleichbar mit deutschem System und Survivalship-Dateninfrastruktur.</w:t>
      </w:r>
    </w:p>
    <w:p>
      <w:r>
        <w:rPr>
          <w:color w:val="5A7D3A"/>
          <w:sz w:val="18"/>
        </w:rPr>
        <w:t>https://pubmed.ncbi.nlm.nih.gov/42848686/</w:t>
      </w:r>
    </w:p>
    <w:p>
      <w:pPr>
        <w:pStyle w:val="Heading2"/>
      </w:pPr>
      <w:r>
        <w:t>Brain-Metastasis-Risikokalkulator für frühen Brustkrebs validiert</w:t>
      </w:r>
    </w:p>
    <w:p>
      <w:r>
        <w:rPr>
          <w:i/>
          <w:color w:val="666666"/>
          <w:sz w:val="18"/>
        </w:rPr>
        <w:t>Raghavendra AS et al.  ·  J Natl Cancer Inst  ·  08.10.2026  ·  PMID 42848614</w:t>
      </w:r>
    </w:p>
    <w:p>
      <w:r>
        <w:t>Entwicklung und Validierung eines klinischen Vorhersagemodells (BrMR) für Hirnmetastasen-Risiko bei Stadium-I-III-Brustkrebs basierend auf 40.282 Trainings- und 1.644 Validierungspatienten.</w:t>
      </w:r>
    </w:p>
    <w:p>
      <w:r>
        <w:rPr>
          <w:b/>
        </w:rPr>
        <w:t xml:space="preserve">Ergebnis: </w:t>
      </w:r>
      <w:r>
        <w:t>C-Index 0,79 (Training), 0,76 (Validierung); AUROC 0,81/0,79/0,76/0,75 nach 4/6/8/10 Jahren. HER2-Positivität, hohes Ki-67, inflammatorischer Typ und höherer T/N-Status erhöhten Risiko; ER/PR-Positivität, höheres Alter und endokrine Therapie senkten es.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Validiert in Belgien (Institut Jules Bordet), Datengrundlage für deutsches System adaptierbar.</w:t>
      </w:r>
    </w:p>
    <w:p>
      <w:r>
        <w:rPr>
          <w:color w:val="5A7D3A"/>
          <w:sz w:val="18"/>
        </w:rPr>
        <w:t>https://pubmed.ncbi.nlm.nih.gov/42848614/</w:t>
      </w:r>
    </w:p>
    <w:p>
      <w:pPr>
        <w:pStyle w:val="Heading2"/>
      </w:pPr>
      <w:r>
        <w:t>Preinvasive regulatorische T-Zellen bei Lungenkrebsentstehung: Interventionsziel</w:t>
      </w:r>
    </w:p>
    <w:p>
      <w:r>
        <w:rPr>
          <w:i/>
          <w:color w:val="666666"/>
          <w:sz w:val="18"/>
        </w:rPr>
        <w:t>Gamble S et al.  ·  Nature  ·  07.10.2026  ·  PMID 42844481</w:t>
      </w:r>
    </w:p>
    <w:p>
      <w:r>
        <w:t>Multi-omische Studie mit Bronchoskopie und CT-Bildgebung an Patienten mit preinvasiven Lungenschleimhaut-Läsionen: Identifikation von effektiven regulatorischen CD4+-T-Zellen (eTreg, BATF+) als Frühmarker und therapeutisches Ziel.</w:t>
      </w:r>
    </w:p>
    <w:p>
      <w:r>
        <w:rPr>
          <w:b/>
        </w:rPr>
        <w:t xml:space="preserve">Ergebnis: </w:t>
      </w:r>
      <w:r>
        <w:t>eTreg-Zellen reicherten sich in hochgradigen Läsionen an und korrelierten mit zirkulierenden eTreg-Zellen. Bei Mäusen reduzierte PI3Kδ-Inhibition eTreg-reiche tertiäre lymphoide Strukturen (iTLS), senkte Lungentumoranzahl und -größe. Circulating eTreg-Zellen ermöglichten nicht-invasive Verfolgung der Tumorprogression. eTreg-Achse gekennzeichnet schnelle Progression in frühem NSCLC (CT-Screening).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UK-Studie (UCL), Mechanismus und Biomarker übertragbar; klinische Anwendung erfordert deutsche Validierung.</w:t>
      </w:r>
    </w:p>
    <w:p>
      <w:r>
        <w:rPr>
          <w:color w:val="5A7D3A"/>
          <w:sz w:val="18"/>
        </w:rPr>
        <w:t>https://pubmed.ncbi.nlm.nih.gov/42844481/</w:t>
      </w:r>
    </w:p>
    <w:p>
      <w:pPr>
        <w:pStyle w:val="Heading2"/>
      </w:pPr>
      <w:r>
        <w:t>Single-Item-Maße für wahrgenommene Therapienebenwirkungen: Scoping Review</w:t>
      </w:r>
    </w:p>
    <w:p>
      <w:r>
        <w:rPr>
          <w:i/>
          <w:color w:val="666666"/>
          <w:sz w:val="18"/>
        </w:rPr>
        <w:t>Jones T et al.  ·  Eur J Cancer  ·  04.10.2026  ·  PMID 42843209</w:t>
      </w:r>
    </w:p>
    <w:p>
      <w:r>
        <w:t>Systematische Analyse zu Einsatz, psychometrischen Eigenschaften und Validität von Single-Item-Fragebögen (EORTC Q168, FACIT GP5) für Treatment-Related Symptom Burden in Krebsstudien.</w:t>
      </w:r>
    </w:p>
    <w:p>
      <w:r>
        <w:rPr>
          <w:b/>
        </w:rPr>
        <w:t xml:space="preserve">Ergebnis: </w:t>
      </w:r>
      <w:r>
        <w:t>67 publizierte Studien und 74 klinische Trials eingeschlossen. FACIT GP5 breiter eingesetzt über Tumortypen (n=27 psychometrische Studien), EORTC Q168 konzentriert auf Pankreas- und Gallenblasenkrebs (n=2). Nachweise für Validität, Reliabilität, Responsiveness, aber konzeptionelle Limitationen bleiben (Symptomzuordnung zu Therapie vs. Erkrankung unklar).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Autorengruppe (EORTC), auf deutsche Studien und Zentrenprotokolle direkt anwendbar.</w:t>
      </w:r>
    </w:p>
    <w:p>
      <w:r>
        <w:rPr>
          <w:color w:val="5A7D3A"/>
          <w:sz w:val="18"/>
        </w:rPr>
        <w:t>https://pubmed.ncbi.nlm.nih.gov/42843209/</w:t>
      </w:r>
    </w:p>
    <w:p>
      <w:pPr>
        <w:pStyle w:val="Heading2"/>
      </w:pPr>
      <w:r>
        <w:t>Metastase-gerichtete Ablation im Frühstadium bringt keinen OS-Gewinn bei oligometastasiertem Brustkrebs</w:t>
      </w:r>
    </w:p>
    <w:p>
      <w:r>
        <w:rPr>
          <w:i/>
          <w:color w:val="666666"/>
          <w:sz w:val="18"/>
        </w:rPr>
        <w:t>Chmura SJ et al.  ·  J Clin Oncol  ·  07.10.2026  ·  PMID 42842849</w:t>
      </w:r>
    </w:p>
    <w:p>
      <w:r>
        <w:t>Randomisierte Phase-II/III-Studie (NRG-BR002) mit 125 Patienten (≤4 Metastasen, ≤12 Monate erste systemische Therapie): Metastase-gerichtete Ablation (SBRT/Chirurgie) + Systemtherapie versus nur Systemtherapie als Kontroll.</w:t>
      </w:r>
    </w:p>
    <w:p>
      <w:r>
        <w:rPr>
          <w:b/>
        </w:rPr>
        <w:t xml:space="preserve">Ergebnis: </w:t>
      </w:r>
      <w:r>
        <w:t>Medianes progressionsfreies Überleben: 19,5 Monate (Ablation) vs. 23,0 Monate (nur Systemtherapie); HR 0,92 (70%-KI 0,71-1,17, einseitig p=0,36). Studie schritt nicht zu Phase III vor. OS kein signifikanter Unterschied (HR 1,07, p=0,41). Explorative Analyse: möglicher Vorteil bei niedrigen/fehlenden CTCs. Keine Grade-5-Toxizitäten.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Nordamerikanische multizentrische RCT (USA/Kanada), Patientenpopulation und Endpoints für deutsches System relevant.</w:t>
      </w:r>
    </w:p>
    <w:p>
      <w:r>
        <w:rPr>
          <w:color w:val="5A7D3A"/>
          <w:sz w:val="18"/>
        </w:rPr>
        <w:t>https://pubmed.ncbi.nlm.nih.gov/42842849/</w:t>
      </w:r>
    </w:p>
    <w:p>
      <w:pPr>
        <w:pStyle w:val="Heading2"/>
      </w:pPr>
      <w:r>
        <w:t>Adjuvante Radiotherapie reduziert Rezidive bei atypischen Meningiomen um 46 %</w:t>
      </w:r>
    </w:p>
    <w:p>
      <w:r>
        <w:rPr>
          <w:i/>
          <w:color w:val="666666"/>
          <w:sz w:val="18"/>
        </w:rPr>
        <w:t>Jenkinson MD et al.  ·  Lancet  ·  10.10.2026  ·  PMID 42790456</w:t>
      </w:r>
    </w:p>
    <w:p>
      <w:r>
        <w:t>Randomisierte Phase-3-Studie (ROAM/EORTC-1308) an 157 Patienten mit WHO-Grad-2-Meningiom nach kompletter Resektion: Radiotherapie (60 Gy/30 Fraktionen) versus Beobachtung.</w:t>
      </w:r>
    </w:p>
    <w:p>
      <w:r>
        <w:rPr>
          <w:b/>
        </w:rPr>
        <w:t xml:space="preserve">Ergebnis: </w:t>
      </w:r>
      <w:r>
        <w:t>5-Jahres-rezidivfreies Überleben: 79,9 % (Radiotherapie) vs. 64,3 % (Beobachtung); Hazard Ratio 0,51 (p=0,0396). Grad-2/3-Nebenwirkungen in 8 % der bestrahlten Patienten, keine Todesfälle durch Strahlung. Rezidive traten bei 14 % vs. 30 % 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multizentrische RCT (11 Länder), übertragbar auf deutsches Versorgungssystem und Zertifizierungsstandards.</w:t>
      </w:r>
    </w:p>
    <w:p>
      <w:r>
        <w:rPr>
          <w:color w:val="5A7D3A"/>
          <w:sz w:val="18"/>
        </w:rPr>
        <w:t>https://pubmed.ncbi.nlm.nih.gov/42790456/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Onkologie</dc:title>
  <dc:subject/>
  <dc:creator>Monitor Versorgungsforschung</dc:creator>
  <cp:keywords/>
  <dc:description>generated by python-docx</dc:description>
  <cp:lastModifiedBy/>
  <cp:revision>1</cp:revision>
  <dcterms:created xsi:type="dcterms:W3CDTF">2026-10-09T06:00:00Z</dcterms:created>
  <dcterms:modified xsi:type="dcterms:W3CDTF">2026-10-09T06:00:00Z</dcterms:modified>
  <cp:category/>
</cp:coreProperties>
</file>