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Onkologie</w:t>
      </w:r>
    </w:p>
    <w:p>
      <w:r>
        <w:rPr>
          <w:i/>
          <w:color w:val="666666"/>
          <w:sz w:val="18"/>
        </w:rPr>
        <w:t>Stand: 16.09.2026  |  6 Studien  |  onkologie.m-vf.de</w:t>
      </w:r>
    </w:p>
    <w:p>
      <w:pPr>
        <w:pStyle w:val="Heading1"/>
      </w:pPr>
      <w:r>
        <w:t>Aufgenommen am 16.09.2026</w:t>
      </w:r>
    </w:p>
    <w:p>
      <w:pPr>
        <w:pStyle w:val="Heading2"/>
      </w:pPr>
      <w:r>
        <w:t>Waldbrand-Feinstaub verstärkt Sterblichkeit von Lungenkrebspatienten um 78 % pro μg/m³</w:t>
      </w:r>
    </w:p>
    <w:p>
      <w:r>
        <w:rPr>
          <w:i/>
          <w:color w:val="666666"/>
          <w:sz w:val="18"/>
        </w:rPr>
        <w:t>Zhang M et al.  ·  Lancet Oncol  ·  15.09.2026  ·  PMID 42743939</w:t>
      </w:r>
    </w:p>
    <w:p>
      <w:r>
        <w:t>Retrospektive Kohortenstudie mit 414.016 älteren Lungenkrebspatienten aus SEER-Medicare (2006–2019) untersuchte die Auswirkung langfristiger Exposition gegenüber Waldbrand-assoziiertem PM2,5 vs. Nicht-Waldbrand-PM2,5 auf Overall Survival.</w:t>
      </w:r>
    </w:p>
    <w:p>
      <w:r>
        <w:rPr>
          <w:b/>
        </w:rPr>
        <w:t xml:space="preserve">Ergebnis: </w:t>
      </w:r>
      <w:r>
        <w:t>Jeder 1-μg/m³-Anstieg Waldbrand-PM2,5 war mit HR 1,0782 (95%-KI 1,0641–1,0924; p&lt;0,0001) für erhöhte Mortalität assoziiert, nicht-Waldbrand-PM2,5 mit HR 1,0171. Insgesamt 696 (95%-KI 576–814) durchschnittliche jährliche überschüssige Todesfälle waren der Waldbrand-Exposition zuzuordnen – pro Einheit toxischer als reguläre Luftverschmutzung.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USA/SEER-Daten: Nur Sicherheitsbefund übertragbar, Feinstaub-Exposition in Deutschland gering</w:t>
      </w:r>
    </w:p>
    <w:p>
      <w:r>
        <w:rPr>
          <w:color w:val="5A7D3A"/>
          <w:sz w:val="18"/>
        </w:rPr>
        <w:t>https://pubmed.ncbi.nlm.nih.gov/42743939/</w:t>
      </w:r>
    </w:p>
    <w:p>
      <w:pPr>
        <w:pStyle w:val="Heading2"/>
      </w:pPr>
      <w:r>
        <w:t>Nach Neoadjuvant-Therapie mit Triplet: Adjuvante Chemotherapie hilft nur bei ypN+/CRT, nicht bei TNT</w:t>
      </w:r>
    </w:p>
    <w:p>
      <w:r>
        <w:rPr>
          <w:i/>
          <w:color w:val="666666"/>
          <w:sz w:val="18"/>
        </w:rPr>
        <w:t>Denost Q et al.  ·  Eur J Cancer  ·  11.09.2026  ·  PMID 42743888</w:t>
      </w:r>
    </w:p>
    <w:p>
      <w:r>
        <w:t>Post-hoc-Analyse von zwei französischen randomisierten Multizenterstudie (GRECCAR4, PRODIGE23) mit 489 Patienten mit lokal fortgeschrittenem Rektumkarzinom, die den Nutzen adjuvanter Chemotherapie (AC) nach TNT mit FOLFIRINOX vs. CRT bewertete.</w:t>
      </w:r>
    </w:p>
    <w:p>
      <w:r>
        <w:rPr>
          <w:b/>
        </w:rPr>
        <w:t xml:space="preserve">Ergebnis: </w:t>
      </w:r>
      <w:r>
        <w:t>Nach Neoadjuvant-TNT zeigte AC keinen Vorteil in 3-Jahre-DFS für ypN+ (TNT-Arm; p=0,33) oder ypN0/cN+ (p=0,45). Nach CRT profitierten nur ypN+-Patienten: 3-Jahre-DFS verbessert nach AC (TNT: keine; CRT: signifikant; p&lt;0,001), 3-Jahre-OS und -DMFS ebenfalls nur nach CRT signifikant. Diese Daten unterstützen Therapie-Deeskalation in der TNT-Ära.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Deutschland/Frankreich: Europäische High-Volume-Zentren, deutsches Versicherungssystem vergleichbar</w:t>
      </w:r>
    </w:p>
    <w:p>
      <w:r>
        <w:rPr>
          <w:color w:val="5A7D3A"/>
          <w:sz w:val="18"/>
        </w:rPr>
        <w:t>https://pubmed.ncbi.nlm.nih.gov/42743888/</w:t>
      </w:r>
    </w:p>
    <w:p>
      <w:pPr>
        <w:pStyle w:val="Heading2"/>
      </w:pPr>
      <w:r>
        <w:t>Zirkufierende bakterielle DNA prognostiziert Therapieerfolg bei fortgeschrittenem Bauchspeicheldrüsenkrebs</w:t>
      </w:r>
    </w:p>
    <w:p>
      <w:r>
        <w:rPr>
          <w:i/>
          <w:color w:val="666666"/>
          <w:sz w:val="18"/>
        </w:rPr>
        <w:t>Surendran SA et al.  ·  Eur J Cancer  ·  10.09.2026  ·  PMID 42743886</w:t>
      </w:r>
    </w:p>
    <w:p>
      <w:r>
        <w:t>Studie von 13 + 47 Patienten mit fortgeschrittenem Pankreaskarzinom untersuchte, ob Veränderungen der zirkulierenden freien bakteriellen DNA (cfbDNA) im Serum unter Chemotherapie (FFX oder GnP) den Behandlungserfolg vorhersagen.</w:t>
      </w:r>
    </w:p>
    <w:p>
      <w:r>
        <w:rPr>
          <w:b/>
        </w:rPr>
        <w:t xml:space="preserve">Ergebnis: </w:t>
      </w:r>
      <w:r>
        <w:t>Patienten mit Abfall der cfbDNA unter FFX erreichten 14,3 vs. 2,9 Monate PFS (p&lt;0,001) und 23,2 vs. 8,4 Monate OS (p=0,006). Ein konstanter oder erhöhter cfbDNA-Wert war mit schlechterem OS assoziiert (HR 11,75; 95%-KI 1,87–73,85; p=0,009). Diese Marker-dynamik war aber regimen-abhängig: Bei GnP zeigte der cfbDNA-Rückgang gegenteilige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Deutschland/Österreich: Europäische Krankenhauskohorten mit vergleichbarer Dokumentation</w:t>
      </w:r>
    </w:p>
    <w:p>
      <w:r>
        <w:rPr>
          <w:color w:val="5A7D3A"/>
          <w:sz w:val="18"/>
        </w:rPr>
        <w:t>https://pubmed.ncbi.nlm.nih.gov/42743886/</w:t>
      </w:r>
    </w:p>
    <w:p>
      <w:pPr>
        <w:pStyle w:val="Heading2"/>
      </w:pPr>
      <w:r>
        <w:t>Triplet-Chemotherapie plus Panitumumab in RAS wild-typ mKRK erhält Lebensqualität</w:t>
      </w:r>
    </w:p>
    <w:p>
      <w:r>
        <w:rPr>
          <w:i/>
          <w:color w:val="666666"/>
          <w:sz w:val="18"/>
        </w:rPr>
        <w:t>Klingler TM et al.  ·  Eur J Cancer  ·  11.09.2026  ·  PMID 42743885</w:t>
      </w:r>
    </w:p>
    <w:p>
      <w:r>
        <w:t>Sekundäranalyse der deutschen Phase-II-Studie VOLFI (AIO-KRK 0109) mit 105 randomisierten Patienten, die den Effekt von mFOLFOXIRI + Panitumumab vs. FOLFOXIRI auf Lebensqualität (EORTC QLQ-C30) untersuchte.</w:t>
      </w:r>
    </w:p>
    <w:p>
      <w:r>
        <w:rPr>
          <w:b/>
        </w:rPr>
        <w:t xml:space="preserve">Ergebnis: </w:t>
      </w:r>
      <w:r>
        <w:t>77 Patienten (51 vs. 26) führten ≥1 Lebensqualitäts-Fragebogen aus. Nach 12 Wochen keine statistisch signifikanten Unterschiede in Gesamt-HRQoL oder spezifischen Dimensionen. Patienten mit mFOLFOXIRI + Panitumumab mit Hautotoxizität zeigten trotz Toxizität keine assoziierte Lebensqualitätsverschlechterung. mFOLFOXIRI + Panitumumab war nicht mit schlechterer HRQoL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Deutschland: Alle Zentren Charité und LMU München – direkt übertragbar</w:t>
      </w:r>
    </w:p>
    <w:p>
      <w:r>
        <w:rPr>
          <w:color w:val="5A7D3A"/>
          <w:sz w:val="18"/>
        </w:rPr>
        <w:t>https://pubmed.ncbi.nlm.nih.gov/42743885/</w:t>
      </w:r>
    </w:p>
    <w:p>
      <w:pPr>
        <w:pStyle w:val="Heading2"/>
      </w:pPr>
      <w:r>
        <w:t>Ältere Brustkrebs-Patienten haben häufiger PIK3CA-Mutationen und höhere Tumorlast</w:t>
      </w:r>
    </w:p>
    <w:p>
      <w:r>
        <w:rPr>
          <w:i/>
          <w:color w:val="666666"/>
          <w:sz w:val="18"/>
        </w:rPr>
        <w:t>Gupta H et al.  ·  ESMO Open  ·  14.09.2026  ·  PMID 42735455</w:t>
      </w:r>
    </w:p>
    <w:p>
      <w:r>
        <w:t>Studie von 2.379 Patienten mit metastasiertem Brustkrebs (853 jung, 1.311 mittleres Alter, 215 älter ≥70 Jahre) verglich Tumor-Genomlandschaft mittels Zielsequenzierung (OncoPanel) nach Altersgruppe.</w:t>
      </w:r>
    </w:p>
    <w:p>
      <w:r>
        <w:rPr>
          <w:b/>
        </w:rPr>
        <w:t xml:space="preserve">Ergebnis: </w:t>
      </w:r>
      <w:r>
        <w:t>Ältere Patienten zeigten höhere Häufigkeit von SNVs in PIK3CA (44%), TP53 (33%), CDH1 (22%). Nach Adjustierung war hohes Alter assoziiert mit mehr PIK3CA-SNVs (OR 1,21; 95%-KI 1,11–1,31; q&lt;0,001), CDH1-SNVs (OR 1,43; 95%-KI 1,21–1,68) und 26% mit ≥10 Mutationen/Mb (vs. 17% bei Jüngsten). Diese Unterschiede waren unabhängig von Tumorsubtyp.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USA-Klinik: Vergleichbare Versicherungssysteme bei Umsetzung, genomische Testung in Deutschland ebenfalls Standard</w:t>
      </w:r>
    </w:p>
    <w:p>
      <w:r>
        <w:rPr>
          <w:color w:val="5A7D3A"/>
          <w:sz w:val="18"/>
        </w:rPr>
        <w:t>https://pubmed.ncbi.nlm.nih.gov/42735455/</w:t>
      </w:r>
    </w:p>
    <w:p>
      <w:pPr>
        <w:pStyle w:val="Heading2"/>
      </w:pPr>
      <w:r>
        <w:t>Immuntyp-Transition vorhersagt Checkpoint-Inhibitor-Anspruch besser als Ausgangszustand</w:t>
      </w:r>
    </w:p>
    <w:p>
      <w:r>
        <w:rPr>
          <w:i/>
          <w:color w:val="666666"/>
          <w:sz w:val="18"/>
        </w:rPr>
        <w:t>Lin Z et al.  ·  Cancer Cell  ·  14.09.2026  ·  PMID 42679812</w:t>
      </w:r>
    </w:p>
    <w:p>
      <w:r>
        <w:t>Longitudinale Single-Cell-RNA-Sequenzierung von 441 Proben aus 241 Patienten mit zehn Krebsentitäten untersuchte die Umgestaltung der Tumor-Immunmikroumgebung (TIME) unter Checkpoint-Inhibitor-Therapie und entwickelte eine prädiktive Signatur.</w:t>
      </w:r>
    </w:p>
    <w:p>
      <w:r>
        <w:rPr>
          <w:b/>
        </w:rPr>
        <w:t xml:space="preserve">Ergebnis: </w:t>
      </w:r>
      <w:r>
        <w:t>~40% der Tumore wechselten während Therapie zwischen TIME-Subtypen. Der Übergang (nicht der Ausgangszustand) war prognostischer: Günstige Übergänge zu entzündetem oder B-Zell-angereichertem Subtyp korrelierten mit verbessertem Ansprechen und Überleben. Eine 59-Gen-Signatur sagte Ansprechen und Überleben in 1.383 Baseline-Tumoren über 19 unabhängige Kohorten vorher (HR 2,15; KI-range über Publikationen relevant).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International/Multi-Entity: Prinzipien auf deutsche Zentren mit Liquid Biopsy/Tumorboard anwendbar</w:t>
      </w:r>
    </w:p>
    <w:p>
      <w:r>
        <w:rPr>
          <w:color w:val="5A7D3A"/>
          <w:sz w:val="18"/>
        </w:rPr>
        <w:t>https://pubmed.ncbi.nlm.nih.gov/42679812/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Onkologie</dc:title>
  <dc:subject/>
  <dc:creator>Monitor Versorgungsforschung</dc:creator>
  <cp:keywords/>
  <dc:description>generated by python-docx</dc:description>
  <cp:lastModifiedBy/>
  <cp:revision>1</cp:revision>
  <dcterms:created xsi:type="dcterms:W3CDTF">2026-09-16T06:00:00Z</dcterms:created>
  <dcterms:modified xsi:type="dcterms:W3CDTF">2026-09-16T06:00:00Z</dcterms:modified>
  <cp:category/>
</cp:coreProperties>
</file>