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18.09.2026  |  6 Studien  |  onkologie.m-vf.de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