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17.09.2026  |  6 Studien  |  onkologie.m-vf.de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eHealth-Intervention (CUMACA-M) stabilisiert Lebensqualität von Brustkrebsüberlebenden über 9 Monate</w:t>
      </w:r>
    </w:p>
    <w:p>
      <w:r>
        <w:rPr>
          <w:i/>
          <w:color w:val="666666"/>
          <w:sz w:val="18"/>
        </w:rPr>
        <w:t>J Natl Cancer Inst  ·  2026  ·  PMID djag328</w:t>
      </w:r>
    </w:p>
    <w:p>
      <w:r>
        <w:t>Spanische randomisierte Kontrollstudie mit 201 krankheitsfreien Brustkrebsüberlebenden (≥5 Jahre nach Diagnose), 9-Monate-eHealth-Intervention vs. Standardcare.</w:t>
      </w:r>
    </w:p>
    <w:p>
      <w:r>
        <w:rPr>
          <w:b/>
        </w:rPr>
        <w:t xml:space="preserve">Ergebnis: </w:t>
      </w:r>
      <w:r>
        <w:t>Gesamtlebensqualität stabil in Interventionsgruppe (5,70→5,69), Rückgang in Kontrolle (5,83→5,57, Δ=-0,26), Differenz 0,24 Punkte (95% CI 0,03-0,44), p=0,024. Psychisches Wohlbefinden Cohen d=0,40, physisches d=0,28.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System (Spanien/öffentliche Versicherung), digitale Nachsorgeintervention für Flächeimplementierung geeignet.</w:t>
      </w:r>
    </w:p>
    <w:p>
      <w:r>
        <w:rPr>
          <w:color w:val="5A7D3A"/>
          <w:sz w:val="18"/>
        </w:rPr>
        <w:t>https://pubmed.ncbi.nlm.nih.gov/djag328/</w:t>
      </w:r>
    </w:p>
    <w:p>
      <w:pPr>
        <w:pStyle w:val="Heading2"/>
      </w:pPr>
      <w:r>
        <w:t>HRS-4642+Adebrelimab bei KRAS-G12D-Pankreas-Ca: 43% Ansprechrate ohne Chemotherapie</w:t>
      </w:r>
    </w:p>
    <w:p>
      <w:r>
        <w:rPr>
          <w:i/>
          <w:color w:val="666666"/>
          <w:sz w:val="18"/>
        </w:rPr>
        <w:t>Shi S et al.  ·  Cancer Cell  ·  16.09.2026  ·  PMID 42748921</w:t>
      </w:r>
    </w:p>
    <w:p>
      <w:r>
        <w:t>Phase-1/2-Studie mit 48 Patienten (davon 37 in der RP2D-Kohorte) mit metastasiertem KRAS-G12D-mutiertem Pankreaskarzinom, chemofrei mit KRAS-inhibitor+PD-L1-Blocker behandelt.</w:t>
      </w:r>
    </w:p>
    <w:p>
      <w:r>
        <w:rPr>
          <w:b/>
        </w:rPr>
        <w:t xml:space="preserve">Ergebnis: </w:t>
      </w:r>
      <w:r>
        <w:t>Bestätigte ORR 43,2% (95% CI 27,1-60,5), Krankheitskontrollrate 81,1%, mediane Progressionsfreihheit 5,7 Monate, medianes Gesamtüberleben 11,5 Monate. Häufigste Nebenwirkungen: Hypercholesterinämie und Anämie je 50%.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KRAS-Inhibitor nicht europäisch zugelassen, Sicherheitsdaten übertragbar.</w:t>
      </w:r>
    </w:p>
    <w:p>
      <w:r>
        <w:rPr>
          <w:color w:val="5A7D3A"/>
          <w:sz w:val="18"/>
        </w:rPr>
        <w:t>https://pubmed.ncbi.nlm.nih.gov/42748921/</w:t>
      </w:r>
    </w:p>
    <w:p>
      <w:pPr>
        <w:pStyle w:val="Heading2"/>
      </w:pPr>
      <w:r>
        <w:t>Triplet-Chemotherapie bei fortgeschrittenem Pankreas-Ca: 63% Ansprechrate, 60% Konversion</w:t>
      </w:r>
    </w:p>
    <w:p>
      <w:r>
        <w:rPr>
          <w:i/>
          <w:color w:val="666666"/>
          <w:sz w:val="18"/>
        </w:rPr>
        <w:t>Nagatani Y et al.  ·  Eur J Cancer  ·  10.09.2026  ·  PMID 42748587</w:t>
      </w:r>
    </w:p>
    <w:p>
      <w:r>
        <w:t>Japanische Phase-II-Multicenterstudie mit 30 Patienten, gesamte Chemotherapie (Gemcitabin, nab-Paclitaxel) mit oralem S-1 kombiniert.</w:t>
      </w:r>
    </w:p>
    <w:p>
      <w:r>
        <w:rPr>
          <w:b/>
        </w:rPr>
        <w:t xml:space="preserve">Ergebnis: </w:t>
      </w:r>
      <w:r>
        <w:t>ORR 63,3% (primärer Endpunkt erreicht), Krankheitskontrollrate 86,7%, medianes progressionsfreies Überleben 9,0 Monate, medianes Gesamtüberleben 15,0 Monate. 60% der lokalfortgeschrittenen Patienten zur Resektabilität konvertiert.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Daten, S-1 in Deutschland verfügbar, Triplet potenziell praxisrelevant.</w:t>
      </w:r>
    </w:p>
    <w:p>
      <w:r>
        <w:rPr>
          <w:color w:val="5A7D3A"/>
          <w:sz w:val="18"/>
        </w:rPr>
        <w:t>https://pubmed.ncbi.nlm.nih.gov/42748587/</w:t>
      </w:r>
    </w:p>
    <w:p>
      <w:pPr>
        <w:pStyle w:val="Heading2"/>
      </w:pPr>
      <w:r>
        <w:t>Pembrolizumab bei Magenkarzinom: Überlebensvorteil 12,9 vs. 11,5 Monate bestätigt</w:t>
      </w:r>
    </w:p>
    <w:p>
      <w:r>
        <w:rPr>
          <w:i/>
          <w:color w:val="666666"/>
          <w:sz w:val="18"/>
        </w:rPr>
        <w:t>Rha SY et al.  ·  ESMO Open  ·  16.09.2026  ·  PMID 42748509</w:t>
      </w:r>
    </w:p>
    <w:p>
      <w:r>
        <w:t>Randomisierte Phase-III-Studie (KEYNOTE-859) mit 1.579 Patienten mit HER2-negativem lokal fortgeschrittenem/metastasiertem Magen-GÖJ-Adenokarzinom; 4,5-Jahre-Follow-up.</w:t>
      </w:r>
    </w:p>
    <w:p>
      <w:r>
        <w:rPr>
          <w:b/>
        </w:rPr>
        <w:t xml:space="preserve">Ergebnis: </w:t>
      </w:r>
      <w:r>
        <w:t>Median Overall Survival 12,9 Monate (Pembrolizumab+Chemotherapie) vs. 11,5 Monate (Placebo+Chemotherapie), Hazard Ratio 0,78 (95% CI 0,70-0,86). Grade-3/4-Nebenwirkungen 58,3% vs. 49,3%.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europäische und asiatische Zentren, vergleichbare Versorgung.</w:t>
      </w:r>
    </w:p>
    <w:p>
      <w:r>
        <w:rPr>
          <w:color w:val="5A7D3A"/>
          <w:sz w:val="18"/>
        </w:rPr>
        <w:t>https://pubmed.ncbi.nlm.nih.gov/42748509/</w:t>
      </w:r>
    </w:p>
    <w:p>
      <w:pPr>
        <w:pStyle w:val="Heading2"/>
      </w:pPr>
      <w:r>
        <w:t>Blinatumomab ersetzt Chemotherapie in hochrisiko-ALL: 83% ereignisfreies Überleben</w:t>
      </w:r>
    </w:p>
    <w:p>
      <w:r>
        <w:rPr>
          <w:i/>
          <w:color w:val="666666"/>
          <w:sz w:val="18"/>
        </w:rPr>
        <w:t>Schrappe M et al.  ·  N Engl J Med  ·  17.09.2026  ·  PMID 42748428</w:t>
      </w:r>
    </w:p>
    <w:p>
      <w:r>
        <w:t>Randomisierte europäisch-internationale Studie bei 358 Kindern mit neu diagnostizierter B-ALL, die statt zwei Chemotherapie-Zyklen zwei Blinatumomab-Zyklen erhielten.</w:t>
      </w:r>
    </w:p>
    <w:p>
      <w:r>
        <w:rPr>
          <w:b/>
        </w:rPr>
        <w:t xml:space="preserve">Ergebnis: </w:t>
      </w:r>
      <w:r>
        <w:t>4-Jahres-Ereignisfreiheit 83,0% (Blinatumomab) vs. 70,3% (Kontrolle), Hazard Ratio 0,51, p=0,0002. Behandlungsbedingte Infektionen: 23,9% vs. 69,4%, lebensbedrohliche Ereignisse 0,5% vs. 4,7%.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Deutsches/österreichisches Zentrumsprotokoll (BFM-ALL 2017), direkte Übertragung möglich.</w:t>
      </w:r>
    </w:p>
    <w:p>
      <w:r>
        <w:rPr>
          <w:color w:val="5A7D3A"/>
          <w:sz w:val="18"/>
        </w:rPr>
        <w:t>https://pubmed.ncbi.nlm.nih.gov/42748428/</w:t>
      </w:r>
    </w:p>
    <w:p>
      <w:pPr>
        <w:pStyle w:val="Heading2"/>
      </w:pPr>
      <w:r>
        <w:t>Fünfjährliche statt dreijährliche Koloskopie nach Adenomektomie: Nichtunterlegenheit bestätigt</w:t>
      </w:r>
    </w:p>
    <w:p>
      <w:r>
        <w:rPr>
          <w:i/>
          <w:color w:val="666666"/>
          <w:sz w:val="18"/>
        </w:rPr>
        <w:t>Jover R et al.  ·  N Engl J Med  ·  17.09.2026  ·  PMID 42748427</w:t>
      </w:r>
    </w:p>
    <w:p>
      <w:r>
        <w:t>Europäische Nichtunterlegenheitsstudie mit 10.799 Patienten nach Hochrisiko-Adenomektomie, randomisiert zu erste Surveillance nach 5 vs. 3 Jahren.</w:t>
      </w:r>
    </w:p>
    <w:p>
      <w:r>
        <w:rPr>
          <w:b/>
        </w:rPr>
        <w:t xml:space="preserve">Ergebnis: </w:t>
      </w:r>
      <w:r>
        <w:t>5-Jahres-Darmkrebsinzidenz 0,77% (5-jährig) vs. 0,82% (3-jährig), Nichtunterlegenheitsgrenze erreicht. Krebstodesfälle: 0,06% vs. 0,04%.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Studiendesign (Spanien, Norwegen, Polen, Dänemark), Nachsorgeleitlinien unmittelbar anwendbar.</w:t>
      </w:r>
    </w:p>
    <w:p>
      <w:r>
        <w:rPr>
          <w:color w:val="5A7D3A"/>
          <w:sz w:val="18"/>
        </w:rPr>
        <w:t>https://pubmed.ncbi.nlm.nih.gov/42748427/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2026-09-17T06:00:00Z</dcterms:created>
  <dcterms:modified xsi:type="dcterms:W3CDTF">2026-09-17T06:00:00Z</dcterms:modified>
  <cp:category/>
</cp:coreProperties>
</file>