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24.10.2026  |  271 Studien  |  onkologie.m-vf.de</w:t>
      </w:r>
    </w:p>
    <w:p>
      <w:pPr>
        <w:pStyle w:val="Heading1"/>
      </w:pPr>
      <w:r>
        <w:t>Aufgenommen am 24.10.2026</w:t>
      </w:r>
    </w:p>
    <w:p>
      <w:pPr>
        <w:pStyle w:val="Heading2"/>
      </w:pPr>
      <w:r>
        <w:t>Capivasertib + Abiraterone verlängert Gesamtüberleben bei PTEN-defizienten Prostatakrebsen</w:t>
      </w:r>
    </w:p>
    <w:p>
      <w:r>
        <w:rPr>
          <w:i/>
          <w:color w:val="666666"/>
          <w:sz w:val="18"/>
        </w:rPr>
        <w:t>Fizazi K et al.  ·  Ann Oncol  ·  23.10.2026  ·  PMID 42918424</w:t>
      </w:r>
    </w:p>
    <w:p>
      <w:r>
        <w:t>Randomisierte Phase-III-Studie zur Wirksamkeit von Capivasertib (ein Protein-Kinase-B-Inhibitor) plus Abiraterone gegen Placebo plus Abiraterone bei Patienten mit neu diagnostiziertem metastasiertem, hormonempfindlichem Prostatakarzinom und PTEN-Mangel.</w:t>
      </w:r>
    </w:p>
    <w:p>
      <w:r>
        <w:rPr>
          <w:b/>
        </w:rPr>
        <w:t xml:space="preserve">Ergebnis: </w:t>
      </w:r>
      <w:r>
        <w:t>Bei 42 % Reife der Gesamtüberlebensdaten (Median Follow-up 39 Monate) zeigte sich ein Gesamtüberlebensvorteil für Capivasertib plus Abiraterone: Medianales Gesamtüberleben 57,4 vs. 46,5 Monate (Hazard Ratio 0,82; 95%-KI 0,68–0,99; P = 0,044). Die Progression-Free-Survival betrug 35,5 vs. 26,0 Monate (HR 0,83; 95%-KI 0,70–0,99). Das Sicherheitsprofil blieb konsistent mit früheren Analysen.</w:t>
      </w:r>
    </w:p>
    <w:p>
      <w:r>
        <w:rPr>
          <w:b/>
          <w:sz w:val="19"/>
        </w:rPr>
        <w:t xml:space="preserve">Übertragbarkeit: </w:t>
      </w:r>
      <w:r>
        <w:rPr>
          <w:sz w:val="19"/>
        </w:rPr>
        <w:t>Europäische Zentren beteiligt; PTEN-Test erlaubt, Targeted Therapy verfügbar.</w:t>
      </w:r>
    </w:p>
    <w:p>
      <w:r>
        <w:rPr>
          <w:color w:val="5A7D3A"/>
          <w:sz w:val="18"/>
        </w:rPr>
        <w:t>https://pubmed.ncbi.nlm.nih.gov/42918424/</w:t>
      </w:r>
    </w:p>
    <w:p>
      <w:pPr>
        <w:pStyle w:val="Heading2"/>
      </w:pPr>
      <w:r>
        <w:t>Ribociclib + Aromatasehemmer verbessert Gesamtüberleben im frühen Brustkrebs</w:t>
      </w:r>
    </w:p>
    <w:p>
      <w:r>
        <w:rPr>
          <w:i/>
          <w:color w:val="666666"/>
          <w:sz w:val="18"/>
        </w:rPr>
        <w:t>Slamon DJ et al.  ·  Ann Oncol  ·  23.10.2026  ·  PMID 42918423</w:t>
      </w:r>
    </w:p>
    <w:p>
      <w:r>
        <w:t>Randomisierte Phase-III-NATALEE-Studie zur Wirksamkeit von Ribociclib (CDK4/6-Inhibitor) plus Nichtsteroidal-Aromatasehemmer versus Aromatasehemmer allein in adjuvanter Therapie bei hormonrezeptor-positivem/HER2-negativem frühem Brustkrebs mit hohem Risiko über 6 Jahre.</w:t>
      </w:r>
    </w:p>
    <w:p>
      <w:r>
        <w:rPr>
          <w:b/>
        </w:rPr>
        <w:t xml:space="preserve">Ergebnis: </w:t>
      </w:r>
      <w:r>
        <w:t>Bei medianer Nachbeobachtung von 66,5 Monaten zeigte Ribociclib plus NSAI einen Gesamtüberlebensvorteil (6-Jahres-Delta 2,1 %; HR 0,809; 95%-KI 0,661–0,989; P = 0,019). Die Invasive-Disease-Free-Survival verbesserte sich (6-Jahres-Delta 5,3 %; HR 0,741; 95%-KI 0,646–0,849). Keine neuen Sicherheitssignale.</w:t>
      </w:r>
    </w:p>
    <w:p>
      <w:r>
        <w:rPr>
          <w:b/>
          <w:sz w:val="19"/>
        </w:rPr>
        <w:t xml:space="preserve">Übertragbarkeit: </w:t>
      </w:r>
      <w:r>
        <w:rPr>
          <w:sz w:val="19"/>
        </w:rPr>
        <w:t>Deutsche Zentren teil der globalen Studie; CDK4/6-Inhibitor standard zertifiziert.</w:t>
      </w:r>
    </w:p>
    <w:p>
      <w:r>
        <w:rPr>
          <w:color w:val="5A7D3A"/>
          <w:sz w:val="18"/>
        </w:rPr>
        <w:t>https://pubmed.ncbi.nlm.nih.gov/42918423/</w:t>
      </w:r>
    </w:p>
    <w:p>
      <w:pPr>
        <w:pStyle w:val="Heading2"/>
      </w:pPr>
      <w:r>
        <w:t>Perioperatives Pembrolizumab verbessert Blasenkrebs-Outcomes nicht signifikant</w:t>
      </w:r>
    </w:p>
    <w:p>
      <w:r>
        <w:rPr>
          <w:i/>
          <w:color w:val="666666"/>
          <w:sz w:val="18"/>
        </w:rPr>
        <w:t>Bedke J et al.  ·  Ann Oncol  ·  23.10.2026  ·  PMID 42918422</w:t>
      </w:r>
    </w:p>
    <w:p>
      <w:r>
        <w:t>Randomisierte Phase-III-KEYNOTE-866-Studie zur Wirksamkeit von perioperativem Pembrolizumab (Immune Checkpoint Inhibitor) versus Placebo zusätzlich zu neoadjuvanter Chemotherapie und radikaler Zystektomie bei muskelinvasivem Blasenkrebs.</w:t>
      </w:r>
    </w:p>
    <w:p>
      <w:r>
        <w:rPr>
          <w:b/>
        </w:rPr>
        <w:t xml:space="preserve">Ergebnis: </w:t>
      </w:r>
      <w:r>
        <w:t>Bei Median-Follow-up von 60,9 Monaten war die Event-Free-Survival bei 60 Monaten 63,5 % mit Pembrolizumab vs. 61,9 % mit Placebo (HR 0,88; 95%-KI 0,71–1,10; P = 0,1366; nicht signifikant). Pathologische komplette Response 44,4 % vs. 35,8 %. Mediales Gesamtüberleben wurde in beiden Gruppen nicht erreicht (HR 1,00). Grad-≥3-Nebenwirkungen: 80,2 % vs. 75,1 %.</w:t>
      </w:r>
    </w:p>
    <w:p>
      <w:r>
        <w:rPr>
          <w:b/>
          <w:sz w:val="19"/>
        </w:rPr>
        <w:t xml:space="preserve">Übertragbarkeit: </w:t>
      </w:r>
      <w:r>
        <w:rPr>
          <w:sz w:val="19"/>
        </w:rPr>
        <w:t>Europäische und internationale Zentren; Checkpoint-Inhibitor in dieser Indikation nicht standard.</w:t>
      </w:r>
    </w:p>
    <w:p>
      <w:r>
        <w:rPr>
          <w:color w:val="5A7D3A"/>
          <w:sz w:val="18"/>
        </w:rPr>
        <w:t>https://pubmed.ncbi.nlm.nih.gov/42918422/</w:t>
      </w:r>
    </w:p>
    <w:p>
      <w:pPr>
        <w:pStyle w:val="Heading2"/>
      </w:pPr>
      <w:r>
        <w:t>Aktive Überwachung gleichwertig zu Operation bei Speiseröhrenkrebs nach Chemoradiotherapie</w:t>
      </w:r>
    </w:p>
    <w:p>
      <w:r>
        <w:rPr>
          <w:i/>
          <w:color w:val="666666"/>
          <w:sz w:val="18"/>
        </w:rPr>
        <w:t>Panday SSGG et al.  ·  Ann Oncol  ·  23.10.2026  ·  PMID 42918421</w:t>
      </w:r>
    </w:p>
    <w:p>
      <w:r>
        <w:t>Multizentrische, stepped-wedge-randomisierte Nichtunterlegenheitsstudie (Niederlande) zu aktiver Überwachung versus Standard-Ösophagektomie nach neoadjuvanter Chemoradiotherapie bei 309 Patienten mit lokal fortgeschrittenem Ösophaguskrebs und kompletter klinischer Response.</w:t>
      </w:r>
    </w:p>
    <w:p>
      <w:r>
        <w:rPr>
          <w:b/>
        </w:rPr>
        <w:t xml:space="preserve">Ergebnis: </w:t>
      </w:r>
      <w:r>
        <w:t>Bei medianer Nachbeobachtung von 76 Monaten: 5-Jahres-Gesamtüberleben 50 % (95%-KI 43–57 %) aktive Überwachung vs. 54 % (95%-KI 46–64 %) Standard-OP (HR 1,17; 95%-KI 0,77–1,77), nicht signifikant unterschiedlich. Krankheitsfreies Überleben: HR 1,39 (95%-KI 0,94–2,06). Fernmetastasen bei 5 Jahren höher in aktiver Überwachung (46 % vs. 29 %; P &lt; 0,01). 43 % der Patienten unter aktiver Überwachung vermieden Ösophagektomie.</w:t>
      </w:r>
    </w:p>
    <w:p>
      <w:r>
        <w:rPr>
          <w:b/>
          <w:sz w:val="19"/>
        </w:rPr>
        <w:t xml:space="preserve">Übertragbarkeit: </w:t>
      </w:r>
      <w:r>
        <w:rPr>
          <w:sz w:val="19"/>
        </w:rPr>
        <w:t>Niederländische Studie, vergleichbares Versicherungssystem; Watch-and-Wait-Strategie nach nCRT established.</w:t>
      </w:r>
    </w:p>
    <w:p>
      <w:r>
        <w:rPr>
          <w:color w:val="5A7D3A"/>
          <w:sz w:val="18"/>
        </w:rPr>
        <w:t>https://pubmed.ncbi.nlm.nih.gov/42918421/</w:t>
      </w:r>
    </w:p>
    <w:p>
      <w:pPr>
        <w:pStyle w:val="Heading2"/>
      </w:pPr>
      <w:r>
        <w:t>Neoadjuvantes Nivolumab + Chemotherapie verbessert Blasenkrebsergebnisse nicht</w:t>
      </w:r>
    </w:p>
    <w:p>
      <w:r>
        <w:rPr>
          <w:i/>
          <w:color w:val="666666"/>
          <w:sz w:val="18"/>
        </w:rPr>
        <w:t>Sonpavde G et al.  ·  Ann Oncol  ·  31.12.2026  ·  PMID 42918420</w:t>
      </w:r>
    </w:p>
    <w:p>
      <w:r>
        <w:t>Randomisierte Phase-III-CA017-078(ENERGIZE)-Studie zu perioperativem Nivolumab plus Gemcitabin-Cisplatin versus Gemcitabin-Cisplatin allein bei muskelinvasivem Blasenkrebs und Cisplatin-Eignung.</w:t>
      </w:r>
    </w:p>
    <w:p>
      <w:r>
        <w:rPr>
          <w:b/>
        </w:rPr>
        <w:t xml:space="preserve">Ergebnis: </w:t>
      </w:r>
      <w:r>
        <w:t>Bei 54,5 Monaten medianer Nachbeobachtung (325 vs. 328 Patienten): Pathologische komplette Response 39,1 % vs. 29,6 % (adjustierte Differenz 9,5 %; 99,91%-KI −2,6 bis 21,6). Event-Free-Survival zeigte keinen Vorteil (104 Events je Arm; HR 0,94; 95,74%-KI 0,71–1,25; P = 0,6697). Gesamtüberleben: HR 0,88 (deskriptiv, da EFS-Kriterium nicht erfüllt). ctDNA-Clearance bei Zyklus 4: 76,9 % insgesamt; ctDNA prognostisch für EFS und OS.</w:t>
      </w:r>
    </w:p>
    <w:p>
      <w:r>
        <w:rPr>
          <w:b/>
          <w:sz w:val="19"/>
        </w:rPr>
        <w:t xml:space="preserve">Übertragbarkeit: </w:t>
      </w:r>
      <w:r>
        <w:rPr>
          <w:sz w:val="19"/>
        </w:rPr>
        <w:t>Europäische und internationale Zentren; Nivolumab-Kombination in dieser Indikation nicht standard.</w:t>
      </w:r>
    </w:p>
    <w:p>
      <w:r>
        <w:rPr>
          <w:color w:val="5A7D3A"/>
          <w:sz w:val="18"/>
        </w:rPr>
        <w:t>https://pubmed.ncbi.nlm.nih.gov/42918420/</w:t>
      </w:r>
    </w:p>
    <w:p>
      <w:pPr>
        <w:pStyle w:val="Heading2"/>
      </w:pPr>
      <w:r>
        <w:t>Kohlenstoff-Ionentherapie zeigt ermutigende Ergebnisse bei Pankreaskrebs</w:t>
      </w:r>
    </w:p>
    <w:p>
      <w:r>
        <w:rPr>
          <w:i/>
          <w:color w:val="666666"/>
          <w:sz w:val="18"/>
        </w:rPr>
        <w:t>Liermann J et al.  ·  Radiother Oncol  ·  22.10.2026  ·  PMID 42913944</w:t>
      </w:r>
    </w:p>
    <w:p>
      <w:r>
        <w:t>Prospektive Phase-II-PACK-Studie zur Wirksamkeit und Sicherheit von Kohlenstoff-Ionenradiotherapie (CIRT) mit gleichzeitiger Gemcitabin-Chemotherapie bei 23 Patienten mit inoperablem oder lokal rezidiviertem Pankreaskrebs.</w:t>
      </w:r>
    </w:p>
    <w:p>
      <w:r>
        <w:rPr>
          <w:b/>
        </w:rPr>
        <w:t xml:space="preserve">Ergebnis: </w:t>
      </w:r>
      <w:r>
        <w:t>1- und 2-Jahres-Gesamtüberleben betrugen 78 % (95%-KI 63–97 %) und 59 % (95%-KI 41–84 %); Median 26,5 Monate. 1- und 2-Jahres-PFS: 26 % (95%-KI 13–52 %) und 10 % (95%-KI 3–37 %); Median 8,1 Monate. Toxizität: 3 Grad-3-Ereignisse (Bauchschmerzen, obere GI-Blutung, Ureterstriktuur); keine Grad-4/5-Toxizitäten.</w:t>
      </w:r>
    </w:p>
    <w:p>
      <w:r>
        <w:rPr>
          <w:b/>
          <w:sz w:val="19"/>
        </w:rPr>
        <w:t xml:space="preserve">Übertragbarkeit: </w:t>
      </w:r>
      <w:r>
        <w:rPr>
          <w:sz w:val="19"/>
        </w:rPr>
        <w:t>Deutsche Studie (Heidelberg); CIRT-Kapazität in Deutschland begrenzt, erfordert Phase-III-Validation.</w:t>
      </w:r>
    </w:p>
    <w:p>
      <w:r>
        <w:rPr>
          <w:color w:val="5A7D3A"/>
          <w:sz w:val="18"/>
        </w:rPr>
        <w:t>https://pubmed.ncbi.nlm.nih.gov/42913944/</w:t>
      </w:r>
    </w:p>
    <w:p>
      <w:pPr>
        <w:pStyle w:val="Heading1"/>
      </w:pPr>
      <w:r>
        <w:t>Aufgenommen am 23.10.2026</w:t>
      </w:r>
    </w:p>
    <w:p>
      <w:pPr>
        <w:pStyle w:val="Heading2"/>
      </w:pPr>
      <w:r>
        <w:t>Neoadjuvante Immunotherapie bei dMMR-Kolonkarzinom: 100% DFS und OS nach 3-5 Jahren</w:t>
      </w:r>
    </w:p>
    <w:p>
      <w:r>
        <w:rPr>
          <w:i/>
          <w:color w:val="666666"/>
          <w:sz w:val="18"/>
        </w:rPr>
        <w:t>Chalabi M et al.  ·  Lancet  ·  21.10.2026  ·  PMID 42906564</w:t>
      </w:r>
    </w:p>
    <w:p>
      <w:r>
        <w:t>Patienten mit lokal fortgeschrittenem Mismatch-Repair-defizientem Kolonkarzinom erhielten vor der Operation Ipilimumab und Nivolumab.</w:t>
      </w:r>
    </w:p>
    <w:p>
      <w:r>
        <w:rPr>
          <w:b/>
        </w:rPr>
        <w:t xml:space="preserve">Ergebnis: </w:t>
      </w:r>
      <w:r>
        <w:t>Von 111 auswertbaren Patienten betrug die 3-Jahres-Krankheitsfreie Überleben 100% (97,5%-KI 100-100%) und das 5-Jahres-Gesamtüberleben 100% (95%-KI 100-100%). ctDNA-Clearance zeigte sich nach dem zweiten Zyklus bei 82% der Patienten mit verfügbarem Plasma. Diese Ergebnisse unterstützen neoadjuvante Checkpoint-Inhibition als potenzieller neuer Standard für dieses Patientengut.</w:t>
      </w:r>
    </w:p>
    <w:p>
      <w:r>
        <w:rPr>
          <w:b/>
          <w:sz w:val="19"/>
        </w:rPr>
        <w:t xml:space="preserve">Übertragbarkeit: </w:t>
      </w:r>
      <w:r>
        <w:rPr>
          <w:sz w:val="19"/>
        </w:rPr>
        <w:t>Niederlande, vergleichbares Versicherungssystem, Multi-Center-Studie mit europäischen Zentren</w:t>
      </w:r>
    </w:p>
    <w:p>
      <w:r>
        <w:rPr>
          <w:color w:val="5A7D3A"/>
          <w:sz w:val="18"/>
        </w:rPr>
        <w:t>https://pubmed.ncbi.nlm.nih.gov/42906564/</w:t>
      </w:r>
    </w:p>
    <w:p>
      <w:pPr>
        <w:pStyle w:val="Heading2"/>
      </w:pPr>
      <w:r>
        <w:t>CD20-gerichtete CAR-T-Zelltherapie bei rezidivierendem B-Lymphom: responder zeigen anhaltendes Ansprechen</w:t>
      </w:r>
    </w:p>
    <w:p>
      <w:r>
        <w:rPr>
          <w:i/>
          <w:color w:val="666666"/>
          <w:sz w:val="18"/>
        </w:rPr>
        <w:t>Kutsch N et al.  ·  Eur J Cancer  ·  16.10.2026  ·  PMID 42906410</w:t>
      </w:r>
    </w:p>
    <w:p>
      <w:r>
        <w:t>Phase-I-Dosiseskalationsstudie in Deutschland zur CD20-gerichteten CAR-T-Zelltherapie MB-CART20.1 bei 9 schwer vorbehandelten Patienten mit therapieresistentem B-NHL.</w:t>
      </w:r>
    </w:p>
    <w:p>
      <w:r>
        <w:rPr>
          <w:b/>
        </w:rPr>
        <w:t xml:space="preserve">Ergebnis: </w:t>
      </w:r>
      <w:r>
        <w:t>Beste Ansprechrate 56%, davon 33% komplette Remissionen (CR). Ein CR blieb über 5 Jahre stabil. Eine dosislimitierende Toxizität (Grad-4-Neutropenie) bei höherer Dosis. Keine Grad ≥3 Zytokin-Freisetzungssyndrom. CAR-T-Zell-Expansion korrelierte mit klinischem Ansprechen (maximale Zellzahl höher bei Respondern, p=0,0369).</w:t>
      </w:r>
    </w:p>
    <w:p>
      <w:r>
        <w:rPr>
          <w:b/>
          <w:sz w:val="19"/>
        </w:rPr>
        <w:t xml:space="preserve">Übertragbarkeit: </w:t>
      </w:r>
      <w:r>
        <w:rPr>
          <w:sz w:val="19"/>
        </w:rPr>
        <w:t>Deutschland, Universitätsklinik Köln, vergleichbare Gesundheitssysteme, CAR-T-Herstellung vor Ort</w:t>
      </w:r>
    </w:p>
    <w:p>
      <w:r>
        <w:rPr>
          <w:color w:val="5A7D3A"/>
          <w:sz w:val="18"/>
        </w:rPr>
        <w:t>https://pubmed.ncbi.nlm.nih.gov/42906410/</w:t>
      </w:r>
    </w:p>
    <w:p>
      <w:pPr>
        <w:pStyle w:val="Heading1"/>
      </w:pPr>
      <w:r>
        <w:t>Aufgenommen am 22.10.2026</w:t>
      </w:r>
    </w:p>
    <w:p>
      <w:pPr>
        <w:pStyle w:val="Heading2"/>
      </w:pPr>
      <w:r>
        <w:t>Eosinophile im Blut prognostizieren Rezidivrisiko bei HR+/HER2- Brustkrebs</w:t>
      </w:r>
    </w:p>
    <w:p>
      <w:r>
        <w:rPr>
          <w:i/>
          <w:color w:val="666666"/>
          <w:sz w:val="18"/>
        </w:rPr>
        <w:t>Li ZQ et al.  ·  J Clin Oncol  ·  20.10.2026  ·  PMID 42900864</w:t>
      </w:r>
    </w:p>
    <w:p>
      <w:r>
        <w:t>Studie bei 472 Patienten mit HR+/HER2- Brustkrebs zu Assoziation erhöhter zirkulierender Eosinophilen mit Therapieergebnis.</w:t>
      </w:r>
    </w:p>
    <w:p>
      <w:r>
        <w:rPr>
          <w:b/>
        </w:rPr>
        <w:t xml:space="preserve">Ergebnis: </w:t>
      </w:r>
      <w:r>
        <w:t>Höhere präoperative Eosinophilenzahl korrelierte mit signifikant verbessertem rezidivfreiem Überleben (gemessen an fernmetastasenfreiem Überleben). Erhöhte Eosinophilen zeigten additive prognostische Wertigkeit über den 21-Gen-Recurrence-Score hinaus und ließen in der hochriskanten Subgruppe bessere CDK4/6-Inhibitor-Response vorhersagen. In Validierungskohorten (N=23.170) und Tiermodellen bestätigt.</w:t>
      </w:r>
    </w:p>
    <w:p>
      <w:r>
        <w:rPr>
          <w:b/>
          <w:sz w:val="19"/>
        </w:rPr>
        <w:t xml:space="preserve">Übertragbarkeit: </w:t>
      </w:r>
      <w:r>
        <w:rPr>
          <w:sz w:val="19"/>
        </w:rPr>
        <w:t>China, Multiomik-Daten transferierbar auf deutsche Praxiskonzepte zur Risikoschichtung</w:t>
      </w:r>
    </w:p>
    <w:p>
      <w:r>
        <w:rPr>
          <w:color w:val="5A7D3A"/>
          <w:sz w:val="18"/>
        </w:rPr>
        <w:t>https://pubmed.ncbi.nlm.nih.gov/42900864/</w:t>
      </w:r>
    </w:p>
    <w:p>
      <w:pPr>
        <w:pStyle w:val="Heading2"/>
      </w:pPr>
      <w:r>
        <w:t>Lokal ablative Therapie bei HR+/HER2- oligometastasiertem Brustkrebs verbessert Überleben</w:t>
      </w:r>
    </w:p>
    <w:p>
      <w:r>
        <w:rPr>
          <w:i/>
          <w:color w:val="666666"/>
          <w:sz w:val="18"/>
        </w:rPr>
        <w:t>Lacaze JL et al.  ·  Oncologist  ·  19.10.2026  ·  PMID 42898011</w:t>
      </w:r>
    </w:p>
    <w:p>
      <w:r>
        <w:t>Retrospektive Kohorte (2012–2020) mit 145 Patienten mit HR+/HER2- oligometastasiertem Brustkrebs (≤5 Metastasen) zur Frage, wann lokal ablative Therapie (LAT) das Überleben verbessert.</w:t>
      </w:r>
    </w:p>
    <w:p>
      <w:r>
        <w:rPr>
          <w:b/>
        </w:rPr>
        <w:t xml:space="preserve">Ergebnis: </w:t>
      </w:r>
      <w:r>
        <w:t>Mediane OS 81,1 Monate, mediane PFS 26,5 Monate. LAT verbesserte PFS (HR=0,52; 95%-KI 0,29–0,91; p=0,023). Bei Staging mit moderner Bildgebung (18F-FDG-PET/CT oder WB-MRI) zeigte LAT signifikante Verbesserung von OS (HR=0,29; 95%-KI 0,12–0,73; p=0,008) und PFS. Nur 18% entwickelten polymetastatische Progression nach First-line-Therapie.</w:t>
      </w:r>
    </w:p>
    <w:p>
      <w:r>
        <w:rPr>
          <w:b/>
          <w:sz w:val="19"/>
        </w:rPr>
        <w:t xml:space="preserve">Übertragbarkeit: </w:t>
      </w:r>
      <w:r>
        <w:rPr>
          <w:sz w:val="19"/>
        </w:rPr>
        <w:t>Französische Spezialistklinik, Therapieentscheidungen übertragbar auf deutsche Tumorzentren</w:t>
      </w:r>
    </w:p>
    <w:p>
      <w:r>
        <w:rPr>
          <w:color w:val="5A7D3A"/>
          <w:sz w:val="18"/>
        </w:rPr>
        <w:t>https://pubmed.ncbi.nlm.nih.gov/42898011/</w:t>
      </w:r>
    </w:p>
    <w:p>
      <w:pPr>
        <w:pStyle w:val="Heading2"/>
      </w:pPr>
      <w:r>
        <w:t>Real-World-PFS validiert als Surrogatendpunkt für Gesamtüberleben bei metastasiertem Brustkrebs</w:t>
      </w:r>
    </w:p>
    <w:p>
      <w:r>
        <w:rPr>
          <w:i/>
          <w:color w:val="666666"/>
          <w:sz w:val="18"/>
        </w:rPr>
        <w:t>Labaki C et al.  ·  J Natl Cancer Inst  ·  19.10.2026  ·  PMID 42898006</w:t>
      </w:r>
    </w:p>
    <w:p>
      <w:r>
        <w:t>Retrospektive US-Kohortenstudie (Flatiron Health) mit 19.164 Patienten mit metastasiertem Brustkrebs zur Validierung von Intermediate Clinical Endpoints als Surrogate für Overall Survival.</w:t>
      </w:r>
    </w:p>
    <w:p>
      <w:r>
        <w:rPr>
          <w:b/>
        </w:rPr>
        <w:t xml:space="preserve">Ergebnis: </w:t>
      </w:r>
      <w:r>
        <w:t>Mediane OS 36,3 Monate (95%-KI 35,6–37,2). Real-World-PFS, Time to Next Line und Time to Last Treatment Administration zeigten hohe Korrelation mit OS (Kendall's tau ≥0,5; R²≥0,7 bei 36-Monats-OS und 12-Monats-Raten). Nur rwPFS erfüllte beide Surrogacy-Bedingungen mit R²≥0,7 über alle Subgruppenvergleiche.</w:t>
      </w:r>
    </w:p>
    <w:p>
      <w:r>
        <w:rPr>
          <w:b/>
          <w:sz w:val="19"/>
        </w:rPr>
        <w:t xml:space="preserve">Übertragbarkeit: </w:t>
      </w:r>
      <w:r>
        <w:rPr>
          <w:sz w:val="19"/>
        </w:rPr>
        <w:t>USA-Versorgungsdaten, Rahmenwerk übertragbar auf deutsche Real-World-Analysen</w:t>
      </w:r>
    </w:p>
    <w:p>
      <w:r>
        <w:rPr>
          <w:color w:val="5A7D3A"/>
          <w:sz w:val="18"/>
        </w:rPr>
        <w:t>https://pubmed.ncbi.nlm.nih.gov/42898006/</w:t>
      </w:r>
    </w:p>
    <w:p>
      <w:pPr>
        <w:pStyle w:val="Heading2"/>
      </w:pPr>
      <w:r>
        <w:t>Baseline-Lungenabnormitäten erhöhen Risiko für T-DXd-bedingte interstitielle Lungenerkrankung</w:t>
      </w:r>
    </w:p>
    <w:p>
      <w:r>
        <w:rPr>
          <w:i/>
          <w:color w:val="666666"/>
          <w:sz w:val="18"/>
        </w:rPr>
        <w:t>Nakamura T et al.  ·  Oncologist  ·  19.10.2026  ·  PMID 42897999</w:t>
      </w:r>
    </w:p>
    <w:p>
      <w:r>
        <w:t>Retrospektive Kohorte (156 Patienten, Juni 2020–Mai 2025) in Japan zu Baseline-CT-Befunden vor T-DXd-Therapie und deren Assoziation mit T-DXd-bedingter interstitieller Lungenerkrankung (ILD).</w:t>
      </w:r>
    </w:p>
    <w:p>
      <w:r>
        <w:rPr>
          <w:b/>
        </w:rPr>
        <w:t xml:space="preserve">Ergebnis: </w:t>
      </w:r>
      <w:r>
        <w:t>T-DXd-bedingte ILD trat in 31 Patienten auf (20%). Bei Baseline-ILAs waren es 19/50 (38%), ohne ILAs 12/106 (11%). Baseline-ILA-Status assoziiert mit erhöhter kumulativer ILD-Inzidenz (Subdistribution-Hazard-Ratio 3,56; 95%-KI 1,63–7,78; p=0,001). Kein signifikanter Unterschied zwischen equivokalen und definitiven ILAs. Kein Unterschied in PFS oder OS nach ILA-Status.</w:t>
      </w:r>
    </w:p>
    <w:p>
      <w:r>
        <w:rPr>
          <w:b/>
          <w:sz w:val="19"/>
        </w:rPr>
        <w:t xml:space="preserve">Übertragbarkeit: </w:t>
      </w:r>
      <w:r>
        <w:rPr>
          <w:sz w:val="19"/>
        </w:rPr>
        <w:t>Japan, Sicherheitsmonitoring übertragbar auf deutsche Praxen mit T-DXd-Einsatz</w:t>
      </w:r>
    </w:p>
    <w:p>
      <w:r>
        <w:rPr>
          <w:color w:val="5A7D3A"/>
          <w:sz w:val="18"/>
        </w:rPr>
        <w:t>https://pubmed.ncbi.nlm.nih.gov/42897999/</w:t>
      </w:r>
    </w:p>
    <w:p>
      <w:pPr>
        <w:pStyle w:val="Heading2"/>
      </w:pPr>
      <w:r>
        <w:t>TACL-Konsensus: kardiotoxizitätsgerechte Dosisindividualisierung in pädiatrischen Relaps-Studien</w:t>
      </w:r>
    </w:p>
    <w:p>
      <w:r>
        <w:rPr>
          <w:i/>
          <w:color w:val="666666"/>
          <w:sz w:val="18"/>
        </w:rPr>
        <w:t>Colace SI et al.  ·  J Natl Cancer Inst  ·  19.10.2026  ·  PMID 42895291</w:t>
      </w:r>
    </w:p>
    <w:p>
      <w:r>
        <w:t>Konsensus-Task-Force des TACL-Konsortiums zu evidenzgestützten Empfehlungen für kardialen Screening, Monitoring und Cardioprotection bei Kindern mit rezidiviertem/refraktärem hämatologischem Malignom in Relaps-Studien.</w:t>
      </w:r>
    </w:p>
    <w:p>
      <w:r>
        <w:rPr>
          <w:b/>
        </w:rPr>
        <w:t xml:space="preserve">Ergebnis: </w:t>
      </w:r>
      <w:r>
        <w:t>Fünf Leitempfehlungen: (1) Therapieausschluss basierend auf individuellen Risikofaktoren und realtimem Cardiac Function statt historischen Anthrazyklin-Dosen; (2) umfassendes Monitoring vor, während und nach Therapie erforderlich; (3) liberale Cardioprotection empfohlen; (4) einheitliche, evidenzgestützte Managementprotokolle für kardiale Dysfunktion; (5) Korrelative Cardiac Aims sollten Protokolle mit kardiotoxischem Potenzial begleiten.</w:t>
      </w:r>
    </w:p>
    <w:p>
      <w:r>
        <w:rPr>
          <w:b/>
          <w:sz w:val="19"/>
        </w:rPr>
        <w:t xml:space="preserve">Übertragbarkeit: </w:t>
      </w:r>
      <w:r>
        <w:rPr>
          <w:sz w:val="19"/>
        </w:rPr>
        <w:t>USA-Kinderkrebszentren, Ansätze übertragbar auf deutsche Zentren für pädiatrische Relaps-Behandlung</w:t>
      </w:r>
    </w:p>
    <w:p>
      <w:r>
        <w:rPr>
          <w:color w:val="5A7D3A"/>
          <w:sz w:val="18"/>
        </w:rPr>
        <w:t>https://pubmed.ncbi.nlm.nih.gov/42895291/</w:t>
      </w:r>
    </w:p>
    <w:p>
      <w:pPr>
        <w:pStyle w:val="Heading2"/>
      </w:pPr>
      <w:r>
        <w:t>Proteom-Biomarker unterscheiden präklinisch Kolon- von Rektumkarzinom-Risiko</w:t>
      </w:r>
    </w:p>
    <w:p>
      <w:r>
        <w:rPr>
          <w:i/>
          <w:color w:val="666666"/>
          <w:sz w:val="18"/>
        </w:rPr>
        <w:t>Zhang X et al.  ·  J Natl Cancer Inst  ·  19.10.2026  ·  PMID 42895287</w:t>
      </w:r>
    </w:p>
    <w:p>
      <w:r>
        <w:t>Prospektive Kohortenstudie (3 Kohorten, 851 KRK-Fälle, Median 7 Jahre Follow-up) zu prädiagnostischen Plasma-Proteinen 1–7 Jahre vor Krebsdiagnose mittels Olink-Panel.</w:t>
      </w:r>
    </w:p>
    <w:p>
      <w:r>
        <w:rPr>
          <w:b/>
        </w:rPr>
        <w:t xml:space="preserve">Ergebnis: </w:t>
      </w:r>
      <w:r>
        <w:t>12 Proteine zeigten signifikante gepaarte Unterschiede zwischen KRK-Fällen und Kontrollen (FDR&lt;0,1) mit moderaten Effektgrößen. Protein-Profile unterschieden sich signifikant zwischen Kolon- und Rektumkarzinom (p=0,005). Für Kolonkarzinom: 11/12 Proteine niedriger, BCAN-Assoziation OR 0,83 (95%-KI 0,74–0,94) mit hoher Kohärenz (I²&lt;0,01). Für Rektumkarzinom: 25/28 Proteine höher, HDGF OR 1,75 (95%-KI 1,15–2,66; I²&lt;0,01).</w:t>
      </w:r>
    </w:p>
    <w:p>
      <w:r>
        <w:rPr>
          <w:b/>
          <w:sz w:val="19"/>
        </w:rPr>
        <w:t xml:space="preserve">Übertragbarkeit: </w:t>
      </w:r>
      <w:r>
        <w:rPr>
          <w:sz w:val="19"/>
        </w:rPr>
        <w:t>USA &amp; Australien, Proteom-Klassifizierung grundlagenorientiert, Validierung in EU-Kohorten pending</w:t>
      </w:r>
    </w:p>
    <w:p>
      <w:r>
        <w:rPr>
          <w:color w:val="5A7D3A"/>
          <w:sz w:val="18"/>
        </w:rPr>
        <w:t>https://pubmed.ncbi.nlm.nih.gov/42895287/</w:t>
      </w:r>
    </w:p>
    <w:p>
      <w:pPr>
        <w:pStyle w:val="Heading1"/>
      </w:pPr>
      <w:r>
        <w:t>Aufgenommen am 21.10.2026</w:t>
      </w:r>
    </w:p>
    <w:p>
      <w:pPr>
        <w:pStyle w:val="Heading2"/>
      </w:pPr>
      <w:r>
        <w:t>Genetische Varianten als Risikofaktoren für Trastuzumab-Deruxtecan-bedingte Lungentoxizität</w:t>
      </w:r>
    </w:p>
    <w:p>
      <w:r>
        <w:rPr>
          <w:i/>
          <w:color w:val="666666"/>
          <w:sz w:val="18"/>
        </w:rPr>
        <w:t>Arenas A et al.  ·  ESMO Open  ·  20.10.2026  ·  PMID 42901050</w:t>
      </w:r>
    </w:p>
    <w:p>
      <w:r>
        <w:t>Spanische multizentrische Studie untersuchte Keimbahnvarianten bei 290 Patienten mit HER2-positivem oder HER2-low metastasiertem Brustkrebs unter Trastuzumab-Deruxtecan mittels genomischer Analyse in Bezug auf interstitielle Lungenerkrankung (ILD).</w:t>
      </w:r>
    </w:p>
    <w:p>
      <w:r>
        <w:rPr>
          <w:b/>
        </w:rPr>
        <w:t xml:space="preserve">Ergebnis: </w:t>
      </w:r>
      <w:r>
        <w:t>Bei 11,4% trat ILD auf. Stärkste Assoziationen in der HLA-Region (rs9258213 near HLA-F: OR 6,8, 95%-KI 2,6–17,9, p=9,5×10⁻⁵). Zusätzliche Assoziationen in SLCO1B1 und CYP3A4-Genen. Kein definitiver pharmacogenomischer Prädiktor identifiziert, aber Mechanismus-Einblicke gewonnen.</w:t>
      </w:r>
    </w:p>
    <w:p>
      <w:r>
        <w:rPr>
          <w:b/>
          <w:sz w:val="19"/>
        </w:rPr>
        <w:t xml:space="preserve">Übertragbarkeit: </w:t>
      </w:r>
      <w:r>
        <w:rPr>
          <w:sz w:val="19"/>
        </w:rPr>
        <w:t>Spanisches Gesundheitssystem, vergleichbare Dokumentation; Befund ist sicherheitsrelevant übertragbar.</w:t>
      </w:r>
    </w:p>
    <w:p>
      <w:r>
        <w:rPr>
          <w:color w:val="5A7D3A"/>
          <w:sz w:val="18"/>
        </w:rPr>
        <w:t>https://pubmed.ncbi.nlm.nih.gov/42901050/</w:t>
      </w:r>
    </w:p>
    <w:p>
      <w:pPr>
        <w:pStyle w:val="Heading2"/>
      </w:pPr>
      <w:r>
        <w:t>Protontherapie vs. Photonentherapie bei Oropharynxkarzinom: Vorteil bei Akutnebenwirkungen, nicht bei Kontrolle</w:t>
      </w:r>
    </w:p>
    <w:p>
      <w:r>
        <w:rPr>
          <w:i/>
          <w:color w:val="666666"/>
          <w:sz w:val="18"/>
        </w:rPr>
        <w:t>You J et al.  ·  ESMO Open  ·  20.10.2026  ·  PMID 42901049</w:t>
      </w:r>
    </w:p>
    <w:p>
      <w:r>
        <w:t>Metaanalyse von zwei Phase-III-Studien und einer Matched-Cohort-Studie verglich Intensität-modulierte Protontherapie (IMPT) mit konventioneller IMRT bei Oropharynxkarzinom in Bezug auf Rezidiv-, Überlebens- und Toxizitätsraten.</w:t>
      </w:r>
    </w:p>
    <w:p>
      <w:r>
        <w:rPr>
          <w:b/>
        </w:rPr>
        <w:t xml:space="preserve">Ergebnis: </w:t>
      </w:r>
      <w:r>
        <w:t>Hazard Ratio für lokoregionales Rezidiv 1,37 (95%-KI 0,56–3,36); Progression-Free Survival HR 0,90 (0,61–1,33); Overall Survival HR 0,79 (0,32–1,98). Grad-3-Dysphagie trat bei 24% (IMPT) vs. 40,9% (IMRT) auf (RR 0,65, 95%-KI 0,51–0,84). Grad-3-Xerostomie/Trockenheit bei 19,9% vs. 32,5% (RR 0,72, 95%-KI 0,54–0,95). Ernährungsoutcomes ohne definitiven Vorteil.</w:t>
      </w:r>
    </w:p>
    <w:p>
      <w:r>
        <w:rPr>
          <w:b/>
          <w:sz w:val="19"/>
        </w:rPr>
        <w:t xml:space="preserve">Übertragbarkeit: </w:t>
      </w:r>
      <w:r>
        <w:rPr>
          <w:sz w:val="19"/>
        </w:rPr>
        <w:t>Internationale Daten, methodenvergleichend; Sicherheitsbefund ist systemunabhängig übertragbar.</w:t>
      </w:r>
    </w:p>
    <w:p>
      <w:r>
        <w:rPr>
          <w:color w:val="5A7D3A"/>
          <w:sz w:val="18"/>
        </w:rPr>
        <w:t>https://pubmed.ncbi.nlm.nih.gov/42901049/</w:t>
      </w:r>
    </w:p>
    <w:p>
      <w:pPr>
        <w:pStyle w:val="Heading2"/>
      </w:pPr>
      <w:r>
        <w:t>FLOT-Perioperative Therapie: internationales Expertenkonsens zu Patientenselektion und Toxizitätsmanagement</w:t>
      </w:r>
    </w:p>
    <w:p>
      <w:r>
        <w:rPr>
          <w:i/>
          <w:color w:val="666666"/>
          <w:sz w:val="18"/>
        </w:rPr>
        <w:t>Saeed A et al.  ·  JCO Oncol Pract  ·  20.10.2026  ·  PMID 42900867</w:t>
      </w:r>
    </w:p>
    <w:p>
      <w:r>
        <w:t>Multidisziplinäres internationales Expertenpanel erarbeitete mittels modifizierter Delphi-Methode Konsensaussagen zur Selektion, Optimierung und Behandlung von Nebenwirkungen bei perioperativer FLOT-Chemotherapie bei resektablem Magen- und Ösophaguskarzinom.</w:t>
      </w:r>
    </w:p>
    <w:p>
      <w:r>
        <w:rPr>
          <w:b/>
        </w:rPr>
        <w:t xml:space="preserve">Ergebnis: </w:t>
      </w:r>
      <w:r>
        <w:t>Konsens wurde zu 66,3% der Statements erreicht. Experten einigten sich: Patienten &gt;70 Jahre sollten nicht routinemäßig ausgeschlossen werden; ECOG-PS 0–1 ist angemessen, PS 0–2 kann einzelfallweise erwogen werden. Universelles Screening auf Mangelernährung, strukturierte physische Aktivität und Dosismodifikation statt Weglassen von Wirkstoffen wurden unterstützt. 94–100% Konsens bei klinischer Anwendung.</w:t>
      </w:r>
    </w:p>
    <w:p>
      <w:r>
        <w:rPr>
          <w:b/>
          <w:sz w:val="19"/>
        </w:rPr>
        <w:t xml:space="preserve">Übertragbarkeit: </w:t>
      </w:r>
      <w:r>
        <w:rPr>
          <w:sz w:val="19"/>
        </w:rPr>
        <w:t>Deutschsprachiger Raum mitrepräsentiert; vergleichbare Versorgungsstrukturen und Leitlinien.</w:t>
      </w:r>
    </w:p>
    <w:p>
      <w:r>
        <w:rPr>
          <w:color w:val="5A7D3A"/>
          <w:sz w:val="18"/>
        </w:rPr>
        <w:t>https://pubmed.ncbi.nlm.nih.gov/42900867/</w:t>
      </w:r>
    </w:p>
    <w:p>
      <w:pPr>
        <w:pStyle w:val="Heading2"/>
      </w:pPr>
      <w:r>
        <w:t>Versicherungsschutz reduziert Kolorektalkrebs-Mortalität um 31 Prozent – Modellstudie</w:t>
      </w:r>
    </w:p>
    <w:p>
      <w:r>
        <w:rPr>
          <w:i/>
          <w:color w:val="666666"/>
          <w:sz w:val="18"/>
        </w:rPr>
        <w:t>van den Puttelaar R et al.  ·  J Natl Cancer Inst  ·  20.10.2026  ·  PMID 42899410</w:t>
      </w:r>
    </w:p>
    <w:p>
      <w:r>
        <w:t>US-Modellierungsstudie (MISCAN-Colon) quantifizierte die Auswirkungen von Versicherungszugang auf Kolorektalkrebs-Screening, Staging und Überlebensraten in der vormals unversicherten US-Population 2025–2055.</w:t>
      </w:r>
    </w:p>
    <w:p>
      <w:r>
        <w:rPr>
          <w:b/>
        </w:rPr>
        <w:t xml:space="preserve">Ergebnis: </w:t>
      </w:r>
      <w:r>
        <w:t>Bei Gewinnung von Versicherungsschutz wären 2055 pro 100.000 Einwohner 22 von 73 Todesfällen (30,7%) vermeidbar. Inzidenz sank um 8,9% (15 Fälle). Behandlungskosten sanken um 4,8% (−1,37 Mio. USD pro 100.000), Screening-Kosten stiegen um 41,7% (+2,66 Mio.). Netto-Kostensteigerung 3,7%.</w:t>
      </w:r>
    </w:p>
    <w:p>
      <w:r>
        <w:rPr>
          <w:b/>
          <w:sz w:val="19"/>
        </w:rPr>
        <w:t xml:space="preserve">Übertragbarkeit: </w:t>
      </w:r>
      <w:r>
        <w:rPr>
          <w:sz w:val="19"/>
        </w:rPr>
        <w:t>USA mit grundlegend anderem System; Kausalaussage zu Zugang und Outcome ist universell, Kostengefüge nicht übertragbar.</w:t>
      </w:r>
    </w:p>
    <w:p>
      <w:r>
        <w:rPr>
          <w:color w:val="5A7D3A"/>
          <w:sz w:val="18"/>
        </w:rPr>
        <w:t>https://pubmed.ncbi.nlm.nih.gov/42899410/</w:t>
      </w:r>
    </w:p>
    <w:p>
      <w:pPr>
        <w:pStyle w:val="Heading2"/>
      </w:pPr>
      <w:r>
        <w:t>Finnische Real-World-Daten: NATALEE/monarchE-Patienten mit HR+/HER2− Brustkrebs haben 5-Jahres-iDFS von 76,8–82,5 Prozent</w:t>
      </w:r>
    </w:p>
    <w:p>
      <w:r>
        <w:rPr>
          <w:i/>
          <w:color w:val="666666"/>
          <w:sz w:val="18"/>
        </w:rPr>
        <w:t>Voutilainen S et al.  ·  Oncologist  ·  20.10.2026  ·  PMID 42899399</w:t>
      </w:r>
    </w:p>
    <w:p>
      <w:r>
        <w:t>Finnische bevölkerungsbasierte retrospektive Kohortenstudie von 8.911 Patienten mit HR+/HER2-negativem Frühbrust krebs 2014–2023, stratifiziert nach NATALEE (40,4%) und monarchE-Eligibilität (15,0%), mit Nachverfolgung von 5,2 Jahren.</w:t>
      </w:r>
    </w:p>
    <w:p>
      <w:r>
        <w:rPr>
          <w:b/>
        </w:rPr>
        <w:t xml:space="preserve">Ergebnis: </w:t>
      </w:r>
      <w:r>
        <w:t>NATALEE-eligible: 5-Jahres-iDFS 82,5% vs. 89,6% (nicht-eligible), DDFS 88,3% vs. 94,5%, OS 90,9% vs. 95,6%. monarchE-eligible: iDFS 76,8% vs. 88,4%, DDFS 82,3% vs. 93,8%, OS 86,8% vs. 94,9%. Metastasenprogression 3- bis 6-fach häufiger in eligible-Gruppen. Leitlinien-Eligibilitätskriterien zeigten verlässlich schlechtere Prognose.</w:t>
      </w:r>
    </w:p>
    <w:p>
      <w:r>
        <w:rPr>
          <w:b/>
          <w:sz w:val="19"/>
        </w:rPr>
        <w:t xml:space="preserve">Übertragbarkeit: </w:t>
      </w:r>
      <w:r>
        <w:rPr>
          <w:sz w:val="19"/>
        </w:rPr>
        <w:t>Finnland mit vergleichbarem Versicherungssystem; Real-World-Evidenz validiert Trialdaten.</w:t>
      </w:r>
    </w:p>
    <w:p>
      <w:r>
        <w:rPr>
          <w:color w:val="5A7D3A"/>
          <w:sz w:val="18"/>
        </w:rPr>
        <w:t>https://pubmed.ncbi.nlm.nih.gov/42899399/</w:t>
      </w:r>
    </w:p>
    <w:p>
      <w:pPr>
        <w:pStyle w:val="Heading2"/>
      </w:pPr>
      <w:r>
        <w:t>Pankreaskrebspatienten: Expertenkonsens zu Enzymersatztherapie verbessert Therapietoleranzhaltung</w:t>
      </w:r>
    </w:p>
    <w:p>
      <w:r>
        <w:rPr>
          <w:i/>
          <w:color w:val="666666"/>
          <w:sz w:val="18"/>
        </w:rPr>
        <w:t>Gallagher D et al.  ·  Oncologist  ·  20.10.2026  ·  PMID 42899395</w:t>
      </w:r>
    </w:p>
    <w:p>
      <w:r>
        <w:t>Multidisziplinäre US-Delphi-Konsensus-Studie mit 17 Experten (Onkologen, Ernährungsfachkräfte) zur Standardisierung von Dosierung, Patientenschulung und Langzeitmanagement der Pankreasenzymersatztherapie (PERT) bei exokriner Pankreasinsuffizienz (EPI) in Pankreaskrebs.</w:t>
      </w:r>
    </w:p>
    <w:p>
      <w:r>
        <w:rPr>
          <w:b/>
        </w:rPr>
        <w:t xml:space="preserve">Ergebnis: </w:t>
      </w:r>
      <w:r>
        <w:t>15 finale Konsensaussagen mit ≥81% Übereinstimmung erreicht; 6 Aussagen zu klinischer Anwendung mit 94–100% Konsens. Empfohlene Startdosen: 48.000–72.000 Lipase-Units pro Mahlzeit. Standardisierte Titraturprotokolle, mehrstufige Patientenschulung und Strategien zur Reduktion finanzieller und Pillen-Belastung definiert.</w:t>
      </w:r>
    </w:p>
    <w:p>
      <w:r>
        <w:rPr>
          <w:b/>
          <w:sz w:val="19"/>
        </w:rPr>
        <w:t xml:space="preserve">Übertragbarkeit: </w:t>
      </w:r>
      <w:r>
        <w:rPr>
          <w:sz w:val="19"/>
        </w:rPr>
        <w:t>USA; Verfahren ist unabhängig vom Gesundheitssystem, Konsenssicherung methodisch übertragbar.</w:t>
      </w:r>
    </w:p>
    <w:p>
      <w:r>
        <w:rPr>
          <w:color w:val="5A7D3A"/>
          <w:sz w:val="18"/>
        </w:rPr>
        <w:t>https://pubmed.ncbi.nlm.nih.gov/42899395/</w:t>
      </w:r>
    </w:p>
    <w:p>
      <w:pPr>
        <w:pStyle w:val="Heading2"/>
      </w:pPr>
      <w:r>
        <w:t>Multiomik-Klassifizierung vorhersagt MRD-Negativität bei Myelom-Induktion mit Isatuximab-Karpfilzomib-Lenalidomid (Isa-KRd) mit AUC 0,77</w:t>
      </w:r>
    </w:p>
    <w:p>
      <w:r>
        <w:rPr>
          <w:i/>
          <w:color w:val="666666"/>
          <w:sz w:val="18"/>
        </w:rPr>
        <w:t>Magrangeas F et al.  ·  Nat Med  ·  19.10.2026  ·  PMID 42897348</w:t>
      </w:r>
    </w:p>
    <w:p>
      <w:r>
        <w:t>Französisch-amerikanische Studie integrierte Genom-, Transkriptom- und Epigenomprofiling von 423 Neudiagnose-Myelom-Proben zur Vorhersage von Minimal Residual Disease (MRD) nach Quadruplet-Induktion mit Isa-KRd.</w:t>
      </w:r>
    </w:p>
    <w:p>
      <w:r>
        <w:rPr>
          <w:b/>
        </w:rPr>
        <w:t xml:space="preserve">Ergebnis: </w:t>
      </w:r>
      <w:r>
        <w:t>HP1/HP3 und MS Genexpressions-Subtypen zeigten höhere MRD-Negativitätsraten als MF und CD2. B-Zell-Differenzierung assoziiert mit MRD-Positivität; Proliferation und MYC-Programme mit MRD-Negativität. Multimodales Random-Forest-Modell mit genomischen, transkriptomischen und epigenomischen Merkmalen erreichte AUC 0,77, übertraf klinische und genomische Einzelmodelle. Driver-Gene CCND1 und MYC korreliert mit differenziellem MRD-Outcome.</w:t>
      </w:r>
    </w:p>
    <w:p>
      <w:r>
        <w:rPr>
          <w:b/>
          <w:sz w:val="19"/>
        </w:rPr>
        <w:t xml:space="preserve">Übertragbarkeit: </w:t>
      </w:r>
      <w:r>
        <w:rPr>
          <w:sz w:val="19"/>
        </w:rPr>
        <w:t>Europäisch-amerikanische Kooperation, französisches Registernetzwerk; Klassifizierungssystem methodisch übertragbar.</w:t>
      </w:r>
    </w:p>
    <w:p>
      <w:r>
        <w:rPr>
          <w:color w:val="5A7D3A"/>
          <w:sz w:val="18"/>
        </w:rPr>
        <w:t>https://pubmed.ncbi.nlm.nih.gov/42897348/</w:t>
      </w:r>
    </w:p>
    <w:p>
      <w:pPr>
        <w:pStyle w:val="Heading1"/>
      </w:pPr>
      <w:r>
        <w:t>Aufgenommen am 20.10.2026</w:t>
      </w:r>
    </w:p>
    <w:p>
      <w:pPr>
        <w:pStyle w:val="Heading2"/>
      </w:pPr>
      <w:r>
        <w:t>Hypofraktionierte Strahlentherapie nach Mastektomie zeigt Nichtunterlegenheit bei reduzierter akuter Toxizität</w:t>
      </w:r>
    </w:p>
    <w:p>
      <w:r>
        <w:rPr>
          <w:i/>
          <w:color w:val="666666"/>
          <w:sz w:val="18"/>
        </w:rPr>
        <w:t>Wang X et al.  ·  J Clin Oncol  ·  19.10.2026  ·  PMID 42896129</w:t>
      </w:r>
    </w:p>
    <w:p>
      <w:r>
        <w:t>Randomisierte Phase-III-Studie: Bei 1.429 Patientinnen mit Hochrisiko-Brustkrebs nach Mastektomie wurde hypofraktionierte (16×2,66 Gy) vs. konventionell fraktionierte (25×2 Gy) Radiotherapie mit regionaler Lymphknotenbestrahlung verglichen.</w:t>
      </w:r>
    </w:p>
    <w:p>
      <w:r>
        <w:rPr>
          <w:b/>
        </w:rPr>
        <w:t xml:space="preserve">Ergebnis: </w:t>
      </w:r>
      <w:r>
        <w:t>Nach Median-Nachbeobachtung von 58,1 Monaten: 5-Jahres-Lokalrezidivrate 1,7% (hypofraktioniert) vs. 2,2% (konventionell), Hazard Ratio 0,69 (95%-KI 0,32–1,51), Nichtunterlegenheit erfüllt (p=0,017). Akute Grad-3-Hautnebenwirkungen deutlich niedriger mit Hypofraktionierung (1,7% vs. 12,2%, p&lt;0,001). Kardiopulmonale Verträglichkeit exzellent in beiden Armen.</w:t>
      </w:r>
    </w:p>
    <w:p>
      <w:r>
        <w:rPr>
          <w:b/>
          <w:sz w:val="19"/>
        </w:rPr>
        <w:t xml:space="preserve">Übertragbarkeit: </w:t>
      </w:r>
      <w:r>
        <w:rPr>
          <w:sz w:val="19"/>
        </w:rPr>
        <w:t>Phase-III-Daten aus China, vergleichbare Hochrisikodef, Effekt auf Standardpraxis</w:t>
      </w:r>
    </w:p>
    <w:p>
      <w:r>
        <w:rPr>
          <w:color w:val="5A7D3A"/>
          <w:sz w:val="18"/>
        </w:rPr>
        <w:t>https://pubmed.ncbi.nlm.nih.gov/42896129/</w:t>
      </w:r>
    </w:p>
    <w:p>
      <w:pPr>
        <w:pStyle w:val="Heading2"/>
      </w:pPr>
      <w:r>
        <w:t>Lynch-Syndrom: MSH2-Träger profitieren von Koloskopie-Screening, MLH1-Träger zeigen alternative Karzinogenese</w:t>
      </w:r>
    </w:p>
    <w:p>
      <w:r>
        <w:rPr>
          <w:i/>
          <w:color w:val="666666"/>
          <w:sz w:val="18"/>
        </w:rPr>
        <w:t>Briollais L et al.  ·  J Natl Cancer Inst  ·  19.10.2026  ·  PMID 42895288</w:t>
      </w:r>
    </w:p>
    <w:p>
      <w:r>
        <w:t>Prospektive Kohortenstudie an kanadischen Lynch-Syndrom-Patienten mit Familienregister: Joint-Model für Koloskopie-Häufigkeit, Adenomzahl und Kolonkrebsrisiko bei MLH1- vs. MSH2-Mutation-Trägern entwickelt und validiert.</w:t>
      </w:r>
    </w:p>
    <w:p>
      <w:r>
        <w:rPr>
          <w:b/>
        </w:rPr>
        <w:t xml:space="preserve">Ergebnis: </w:t>
      </w:r>
      <w:r>
        <w:t>Nach 10 Jahren Follow-up bei Patienten mit Adenomen: Kolonkrebsrisiko in MLH1-Trägern 7,9% (95%-KI 3,9–15,8%, Männer) vs. 4,0% (95%-KI 1,6–9,6%, MSH2). Bei Frauen 4,2% (MLH1) vs. 1,6% (MSH2). Frequentere Koloskopien reduzierten Risiko nur bei MSH2-Mutation, nicht bei MLH1. Befund deutet auf unterschiedliche Karzinogenese-Pfade.</w:t>
      </w:r>
    </w:p>
    <w:p>
      <w:r>
        <w:rPr>
          <w:b/>
          <w:sz w:val="19"/>
        </w:rPr>
        <w:t xml:space="preserve">Übertragbarkeit: </w:t>
      </w:r>
      <w:r>
        <w:rPr>
          <w:sz w:val="19"/>
        </w:rPr>
        <w:t>Kanada, Familienregister, Implikation für Nachsorgestratifizierung</w:t>
      </w:r>
    </w:p>
    <w:p>
      <w:r>
        <w:rPr>
          <w:color w:val="5A7D3A"/>
          <w:sz w:val="18"/>
        </w:rPr>
        <w:t>https://pubmed.ncbi.nlm.nih.gov/42895288/</w:t>
      </w:r>
    </w:p>
    <w:p>
      <w:pPr>
        <w:pStyle w:val="Heading2"/>
      </w:pPr>
      <w:r>
        <w:t>Adjuvante Radiotherapie beim Plattenepithelkarzinom der Haut: Delphi-Konsens zu Indikationen, Dosis und Timing</w:t>
      </w:r>
    </w:p>
    <w:p>
      <w:r>
        <w:rPr>
          <w:i/>
          <w:color w:val="666666"/>
          <w:sz w:val="18"/>
        </w:rPr>
        <w:t>Stevens JS et al.  ·  Int J Radiat Oncol Biol Phys  ·  16.10.2026  ·  PMID 42887677</w:t>
      </w:r>
    </w:p>
    <w:p>
      <w:r>
        <w:t>Delphi-Panel mit 35 Experten aus Strahlentherapie, Dermatologie, Chirurgie entwickelte Konsensusempfehlungen für adjuvante Radiotherapie bei nodal-negativem High-Stage-Kutanmelanom nach Operation.</w:t>
      </w:r>
    </w:p>
    <w:p>
      <w:r>
        <w:rPr>
          <w:b/>
        </w:rPr>
        <w:t xml:space="preserve">Ergebnis: </w:t>
      </w:r>
      <w:r>
        <w:t>Konsens (≥80% Konkordanz): ART empfohlen bei positiven Rändern (100%), 5-Jahres-Lokalrezidiv-Inzidenz ≥20% (83%), kortikale Knochenerosion (91%), Schädelbasis-Invasion (91%), ≥4 Risikofaktoren (100%), ≥3 RF (86–94%), PNI ≥0,1mm + ein RF (86%). Immunsupprimierte Patienten: 86% würden ART eher empfehlen. Optimales Zeitfenster 4–8 Wochen (100% RO). Dosen 60–66 Gy/2 Gy pro Fraktion (100%) oder 50–55 Gy/2,5 Gy (87%) bevorzugt.</w:t>
      </w:r>
    </w:p>
    <w:p>
      <w:r>
        <w:rPr>
          <w:b/>
          <w:sz w:val="19"/>
        </w:rPr>
        <w:t xml:space="preserve">Übertragbarkeit: </w:t>
      </w:r>
      <w:r>
        <w:rPr>
          <w:sz w:val="19"/>
        </w:rPr>
        <w:t>USA-basiert, aber standardisiert Behandlungsrahmen, vergleichbar mit deutschen Zentren</w:t>
      </w:r>
    </w:p>
    <w:p>
      <w:r>
        <w:rPr>
          <w:color w:val="5A7D3A"/>
          <w:sz w:val="18"/>
        </w:rPr>
        <w:t>https://pubmed.ncbi.nlm.nih.gov/42887677/</w:t>
      </w:r>
    </w:p>
    <w:p>
      <w:pPr>
        <w:pStyle w:val="Heading2"/>
      </w:pPr>
      <w:r>
        <w:t>Kosteneffektivitäts-Analysen von Krebsarzneien: Nur 2,7% sind reproduzierbar, 16,7% vollständig dokumentiert</w:t>
      </w:r>
    </w:p>
    <w:p>
      <w:r>
        <w:rPr>
          <w:i/>
          <w:color w:val="666666"/>
          <w:sz w:val="18"/>
        </w:rPr>
        <w:t>Johansson N et al.  ·  JCO Oncol Pract  ·  16.10.2026  ·  PMID 42886869</w:t>
      </w:r>
    </w:p>
    <w:p>
      <w:r>
        <w:t>Systematische Bewertung von 150 zufällig ausgewählten, modellgestützten Kosteneffektivitäts-Analysen (CEA) von Krebsmedikamenten aus der Literatur zu Reproduzierbarkeit: Zugang zu Modellcode (Computational Reproducibility) und Transparenz der Berichterstattung über Modellstruktur, Übergänge, Kosten, Gesundheitsergebnisse (Recreate Reproducibility).</w:t>
      </w:r>
    </w:p>
    <w:p>
      <w:r>
        <w:rPr>
          <w:b/>
        </w:rPr>
        <w:t xml:space="preserve">Ergebnis: </w:t>
      </w:r>
      <w:r>
        <w:t>2,7% (95%-KI 1,0–6,7) waren Computational Reproducible (Modellcode zugänglich); 16,7% (95%-KI 11,6–23,4) waren Recreate Reproducible. 85% berichteten Modellstruktur vollständig, aber nur 39% alle Kosteneingaben. Keine Assoziation zwischen Reproduzierbarkeit und Förderquelle, Land oder Journal Impact Factor. Schlussfolgerung: Standardisierte Berichterstattung und Open-Modeling-Praktiken notwendig.</w:t>
      </w:r>
    </w:p>
    <w:p>
      <w:r>
        <w:rPr>
          <w:b/>
          <w:sz w:val="19"/>
        </w:rPr>
        <w:t xml:space="preserve">Übertragbarkeit: </w:t>
      </w:r>
      <w:r>
        <w:rPr>
          <w:sz w:val="19"/>
        </w:rPr>
        <w:t>Schweden, europäische Qualitätsfrage, AMNOG-Transparenzanforderungen relevant</w:t>
      </w:r>
    </w:p>
    <w:p>
      <w:r>
        <w:rPr>
          <w:color w:val="5A7D3A"/>
          <w:sz w:val="18"/>
        </w:rPr>
        <w:t>https://pubmed.ncbi.nlm.nih.gov/42886869/</w:t>
      </w:r>
    </w:p>
    <w:p>
      <w:pPr>
        <w:pStyle w:val="Heading2"/>
      </w:pPr>
      <w:r>
        <w:t>Oligometastase-Therapiestudien: Progression-Free Survival nur moderat korreliert mit Gesamtüberleben</w:t>
      </w:r>
    </w:p>
    <w:p>
      <w:r>
        <w:rPr>
          <w:i/>
          <w:color w:val="666666"/>
          <w:sz w:val="18"/>
        </w:rPr>
        <w:t>Chen D et al.  ·  Oncologist  ·  16.10.2026  ·  PMID 42885579</w:t>
      </w:r>
    </w:p>
    <w:p>
      <w:r>
        <w:t>Systematische Übersichtsarbeit über 235 prospektive Studien (29 randomisiert) zur metastasierungsgerichteten Therapie; Metaanalyse der Surrogacy zwischen Progression-Free Survival (PFS) und Overall Survival (OS) in randomisierten Trials.</w:t>
      </w:r>
    </w:p>
    <w:p>
      <w:r>
        <w:rPr>
          <w:b/>
        </w:rPr>
        <w:t xml:space="preserve">Ergebnis: </w:t>
      </w:r>
      <w:r>
        <w:t>Bei 18 randomisierten Trials mit beiden Endpunkten: Korrelation zwischen PFS-HR und OS-HR moderat (r=0,80, 95%-KI 0,64–0,91). Surrogat-Schwellwert-HR 0,79 (95%-KI 0,71–0,87). Die meisten Phase-II-Trials nutzten PFS als Primärendpunkt (67%, n=20), nur 13% (n=4) OS. Empfehlung: Phase-II-Trials sollten PFS mit Lebensqualität oder therapiefreie Überlebenszeit kombinieren; Phase-III-Trials OS oder validierte Surrogate nutzen.</w:t>
      </w:r>
    </w:p>
    <w:p>
      <w:r>
        <w:rPr>
          <w:b/>
          <w:sz w:val="19"/>
        </w:rPr>
        <w:t xml:space="preserve">Übertragbarkeit: </w:t>
      </w:r>
      <w:r>
        <w:rPr>
          <w:sz w:val="19"/>
        </w:rPr>
        <w:t>Kanada, internationale Trials, Leitlinienrelevanz für Endpunkt-Wahl</w:t>
      </w:r>
    </w:p>
    <w:p>
      <w:r>
        <w:rPr>
          <w:color w:val="5A7D3A"/>
          <w:sz w:val="18"/>
        </w:rPr>
        <w:t>https://pubmed.ncbi.nlm.nih.gov/42885579/</w:t>
      </w:r>
    </w:p>
    <w:p>
      <w:pPr>
        <w:pStyle w:val="Heading2"/>
      </w:pPr>
      <w:r>
        <w:t>Neoadjuvante SABR vor Nephrektomie bei Nierenzellkarzinom mit IVC-Thrombus: 1-Jahres-Rezidivfreiheit 71,4%</w:t>
      </w:r>
    </w:p>
    <w:p>
      <w:r>
        <w:rPr>
          <w:i/>
          <w:color w:val="666666"/>
          <w:sz w:val="18"/>
        </w:rPr>
        <w:t>Hannan R et al.  ·  JAMA Oncol  ·  15.10.2026  ·  PMID 42879162</w:t>
      </w:r>
    </w:p>
    <w:p>
      <w:r>
        <w:t>Prospektive Phase-II-Studie: 23 Patienten mit Nierenzellkarzinom und inferiorem Hohlvenenthrombus (Mayo II–IV) erhielten neoadjuvante SABR (40 Gy/5 fx oder 36 Gy/3 fx) vor radikaler Nephrektomie und Thrombektomie; primärer Endpunkt 1-Jahres-Rezidivfreiüberleben vs. historisches Surgery-Benchmark 55,7%.</w:t>
      </w:r>
    </w:p>
    <w:p>
      <w:r>
        <w:rPr>
          <w:b/>
        </w:rPr>
        <w:t xml:space="preserve">Ergebnis: </w:t>
      </w:r>
      <w:r>
        <w:t>21 Patienten in Analyse eingeschlossen (57% männlich, Median-Alter 62,5 Jahre). 1-Jahres-Rezidivfreiüberleben 71,4% (80%-KI 56,6–82,0; 95%-KI 47,2–86,0), Nichtunterlegenheit-Kriterium erfüllt (p=0,09 vs. 55,7%). 1-Jahres-Gesamtüberleben 95,2%, keine Perioperalitäts-Mortalität. Ki-67-Expression reduziert nach SABR. Tumor-informierte ctDNA bei allen Patienten detektiert und nach Therapie gesunken.</w:t>
      </w:r>
    </w:p>
    <w:p>
      <w:r>
        <w:rPr>
          <w:b/>
          <w:sz w:val="19"/>
        </w:rPr>
        <w:t xml:space="preserve">Übertragbarkeit: </w:t>
      </w:r>
      <w:r>
        <w:rPr>
          <w:sz w:val="19"/>
        </w:rPr>
        <w:t>USA, aber sichere Machbarkeit, ctDNA-Monitoring innovativ</w:t>
      </w:r>
    </w:p>
    <w:p>
      <w:r>
        <w:rPr>
          <w:color w:val="5A7D3A"/>
          <w:sz w:val="18"/>
        </w:rPr>
        <w:t>https://pubmed.ncbi.nlm.nih.gov/42879162/</w:t>
      </w:r>
    </w:p>
    <w:p>
      <w:pPr>
        <w:pStyle w:val="Heading1"/>
      </w:pPr>
      <w:r>
        <w:t>Aufgenommen am 19.10.2026</w:t>
      </w:r>
    </w:p>
    <w:p>
      <w:pPr>
        <w:pStyle w:val="Heading2"/>
      </w:pPr>
      <w:r>
        <w:t>59,6 % der gebrechlichen Brustkrebsüberlebenden erhalten keine ambulante Pflege</w:t>
      </w:r>
    </w:p>
    <w:p>
      <w:r>
        <w:rPr>
          <w:i/>
          <w:color w:val="666666"/>
          <w:sz w:val="18"/>
        </w:rPr>
        <w:t>Qin X et al.  ·  J Natl Cancer Inst  ·  19.10.2026  ·  PMID 42893805</w:t>
      </w:r>
    </w:p>
    <w:p>
      <w:r>
        <w:t>Analyse von Medicare-Daten 2017-2020 zu Gebrechlichkeit und ambulanter Pflegeversorgung bei älteren Brustkrebsüberlebenden (134.410 Frauen, 347.953 Patientenjahre) mittels Claims-basiertem Deficit-Accumulation Frailty Index.</w:t>
      </w:r>
    </w:p>
    <w:p>
      <w:r>
        <w:rPr>
          <w:b/>
        </w:rPr>
        <w:t xml:space="preserve">Ergebnis: </w:t>
      </w:r>
      <w:r>
        <w:t>Bei hohem Pflegebedarf (DAFI≥0,25) hatten 59,6 % keine Medicare-Heimbetreuung; HH-Nutzung stieg mit Gebrechlichkeit (+1,10 Prozentpunkte pro +0,01 DAFI), am steilsten bei Nichtdual-Versicherten (+1,21 pp). Medicare-Leistungen erfassen frailty-assoziierte Pflegebedarfe nicht ausreichend.</w:t>
      </w:r>
    </w:p>
    <w:p>
      <w:r>
        <w:rPr>
          <w:b/>
          <w:sz w:val="19"/>
        </w:rPr>
        <w:t xml:space="preserve">Übertragbarkeit: </w:t>
      </w:r>
      <w:r>
        <w:rPr>
          <w:sz w:val="19"/>
        </w:rPr>
        <w:t>USA-Daten, Finanzierungssystem grundlegend anders; Befund zur Unterversorgung übertragbar.</w:t>
      </w:r>
    </w:p>
    <w:p>
      <w:r>
        <w:rPr>
          <w:color w:val="5A7D3A"/>
          <w:sz w:val="18"/>
        </w:rPr>
        <w:t>https://pubmed.ncbi.nlm.nih.gov/42893805/</w:t>
      </w:r>
    </w:p>
    <w:p>
      <w:pPr>
        <w:pStyle w:val="Heading2"/>
      </w:pPr>
      <w:r>
        <w:t>Tamoxifen plus kalorische Restriktion: SHBG-Spiegel und Brustkrebsrisiko-Biomarker verbessert</w:t>
      </w:r>
    </w:p>
    <w:p>
      <w:r>
        <w:rPr>
          <w:i/>
          <w:color w:val="666666"/>
          <w:sz w:val="18"/>
        </w:rPr>
        <w:t>Serrano D et al.  ·  Eur J Cancer  ·  14.10.2026  ·  PMID 42892237</w:t>
      </w:r>
    </w:p>
    <w:p>
      <w:r>
        <w:t>Randomisierte Phase-II-Studie zu Kombinationen aus Tamoxifen, lebensstiländerung und intermittierender kalorischer Restriktion bei hochgradig gefährdeten Frauen, mit SHBG-Spiegeln als primärem Endpunkt.</w:t>
      </w:r>
    </w:p>
    <w:p>
      <w:r>
        <w:rPr>
          <w:b/>
        </w:rPr>
        <w:t xml:space="preserve">Ergebnis: </w:t>
      </w:r>
      <w:r>
        <w:t>Tamoxifen ± kalorische Restriktion erhöhte signifikant SHBG und IGFBP-3 und senkte IGF-I (alle p&lt;0,01); bei hoher Adhärenz (&gt;90%) zeigte Lebensstiländerung plus kalorische Restriktion höhere SHBG als Lebensstiländerung allein (p=0,045). Kein Unterschied bei unerwünschten Ereignissen; milde Verschlechterung der Lebensqualität unter Tamoxifen.</w:t>
      </w:r>
    </w:p>
    <w:p>
      <w:r>
        <w:rPr>
          <w:b/>
          <w:sz w:val="19"/>
        </w:rPr>
        <w:t xml:space="preserve">Übertragbarkeit: </w:t>
      </w:r>
      <w:r>
        <w:rPr>
          <w:sz w:val="19"/>
        </w:rPr>
        <w:t>Italienische Zentren, deutschsprachiger Raum vergleichbar, Prävention bei genetischem Risiko.</w:t>
      </w:r>
    </w:p>
    <w:p>
      <w:r>
        <w:rPr>
          <w:color w:val="5A7D3A"/>
          <w:sz w:val="18"/>
        </w:rPr>
        <w:t>https://pubmed.ncbi.nlm.nih.gov/42892237/</w:t>
      </w:r>
    </w:p>
    <w:p>
      <w:pPr>
        <w:pStyle w:val="Heading2"/>
      </w:pPr>
      <w:r>
        <w:t>Darolutamide-Triplet-Therapie: 6,3 Monate längere symptomfreie Zeit bei metastasiertem Prostatakarzinom</w:t>
      </w:r>
    </w:p>
    <w:p>
      <w:r>
        <w:rPr>
          <w:i/>
          <w:color w:val="666666"/>
          <w:sz w:val="18"/>
        </w:rPr>
        <w:t>Maiorano BA et al.  ·  Eur J Cancer  ·  02.10.2026  ·  PMID 42892235</w:t>
      </w:r>
    </w:p>
    <w:p>
      <w:r>
        <w:t>Q-TWiST-Analyse der ARASENS-Studie zur Bewertung der Lebensqualität unter Darolutamid plus ADT plus Docetaxel versus Placebo plus ADT plus Docetaxel bei metastasiertem hormonempfindlichem Prostatakarzinom.</w:t>
      </w:r>
    </w:p>
    <w:p>
      <w:r>
        <w:rPr>
          <w:b/>
        </w:rPr>
        <w:t xml:space="preserve">Ergebnis: </w:t>
      </w:r>
      <w:r>
        <w:t>Patienten mit Darolutamid gewannen 6,3 Monate Q-TWiST gegenüber Placebo (p&lt;0,001), mit erhöhter symptomfreier Zeit (17,6 vs. 10,9 Monate) und reduzierter Progressionszeit (2,4 vs. 8,7 Monate); relative Q-TWiST-Gewinn 16,0%. Die Kombination zeigte längeres Überleben ohne Symptome oder Toxizität.</w:t>
      </w:r>
    </w:p>
    <w:p>
      <w:r>
        <w:rPr>
          <w:b/>
          <w:sz w:val="19"/>
        </w:rPr>
        <w:t xml:space="preserve">Übertragbarkeit: </w:t>
      </w:r>
      <w:r>
        <w:rPr>
          <w:sz w:val="19"/>
        </w:rPr>
        <w:t>Europäische und kanadische Zentren, vergleichbare Versicherungssysteme, praxisrelevanter Endpunkt.</w:t>
      </w:r>
    </w:p>
    <w:p>
      <w:r>
        <w:rPr>
          <w:color w:val="5A7D3A"/>
          <w:sz w:val="18"/>
        </w:rPr>
        <w:t>https://pubmed.ncbi.nlm.nih.gov/42892235/</w:t>
      </w:r>
    </w:p>
    <w:p>
      <w:pPr>
        <w:pStyle w:val="Heading2"/>
      </w:pPr>
      <w:r>
        <w:t>RAS-Mutationen bei AML: kontextabhängiger Prognosewert und Angriffspunkte für Therapie</w:t>
      </w:r>
    </w:p>
    <w:p>
      <w:r>
        <w:rPr>
          <w:i/>
          <w:color w:val="666666"/>
          <w:sz w:val="18"/>
        </w:rPr>
        <w:t>Rodríguez-Arbolí E et al.  ·  Blood  ·  16.10.2026  ·  PMID 42886676</w:t>
      </w:r>
    </w:p>
    <w:p>
      <w:r>
        <w:t>Zentralisierte molekulare Profilierung von 8.553 neu diagnostizierten AML-Patienten zur Charakterisierung von RAS-Mutationen, deren genomischer Kontext und klinischer Prognosewert.</w:t>
      </w:r>
    </w:p>
    <w:p>
      <w:r>
        <w:rPr>
          <w:b/>
        </w:rPr>
        <w:t xml:space="preserve">Ergebnis: </w:t>
      </w:r>
      <w:r>
        <w:t>RAS-Mutationen in 21 % (1.775/8.553), davon NRAS 13 %, KRAS 5 %; NRAS-Mutationen zeigten gegensätzliche OS-Assoziationen (ungünstig bei AML-MDS, HR=1,32, p=0,036; günstig bei NPM1, HR=0,61, p=0,036), KRAS prognostisch ungünstig (HR=1,41, p=0,003); bei Venetoclax-Therapie erheblich schlechtere OS bei NPM1 (HR=2,98) oder IDH1/2-Mutationen (HR=4,06).</w:t>
      </w:r>
    </w:p>
    <w:p>
      <w:r>
        <w:rPr>
          <w:b/>
          <w:sz w:val="19"/>
        </w:rPr>
        <w:t xml:space="preserve">Übertragbarkeit: </w:t>
      </w:r>
      <w:r>
        <w:rPr>
          <w:sz w:val="19"/>
        </w:rPr>
        <w:t>Spanische Multizenterstudie, europäische Patienten, vergleichbar mit deutschem Versorgungsstandard.</w:t>
      </w:r>
    </w:p>
    <w:p>
      <w:r>
        <w:rPr>
          <w:color w:val="5A7D3A"/>
          <w:sz w:val="18"/>
        </w:rPr>
        <w:t>https://pubmed.ncbi.nlm.nih.gov/42886676/</w:t>
      </w:r>
    </w:p>
    <w:p>
      <w:pPr>
        <w:pStyle w:val="Heading2"/>
      </w:pPr>
      <w:r>
        <w:t>Serplulimab+Chemotherapie+Radiotherapie bei metastasiertem Pankreas-Ca: 78,3 % 6-Monats-PFS</w:t>
      </w:r>
    </w:p>
    <w:p>
      <w:r>
        <w:rPr>
          <w:i/>
          <w:color w:val="666666"/>
          <w:sz w:val="18"/>
        </w:rPr>
        <w:t>Cheng K et al.  ·  Clin Cancer Res  ·  16.10.2026  ·  PMID 42886001</w:t>
      </w:r>
    </w:p>
    <w:p>
      <w:r>
        <w:t>Multizentrische Phase-II-Studie (ICSBR-Regime) mit Serplulimab, Gemcitabin plus Nab-Paclitaxel und stereotaktischer Körperstrahlentherapie bei 46 Patienten mit metastasiertem Pankreas-Adenokarzinom in Erstliniensetting.</w:t>
      </w:r>
    </w:p>
    <w:p>
      <w:r>
        <w:rPr>
          <w:b/>
        </w:rPr>
        <w:t xml:space="preserve">Ergebnis: </w:t>
      </w:r>
      <w:r>
        <w:t>6-Monats-PFS 78,3 % (95%-CI 67,2-91,1 %), medianes PFS 8,5 Monate (95%-CI 7,3-12,0), medianes OS 14,0 Monate (12,0–nicht erreicht), objektive Ansprechrate 73,9 % (95%-CI 58,9-85,7 %); kein Todesfälle durch Behandlung. ctDNA-Negativität bei Baseline mit besserem Überleben assoziiert; TME-Analyse zeigte Korrelation von cancer-associated-fibroblast-Status und T-Zell-Anteil mit klinischem Outcome.</w:t>
      </w:r>
    </w:p>
    <w:p>
      <w:r>
        <w:rPr>
          <w:b/>
          <w:sz w:val="19"/>
        </w:rPr>
        <w:t xml:space="preserve">Übertragbarkeit: </w:t>
      </w:r>
      <w:r>
        <w:rPr>
          <w:sz w:val="19"/>
        </w:rPr>
        <w:t>China, Gesundheitssystem nicht vergleichbar; Sicherheits- und Response-Daten relevant.</w:t>
      </w:r>
    </w:p>
    <w:p>
      <w:r>
        <w:rPr>
          <w:color w:val="5A7D3A"/>
          <w:sz w:val="18"/>
        </w:rPr>
        <w:t>https://pubmed.ncbi.nlm.nih.gov/42886001/</w:t>
      </w:r>
    </w:p>
    <w:p>
      <w:pPr>
        <w:pStyle w:val="Heading2"/>
      </w:pPr>
      <w:r>
        <w:t>Cabergolin senkt postpartales Brustkrebsrisiko um 69 %: Mechanismus und Kohortenbeleg</w:t>
      </w:r>
    </w:p>
    <w:p>
      <w:r>
        <w:rPr>
          <w:i/>
          <w:color w:val="666666"/>
          <w:sz w:val="18"/>
        </w:rPr>
        <w:t>García-Sancha N et al.  ·  Cancer Discov  ·  15.10.2026  ·  PMID 42878664</w:t>
      </w:r>
    </w:p>
    <w:p>
      <w:r>
        <w:t>Mechanistisches Tiermodell und retrospektive Kohortenstudien zur Wirkung von Cabergolin (Dopaminagonist, senkt Prolaktin) auf postpartale Brustkrebs-Inzidenz bei BRCA1-Trägerinnen durch Mammary-Gland-Involution.</w:t>
      </w:r>
    </w:p>
    <w:p>
      <w:r>
        <w:rPr>
          <w:b/>
        </w:rPr>
        <w:t xml:space="preserve">Ergebnis: </w:t>
      </w:r>
      <w:r>
        <w:t>Bei BRCA1/p53-mutierten Mäusen verzögerte und reduzierte Cabergolin Mammakrebs-Inzidenz durch Verstärkung der Involution, Reduktion von Proliferation und Ki-67-Expression, Umkehr von T-Zell-Erschöpfung; retrospektive europäische Kohorten (2 Studien, Meta-Analyse) zeigten etwa 69 % Risikoreduktion für postpartalen Brustkrebs unter Cabergolin.</w:t>
      </w:r>
    </w:p>
    <w:p>
      <w:r>
        <w:rPr>
          <w:b/>
          <w:sz w:val="19"/>
        </w:rPr>
        <w:t xml:space="preserve">Übertragbarkeit: </w:t>
      </w:r>
      <w:r>
        <w:rPr>
          <w:sz w:val="19"/>
        </w:rPr>
        <w:t>Spanische und internationale Kohorten, Grundlagen+Humanstudien kombiniert, Präventionsstrategie für Hochrisiko.</w:t>
      </w:r>
    </w:p>
    <w:p>
      <w:r>
        <w:rPr>
          <w:color w:val="5A7D3A"/>
          <w:sz w:val="18"/>
        </w:rPr>
        <w:t>https://pubmed.ncbi.nlm.nih.gov/42878664/</w:t>
      </w:r>
    </w:p>
    <w:p>
      <w:pPr>
        <w:pStyle w:val="Heading2"/>
      </w:pPr>
      <w:r>
        <w:t>Perioperative Chemotherapie bei GEP-NEC: Erhöhter Langzeit-Heilungsanteil, nicht nur Verzögerung</w:t>
      </w:r>
    </w:p>
    <w:p>
      <w:r>
        <w:rPr>
          <w:i/>
          <w:color w:val="666666"/>
          <w:sz w:val="18"/>
        </w:rPr>
        <w:t>Carmona-Bayonas A et al.  ·  Eur J Cancer  ·  08.10.2026  ·  PMID 42869860</w:t>
      </w:r>
    </w:p>
    <w:p>
      <w:r>
        <w:t>Analyse von 162 Patienten mit resezierten GEP-NEC Grad 3 (GETNE-Register) zur Frage, ob perioperative Chemotherapie Langzeirheilung ermöglicht oder nur Rezidive verzögert, mittels Cox-Modellen und Bayesscher Promotion-Time-Cure-Modelle.</w:t>
      </w:r>
    </w:p>
    <w:p>
      <w:r>
        <w:rPr>
          <w:b/>
        </w:rPr>
        <w:t xml:space="preserve">Ergebnis: </w:t>
      </w:r>
      <w:r>
        <w:t>Chemotherapie (n=74, 46 %) verkürzte ereignisfreie Überlebenszeit (HR 0,61, 95%-CI 0,40-0,96) und rezidivfreie Überlebenszeit (HR 0,59, 95%-CI 0,37-0,93), nicht eindeutig OS (HR 0,73, 95%-CI 0,46-1,15); Cure-Modell deutete auf niedrigere klonogene Last (Ratio 0,67, Posterior-Wahrscheinlichkeit 94%) statt langsamerer Kinematik hin. Populationsgeheilungsanteil 22,7 % (95%-CrI 15,9-29,6).</w:t>
      </w:r>
    </w:p>
    <w:p>
      <w:r>
        <w:rPr>
          <w:b/>
          <w:sz w:val="19"/>
        </w:rPr>
        <w:t xml:space="preserve">Übertragbarkeit: </w:t>
      </w:r>
      <w:r>
        <w:rPr>
          <w:sz w:val="19"/>
        </w:rPr>
        <w:t>Spanische Multizenterstudie, europäisches Versicherungssystem, Hochrisiko-Entität.</w:t>
      </w:r>
    </w:p>
    <w:p>
      <w:r>
        <w:rPr>
          <w:color w:val="5A7D3A"/>
          <w:sz w:val="18"/>
        </w:rPr>
        <w:t>https://pubmed.ncbi.nlm.nih.gov/42869860/</w:t>
      </w:r>
    </w:p>
    <w:p>
      <w:pPr>
        <w:pStyle w:val="Heading1"/>
      </w:pPr>
      <w:r>
        <w:t>Aufgenommen am 18.10.2026</w:t>
      </w:r>
    </w:p>
    <w:p>
      <w:pPr>
        <w:pStyle w:val="Heading2"/>
      </w:pPr>
      <w:r>
        <w:t>Talazoparib + Enzalutamid bei metastasiertem Prostatakarzinom: PARP-Inhibitor bessert PSA-Response nicht</w:t>
      </w:r>
    </w:p>
    <w:p>
      <w:r>
        <w:rPr>
          <w:i/>
          <w:color w:val="666666"/>
          <w:sz w:val="18"/>
        </w:rPr>
        <w:t>Zacchi F et al.  ·  Nat Med  ·  14.10.2026  ·  PMID 42875559</w:t>
      </w:r>
    </w:p>
    <w:p>
      <w:r>
        <w:t>Randomisierte Phase-II-Studie mit 54 Patienten, die den Nutzen von PARP-Inhibitor Talazoparib zusätzlich zu Enzalutamid bei hochvolumigen metastasierten hormonsensitiven Prostatakarzinomen untersuchte.</w:t>
      </w:r>
    </w:p>
    <w:p>
      <w:r>
        <w:rPr>
          <w:b/>
        </w:rPr>
        <w:t xml:space="preserve">Ergebnis: </w:t>
      </w:r>
      <w:r>
        <w:t>PSA-Ansprechrate (&lt;0,2 ng/ml) nach 12 Monaten: 73% unter Kombinationstherapie vs. 64,7% unter Enzalutamid allein (p=0,54 für explorativen Vergleich). Grade ≥3 Nebenwirkungen: 68% vs. 35%, davon Anämie 41%. Zwei Todesfälle durch therapieassoziierte myeloide Neoplasien in der Kombinationsgruppe. Die Studie zeigt klinische Aktivität, aber keinen klaren zusätzlichen Nutzen gegenüber Monotherapie bei erhöhter Toxizität.</w:t>
      </w:r>
    </w:p>
    <w:p>
      <w:r>
        <w:rPr>
          <w:b/>
          <w:sz w:val="19"/>
        </w:rPr>
        <w:t xml:space="preserve">Übertragbarkeit: </w:t>
      </w:r>
      <w:r>
        <w:rPr>
          <w:sz w:val="19"/>
        </w:rPr>
        <w:t>Spanische akademische Zentren, europäisches Gesundheitssystem, begrenzte Übertragbarkeit wegen geringer Fallzahl</w:t>
      </w:r>
    </w:p>
    <w:p>
      <w:r>
        <w:rPr>
          <w:color w:val="5A7D3A"/>
          <w:sz w:val="18"/>
        </w:rPr>
        <w:t>https://pubmed.ncbi.nlm.nih.gov/42875559/</w:t>
      </w:r>
    </w:p>
    <w:p>
      <w:pPr>
        <w:pStyle w:val="Heading2"/>
      </w:pPr>
      <w:r>
        <w:t>Personalisierte Neoantigen-Vakzine bei Ovarialkarzinom: Phase-I-Verträglichkeit erreicht</w:t>
      </w:r>
    </w:p>
    <w:p>
      <w:r>
        <w:rPr>
          <w:i/>
          <w:color w:val="666666"/>
          <w:sz w:val="18"/>
        </w:rPr>
        <w:t>Sellars MC et al.  ·  Nat Med  ·  14.10.2026  ·  PMID 42875558</w:t>
      </w:r>
    </w:p>
    <w:p>
      <w:r>
        <w:t>Phase-I-Studie mit 10 Patienten (1 Neudiagnose, 9 bei Rezidiv), die eine individualisierte Neoantigen-Peptidvakzine kombiniert mit verzögerter Anti-PD-1-Therapie untersuchte.</w:t>
      </w:r>
    </w:p>
    <w:p>
      <w:r>
        <w:rPr>
          <w:b/>
        </w:rPr>
        <w:t xml:space="preserve">Ergebnis: </w:t>
      </w:r>
      <w:r>
        <w:t>Vakzinierungsrate Cohort B (Rezidive): 75% (90%-KI 47–93%); keine Sicherheitssignale oder Therapieabbrüche wegen Toxizität. &gt;70% der ausgewählten Antigenziele blieben trotz 6,5 Monaten Standard-Chemotherapie durch zellfreie DNA nachweisbar. Biomarkeranalyse deutete auf biologische Aktivität bei 6 von 10 Patienten hin, assoziiert mit breiterer tumor- und impfspezifischer Immunität. Mechanismen der Tumorresistenz zeigten diverse Effekte auf Antigenrepräsentation.</w:t>
      </w:r>
    </w:p>
    <w:p>
      <w:r>
        <w:rPr>
          <w:b/>
          <w:sz w:val="19"/>
        </w:rPr>
        <w:t xml:space="preserve">Übertragbarkeit: </w:t>
      </w:r>
      <w:r>
        <w:rPr>
          <w:sz w:val="19"/>
        </w:rPr>
        <w:t>USA, Dana-Farber, nur Sicherheit übertragbar – Early-Phase-Machbarkeitsstudie</w:t>
      </w:r>
    </w:p>
    <w:p>
      <w:r>
        <w:rPr>
          <w:color w:val="5A7D3A"/>
          <w:sz w:val="18"/>
        </w:rPr>
        <w:t>https://pubmed.ncbi.nlm.nih.gov/42875558/</w:t>
      </w:r>
    </w:p>
    <w:p>
      <w:pPr>
        <w:pStyle w:val="Heading2"/>
      </w:pPr>
      <w:r>
        <w:t>Dosiseskalierende Brachytherapie bei Prostatakarzinom-Rezidiv: 3-Jahres-Lokalkonrolle 73%</w:t>
      </w:r>
    </w:p>
    <w:p>
      <w:r>
        <w:rPr>
          <w:i/>
          <w:color w:val="666666"/>
          <w:sz w:val="18"/>
        </w:rPr>
        <w:t>Solanki AA et al.  ·  J Clin Oncol  ·  14.10.2026  ·  PMID 42874014</w:t>
      </w:r>
    </w:p>
    <w:p>
      <w:r>
        <w:t>Multizentrische Phase-I/II-Studie mit 62 Patienten, die fokale salvage High-Dose-Rate-Brachytherapie (30 Gy in 1–2 Fraktionen) mit genomischem Klassifizierer-Risikoschichtung für intraprosteatische Rezidive nach definitiver Radiotherapie evaluierte.</w:t>
      </w:r>
    </w:p>
    <w:p>
      <w:r>
        <w:rPr>
          <w:b/>
        </w:rPr>
        <w:t xml:space="preserve">Ergebnis: </w:t>
      </w:r>
      <w:r>
        <w:t>Median Follow-up 39,4 Monate. 3-Jahres-Raten: biochemische Progressionsfreiheit 62,7%, lokale Rezidivfreiheit 73,0%, fernmetastasenfreies Überleben 85,9%. Keine akuten Grad-3-Toxizitäten, zwei (3,2%) späte Grad-3-Ereignisse. Genomischer Score &gt;0,85 (n=4) prädizierten 100% Rezidive. Lebensqualitätsänderungen erreichten keine klinisch relevanten Unterschiede.</w:t>
      </w:r>
    </w:p>
    <w:p>
      <w:r>
        <w:rPr>
          <w:b/>
          <w:sz w:val="19"/>
        </w:rPr>
        <w:t xml:space="preserve">Übertragbarkeit: </w:t>
      </w:r>
      <w:r>
        <w:rPr>
          <w:sz w:val="19"/>
        </w:rPr>
        <w:t>USA-Konsortium, Verfahren technisch auf Deutschland übertragbar, klinische Validierung ausstehend</w:t>
      </w:r>
    </w:p>
    <w:p>
      <w:r>
        <w:rPr>
          <w:color w:val="5A7D3A"/>
          <w:sz w:val="18"/>
        </w:rPr>
        <w:t>https://pubmed.ncbi.nlm.nih.gov/42874014/</w:t>
      </w:r>
    </w:p>
    <w:p>
      <w:pPr>
        <w:pStyle w:val="Heading2"/>
      </w:pPr>
      <w:r>
        <w:t>ASCO-Leitlinie Gallenwegskrebs 2026: Immuntherapie + Chemotherapie erste Linie</w:t>
      </w:r>
    </w:p>
    <w:p>
      <w:r>
        <w:rPr>
          <w:i/>
          <w:color w:val="666666"/>
          <w:sz w:val="18"/>
        </w:rPr>
        <w:t>Shroff RT et al.  ·  J Clin Oncol  ·  14.10.2026  ·  PMID 42874012</w:t>
      </w:r>
    </w:p>
    <w:p>
      <w:r>
        <w:t>Aktualisierte ASCO-Leitlinie mit systematischer Evidenzanalyse zu Liquid Biopsy und systemischer Therapie bei fortgeschrittenem Gallenwegskrebs (mMMR/MSS und seltene Mutationen).</w:t>
      </w:r>
    </w:p>
    <w:p>
      <w:r>
        <w:rPr>
          <w:b/>
        </w:rPr>
        <w:t xml:space="preserve">Ergebnis: </w:t>
      </w:r>
      <w:r>
        <w:t>6 Studien zu Liquid Biopsy-Konkordanz mit Gewebebiopsie analysiert. 9 RCTs erste Linie, 5 RCTs/Phase-II zweite Linie. Empfehlungen: NGS Gewebe und RNA zur Biomarker-Detektion an Diagnose; pMMR/MSS erste Linie: Immune Checkpoint Inhibitor + Chemotherapie; dMMR/MSI-H: Pembrolizumab Monotherapie; Progression ohne Biomarker: FOLFOX oder Best Supportive Care; Zweitlinie biomarkergeführt (IDH1, FGFR2, BRAF V600E, HER2, Fusionen).</w:t>
      </w:r>
    </w:p>
    <w:p>
      <w:r>
        <w:rPr>
          <w:b/>
          <w:sz w:val="19"/>
        </w:rPr>
        <w:t xml:space="preserve">Übertragbarkeit: </w:t>
      </w:r>
      <w:r>
        <w:rPr>
          <w:sz w:val="19"/>
        </w:rPr>
        <w:t>USA/ASCO, internationale Evidenzsynthese, in Deutschland durch AMNOG-Bewertung und Zertifizierung anwendbar</w:t>
      </w:r>
    </w:p>
    <w:p>
      <w:r>
        <w:rPr>
          <w:color w:val="5A7D3A"/>
          <w:sz w:val="18"/>
        </w:rPr>
        <w:t>https://pubmed.ncbi.nlm.nih.gov/42874012/</w:t>
      </w:r>
    </w:p>
    <w:p>
      <w:pPr>
        <w:pStyle w:val="Heading2"/>
      </w:pPr>
      <w:r>
        <w:t>Geburtskohorten-Effekt erklärt Anstieg des Gebärmutterkrebses weltweit</w:t>
      </w:r>
    </w:p>
    <w:p>
      <w:r>
        <w:rPr>
          <w:i/>
          <w:color w:val="666666"/>
          <w:sz w:val="18"/>
        </w:rPr>
        <w:t>Kelly KP et al.  ·  J Natl Cancer Inst  ·  14.10.2026  ·  PMID 42872484</w:t>
      </w:r>
    </w:p>
    <w:p>
      <w:r>
        <w:t>Alter-Periode-Kohortenanalyse von Inzidenztrends des Endometriumkarzinoms bei Frauen 30–84 Jahren aus 24 Ländern (1998–2017) mit Fokus auf Geburtskohorten-Effekte.</w:t>
      </w:r>
    </w:p>
    <w:p>
      <w:r>
        <w:rPr>
          <w:b/>
        </w:rPr>
        <w:t xml:space="preserve">Ergebnis: </w:t>
      </w:r>
      <w:r>
        <w:t>1998–2017 stieg Inzidenz in 13 von 24 Ländern, schnellster Anstieg Thailand (+3,58%/Jahr, 95%-KI 2,78–4,38), Belarus (+3,32%, 3,06–3,57), Türkiye (+3,01%, 2,35–3,67); sank in Österreich (-1,57%) und Finnland (-0,76%). Geburtskohorten-Effekt detektiert in 15 Ländern. Kohorten-Ratenratios: Vereinigtes Königreich 3,45-fach höher (1983 vs. 1953, 95%-KI 2,67–4,46), Thailand 3,08-fach, Belarus 3,03-fach. Steilster Anstieg bei Frauen 30–34 Jahren.</w:t>
      </w:r>
    </w:p>
    <w:p>
      <w:r>
        <w:rPr>
          <w:b/>
          <w:sz w:val="19"/>
        </w:rPr>
        <w:t xml:space="preserve">Übertragbarkeit: </w:t>
      </w:r>
      <w:r>
        <w:rPr>
          <w:sz w:val="19"/>
        </w:rPr>
        <w:t>Internationale Krebsregisterdaten, Kohortenperspektive identifiziert frühe Lebenszeitfaktoren</w:t>
      </w:r>
    </w:p>
    <w:p>
      <w:r>
        <w:rPr>
          <w:color w:val="5A7D3A"/>
          <w:sz w:val="18"/>
        </w:rPr>
        <w:t>https://pubmed.ncbi.nlm.nih.gov/42872484/</w:t>
      </w:r>
    </w:p>
    <w:p>
      <w:pPr>
        <w:pStyle w:val="Heading2"/>
      </w:pPr>
      <w:r>
        <w:t>Genomische Biomarker vorhersagen Carboplatin-Ansprechen beim Mammakarzinom</w:t>
      </w:r>
    </w:p>
    <w:p>
      <w:r>
        <w:rPr>
          <w:i/>
          <w:color w:val="666666"/>
          <w:sz w:val="18"/>
        </w:rPr>
        <w:t>Pladsen AV et al.  ·  Clin Cancer Res  ·  14.10.2026  ·  PMID 42870529</w:t>
      </w:r>
    </w:p>
    <w:p>
      <w:r>
        <w:t>Prospektive randomisierte neoadjuvante Studie mit 187 Patienten (Norwegen), die DNA-basierte Biomarker (LOH-Fraktion, HRD-Status) zur Vorhersage des Carboplatin-Ansprechens bei HR+ und triple-negativem Brustkrebs evaluierte.</w:t>
      </w:r>
    </w:p>
    <w:p>
      <w:r>
        <w:rPr>
          <w:b/>
        </w:rPr>
        <w:t xml:space="preserve">Ergebnis: </w:t>
      </w:r>
      <w:r>
        <w:t>Triple-negativ: pathologische Komplettremission (pCR) 69% mit Carboplatin vs. 43% ohne (p=0,036), ereignisfreies Überleben signifikant verlängert (p=0,017). Bei niedrigem LOH-Anteil besserte Carboplatin ereignisfreies Überleben (p=0,007). HR+: pCR 15% vs. 11% (p=0,59), aber niedriges Residualtumorvolumen stieg von 16% auf 35% (p=0,033). HRD-positive HR+-Tumoren: 5/8 pCR mit vs. 4/47 ohne Carboplatin (p=0,002).</w:t>
      </w:r>
    </w:p>
    <w:p>
      <w:r>
        <w:rPr>
          <w:b/>
          <w:sz w:val="19"/>
        </w:rPr>
        <w:t xml:space="preserve">Übertragbarkeit: </w:t>
      </w:r>
      <w:r>
        <w:rPr>
          <w:sz w:val="19"/>
        </w:rPr>
        <w:t>Norwegische Universitätsklinik, vergleichbares europäisches Gesundheitssystem</w:t>
      </w:r>
    </w:p>
    <w:p>
      <w:r>
        <w:rPr>
          <w:color w:val="5A7D3A"/>
          <w:sz w:val="18"/>
        </w:rPr>
        <w:t>https://pubmed.ncbi.nlm.nih.gov/42870529/</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