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20.10.2026  |  6 Studien  |  onkologie.m-vf.de</w:t>
      </w:r>
    </w:p>
    <w:p>
      <w:pPr>
        <w:pStyle w:val="Heading1"/>
      </w:pPr>
      <w:r>
        <w:t>Aufgenommen am 20.10.2026</w:t>
      </w:r>
    </w:p>
    <w:p>
      <w:pPr>
        <w:pStyle w:val="Heading2"/>
      </w:pPr>
      <w:r>
        <w:t>Hypofraktionierte Strahlentherapie nach Mastektomie zeigt Nichtunterlegenheit bei reduzierter akuter Toxizität</w:t>
      </w:r>
    </w:p>
    <w:p>
      <w:r>
        <w:rPr>
          <w:i/>
          <w:color w:val="666666"/>
          <w:sz w:val="18"/>
        </w:rPr>
        <w:t>Wang X et al.  ·  J Clin Oncol  ·  19.10.2026  ·  PMID 42896129</w:t>
      </w:r>
    </w:p>
    <w:p>
      <w:r>
        <w:t>Randomisierte Phase-III-Studie: Bei 1.429 Patientinnen mit Hochrisiko-Brustkrebs nach Mastektomie wurde hypofraktionierte (16×2,66 Gy) vs. konventionell fraktionierte (25×2 Gy) Radiotherapie mit regionaler Lymphknotenbestrahlung verglichen.</w:t>
      </w:r>
    </w:p>
    <w:p>
      <w:r>
        <w:rPr>
          <w:b/>
        </w:rPr>
        <w:t xml:space="preserve">Ergebnis: </w:t>
      </w:r>
      <w:r>
        <w:t>Nach Median-Nachbeobachtung von 58,1 Monaten: 5-Jahres-Lokalrezidivrate 1,7% (hypofraktioniert) vs. 2,2% (konventionell), Hazard Ratio 0,69 (95%-KI 0,32–1,51), Nichtunterlegenheit erfüllt (p=0,017). Akute Grad-3-Hautnebenwirkungen deutlich niedriger mit Hypofraktionierung (1,7% vs. 12,2%, p&lt;0,001). Kardiopulmonale Verträglichkeit exzellent in beiden Armen.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Phase-III-Daten aus China, vergleichbare Hochrisikodef, Effekt auf Standardpraxis</w:t>
      </w:r>
    </w:p>
    <w:p>
      <w:r>
        <w:rPr>
          <w:color w:val="5A7D3A"/>
          <w:sz w:val="18"/>
        </w:rPr>
        <w:t>https://pubmed.ncbi.nlm.nih.gov/42896129/</w:t>
      </w:r>
    </w:p>
    <w:p>
      <w:pPr>
        <w:pStyle w:val="Heading2"/>
      </w:pPr>
      <w:r>
        <w:t>Lynch-Syndrom: MSH2-Träger profitieren von Koloskopie-Screening, MLH1-Träger zeigen alternative Karzinogenese</w:t>
      </w:r>
    </w:p>
    <w:p>
      <w:r>
        <w:rPr>
          <w:i/>
          <w:color w:val="666666"/>
          <w:sz w:val="18"/>
        </w:rPr>
        <w:t>Briollais L et al.  ·  J Natl Cancer Inst  ·  19.10.2026  ·  PMID 42895288</w:t>
      </w:r>
    </w:p>
    <w:p>
      <w:r>
        <w:t>Prospektive Kohortenstudie an kanadischen Lynch-Syndrom-Patienten mit Familienregister: Joint-Model für Koloskopie-Häufigkeit, Adenomzahl und Kolonkrebsrisiko bei MLH1- vs. MSH2-Mutation-Trägern entwickelt und validiert.</w:t>
      </w:r>
    </w:p>
    <w:p>
      <w:r>
        <w:rPr>
          <w:b/>
        </w:rPr>
        <w:t xml:space="preserve">Ergebnis: </w:t>
      </w:r>
      <w:r>
        <w:t>Nach 10 Jahren Follow-up bei Patienten mit Adenomen: Kolonkrebsrisiko in MLH1-Trägern 7,9% (95%-KI 3,9–15,8%, Männer) vs. 4,0% (95%-KI 1,6–9,6%, MSH2). Bei Frauen 4,2% (MLH1) vs. 1,6% (MSH2). Frequentere Koloskopien reduzierten Risiko nur bei MSH2-Mutation, nicht bei MLH1. Befund deutet auf unterschiedliche Karzinogenese-Pfade.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Familienregister, Implikation für Nachsorgestratifizierung</w:t>
      </w:r>
    </w:p>
    <w:p>
      <w:r>
        <w:rPr>
          <w:color w:val="5A7D3A"/>
          <w:sz w:val="18"/>
        </w:rPr>
        <w:t>https://pubmed.ncbi.nlm.nih.gov/42895288/</w:t>
      </w:r>
    </w:p>
    <w:p>
      <w:pPr>
        <w:pStyle w:val="Heading2"/>
      </w:pPr>
      <w:r>
        <w:t>Adjuvante Radiotherapie beim Plattenepithelkarzinom der Haut: Delphi-Konsens zu Indikationen, Dosis und Timing</w:t>
      </w:r>
    </w:p>
    <w:p>
      <w:r>
        <w:rPr>
          <w:i/>
          <w:color w:val="666666"/>
          <w:sz w:val="18"/>
        </w:rPr>
        <w:t>Stevens JS et al.  ·  Int J Radiat Oncol Biol Phys  ·  16.10.2026  ·  PMID 42887677</w:t>
      </w:r>
    </w:p>
    <w:p>
      <w:r>
        <w:t>Delphi-Panel mit 35 Experten aus Strahlentherapie, Dermatologie, Chirurgie entwickelte Konsensusempfehlungen für adjuvante Radiotherapie bei nodal-negativem High-Stage-Kutanmelanom nach Operation.</w:t>
      </w:r>
    </w:p>
    <w:p>
      <w:r>
        <w:rPr>
          <w:b/>
        </w:rPr>
        <w:t xml:space="preserve">Ergebnis: </w:t>
      </w:r>
      <w:r>
        <w:t>Konsens (≥80% Konkordanz): ART empfohlen bei positiven Rändern (100%), 5-Jahres-Lokalrezidiv-Inzidenz ≥20% (83%), kortikale Knochenerosion (91%), Schädelbasis-Invasion (91%), ≥4 Risikofaktoren (100%), ≥3 RF (86–94%), PNI ≥0,1mm + ein RF (86%). Immunsupprimierte Patienten: 86% würden ART eher empfehlen. Optimales Zeitfenster 4–8 Wochen (100% RO). Dosen 60–66 Gy/2 Gy pro Fraktion (100%) oder 50–55 Gy/2,5 Gy (87%) bevorzugt.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USA-basiert, aber standardisiert Behandlungsrahmen, vergleichbar mit deutschen Zentren</w:t>
      </w:r>
    </w:p>
    <w:p>
      <w:r>
        <w:rPr>
          <w:color w:val="5A7D3A"/>
          <w:sz w:val="18"/>
        </w:rPr>
        <w:t>https://pubmed.ncbi.nlm.nih.gov/42887677/</w:t>
      </w:r>
    </w:p>
    <w:p>
      <w:pPr>
        <w:pStyle w:val="Heading2"/>
      </w:pPr>
      <w:r>
        <w:t>Kosteneffektivitäts-Analysen von Krebsarzneien: Nur 2,7% sind reproduzierbar, 16,7% vollständig dokumentiert</w:t>
      </w:r>
    </w:p>
    <w:p>
      <w:r>
        <w:rPr>
          <w:i/>
          <w:color w:val="666666"/>
          <w:sz w:val="18"/>
        </w:rPr>
        <w:t>Johansson N et al.  ·  JCO Oncol Pract  ·  16.10.2026  ·  PMID 42886869</w:t>
      </w:r>
    </w:p>
    <w:p>
      <w:r>
        <w:t>Systematische Bewertung von 150 zufällig ausgewählten, modellgestützten Kosteneffektivitäts-Analysen (CEA) von Krebsmedikamenten aus der Literatur zu Reproduzierbarkeit: Zugang zu Modellcode (Computational Reproducibility) und Transparenz der Berichterstattung über Modellstruktur, Übergänge, Kosten, Gesundheitsergebnisse (Recreate Reproducibility).</w:t>
      </w:r>
    </w:p>
    <w:p>
      <w:r>
        <w:rPr>
          <w:b/>
        </w:rPr>
        <w:t xml:space="preserve">Ergebnis: </w:t>
      </w:r>
      <w:r>
        <w:t>2,7% (95%-KI 1,0–6,7) waren Computational Reproducible (Modellcode zugänglich); 16,7% (95%-KI 11,6–23,4) waren Recreate Reproducible. 85% berichteten Modellstruktur vollständig, aber nur 39% alle Kosteneingaben. Keine Assoziation zwischen Reproduzierbarkeit und Förderquelle, Land oder Journal Impact Factor. Schlussfolgerung: Standardisierte Berichterstattung und Open-Modeling-Praktiken notwendig.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europäische Qualitätsfrage, AMNOG-Transparenzanforderungen relevant</w:t>
      </w:r>
    </w:p>
    <w:p>
      <w:r>
        <w:rPr>
          <w:color w:val="5A7D3A"/>
          <w:sz w:val="18"/>
        </w:rPr>
        <w:t>https://pubmed.ncbi.nlm.nih.gov/42886869/</w:t>
      </w:r>
    </w:p>
    <w:p>
      <w:pPr>
        <w:pStyle w:val="Heading2"/>
      </w:pPr>
      <w:r>
        <w:t>Oligometastase-Therapiestudien: Progression-Free Survival nur moderat korreliert mit Gesamtüberleben</w:t>
      </w:r>
    </w:p>
    <w:p>
      <w:r>
        <w:rPr>
          <w:i/>
          <w:color w:val="666666"/>
          <w:sz w:val="18"/>
        </w:rPr>
        <w:t>Chen D et al.  ·  Oncologist  ·  16.10.2026  ·  PMID 42885579</w:t>
      </w:r>
    </w:p>
    <w:p>
      <w:r>
        <w:t>Systematische Übersichtsarbeit über 235 prospektive Studien (29 randomisiert) zur metastasierungsgerichteten Therapie; Metaanalyse der Surrogacy zwischen Progression-Free Survival (PFS) und Overall Survival (OS) in randomisierten Trials.</w:t>
      </w:r>
    </w:p>
    <w:p>
      <w:r>
        <w:rPr>
          <w:b/>
        </w:rPr>
        <w:t xml:space="preserve">Ergebnis: </w:t>
      </w:r>
      <w:r>
        <w:t>Bei 18 randomisierten Trials mit beiden Endpunkten: Korrelation zwischen PFS-HR und OS-HR moderat (r=0,80, 95%-KI 0,64–0,91). Surrogat-Schwellwert-HR 0,79 (95%-KI 0,71–0,87). Die meisten Phase-II-Trials nutzten PFS als Primärendpunkt (67%, n=20), nur 13% (n=4) OS. Empfehlung: Phase-II-Trials sollten PFS mit Lebensqualität oder therapiefreie Überlebenszeit kombinieren; Phase-III-Trials OS oder validierte Surrogate nutzen.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internationale Trials, Leitlinienrelevanz für Endpunkt-Wahl</w:t>
      </w:r>
    </w:p>
    <w:p>
      <w:r>
        <w:rPr>
          <w:color w:val="5A7D3A"/>
          <w:sz w:val="18"/>
        </w:rPr>
        <w:t>https://pubmed.ncbi.nlm.nih.gov/42885579/</w:t>
      </w:r>
    </w:p>
    <w:p>
      <w:pPr>
        <w:pStyle w:val="Heading2"/>
      </w:pPr>
      <w:r>
        <w:t>Neoadjuvante SABR vor Nephrektomie bei Nierenzellkarzinom mit IVC-Thrombus: 1-Jahres-Rezidivfreiheit 71,4%</w:t>
      </w:r>
    </w:p>
    <w:p>
      <w:r>
        <w:rPr>
          <w:i/>
          <w:color w:val="666666"/>
          <w:sz w:val="18"/>
        </w:rPr>
        <w:t>Hannan R et al.  ·  JAMA Oncol  ·  15.10.2026  ·  PMID 42879162</w:t>
      </w:r>
    </w:p>
    <w:p>
      <w:r>
        <w:t>Prospektive Phase-II-Studie: 23 Patienten mit Nierenzellkarzinom und inferiorem Hohlvenenthrombus (Mayo II–IV) erhielten neoadjuvante SABR (40 Gy/5 fx oder 36 Gy/3 fx) vor radikaler Nephrektomie und Thrombektomie; primärer Endpunkt 1-Jahres-Rezidivfreiüberleben vs. historisches Surgery-Benchmark 55,7%.</w:t>
      </w:r>
    </w:p>
    <w:p>
      <w:r>
        <w:rPr>
          <w:b/>
        </w:rPr>
        <w:t xml:space="preserve">Ergebnis: </w:t>
      </w:r>
      <w:r>
        <w:t>21 Patienten in Analyse eingeschlossen (57% männlich, Median-Alter 62,5 Jahre). 1-Jahres-Rezidivfreiüberleben 71,4% (80%-KI 56,6–82,0; 95%-KI 47,2–86,0), Nichtunterlegenheit-Kriterium erfüllt (p=0,09 vs. 55,7%). 1-Jahres-Gesamtüberleben 95,2%, keine Perioperalitäts-Mortalität. Ki-67-Expression reduziert nach SABR. Tumor-informierte ctDNA bei allen Patienten detektiert und nach Therapie gesunken.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sichere Machbarkeit, ctDNA-Monitoring innovativ</w:t>
      </w:r>
    </w:p>
    <w:p>
      <w:r>
        <w:rPr>
          <w:color w:val="5A7D3A"/>
          <w:sz w:val="18"/>
        </w:rPr>
        <w:t>https://pubmed.ncbi.nlm.nih.gov/42879162/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2026-10-20T06:00:00Z</dcterms:created>
  <dcterms:modified xsi:type="dcterms:W3CDTF">2026-10-20T06:00:00Z</dcterms:modified>
  <cp:category/>
</cp:coreProperties>
</file>