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04.10.2026  |  7 Studien  |  onkologie.m-vf.de</w:t>
      </w:r>
    </w:p>
    <w:p>
      <w:pPr>
        <w:pStyle w:val="Heading1"/>
      </w:pPr>
      <w:r>
        <w:t>Aufgenommen am 04.10.2026</w:t>
      </w:r>
    </w:p>
    <w:p>
      <w:pPr>
        <w:pStyle w:val="Heading2"/>
      </w:pPr>
      <w:r>
        <w:t>Urin-cfRNA detektiert Blasenkrebs mit 95% Sensitivität, sagt BCG-Response voraus</w:t>
      </w:r>
    </w:p>
    <w:p>
      <w:r>
        <w:rPr>
          <w:i/>
          <w:color w:val="666666"/>
          <w:sz w:val="18"/>
        </w:rPr>
        <w:t>Liu KJ et al.  ·  Nat Med  ·  02.10.2026  ·  PMID 42827132</w:t>
      </w:r>
    </w:p>
    <w:p>
      <w:r>
        <w:t>Prospektive Validierungsstudie einer Liquid-Biopsy-Methode (uRARE-seq) für tumorspezifische RNA-Fragmente im Urin bei 683 Patienten mit und ohne Urogenital-Karzinome.</w:t>
      </w:r>
    </w:p>
    <w:p>
      <w:r>
        <w:rPr>
          <w:b/>
        </w:rPr>
        <w:t xml:space="preserve">Ergebnis: </w:t>
      </w:r>
      <w:r>
        <w:t>Für lokalisiertes Blasenkarzinom: 95% Sensitivität bei 90% Spezifität. Urin-cfRNA übertraf tumor-DNA-Analyse und war unaffiziert von Feldeffekt-Mutationen. Biomarker in Urin vor BCG-Therapie (Area-under-the-Curve 0,93) sagte BCG-Response voraus: Responder zeigten T-Zell- und Immun-Signaturen, Nicht-Responder Proliferations-Gene. Minimal Residual Disease wurde sensitiv detektiert. Ein Ansatz mit klinischem Nutzenpotential für Blasenkarzinom-Stratifizierung.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USA-basierte Studie; Liquid-Biopsy-Methode technisch übertragbar, prospektive Validierung erforderlich.</w:t>
      </w:r>
    </w:p>
    <w:p>
      <w:r>
        <w:rPr>
          <w:color w:val="5A7D3A"/>
          <w:sz w:val="18"/>
        </w:rPr>
        <w:t>https://pubmed.ncbi.nlm.nih.gov/42827132/</w:t>
      </w:r>
    </w:p>
    <w:p>
      <w:pPr>
        <w:pStyle w:val="Heading2"/>
      </w:pPr>
      <w:r>
        <w:t>Ibrutinib-Venetoclax senkt Gesamtüberleben bei älteren CLL-Patienten deutlich</w:t>
      </w:r>
    </w:p>
    <w:p>
      <w:r>
        <w:rPr>
          <w:i/>
          <w:color w:val="666666"/>
          <w:sz w:val="18"/>
        </w:rPr>
        <w:t>U Niemann C et al.  ·  Leukemia  ·  02.10.2026  ·  PMID 42827117</w:t>
      </w:r>
    </w:p>
    <w:p>
      <w:r>
        <w:t>Randomisierte Phase-III-Studie (GLOW) verglich Ibrutinib-Venetoclax mit Chlorambucil-Obinutuzumab bei älteren/komorbiditätsbelasteten CLL-Patienten mit 67-Monat-Nachverfolgung.</w:t>
      </w:r>
    </w:p>
    <w:p>
      <w:r>
        <w:rPr>
          <w:b/>
        </w:rPr>
        <w:t xml:space="preserve">Ergebnis: </w:t>
      </w:r>
      <w:r>
        <w:t>Gesamtüberleben nach 66 Monaten: 79,0% vs 60,8% (Hazard Ratio 0,46). Ibrutinib-Venetoclax reduzierte das Risiko für Zweitlinientherapie um 77,4%. Progressionsfreies Überleben nach 66 Monaten: 51,7% vs 18,1% (HR 0,27). Grade-3/4-toxizitätsfreies PFS 21,4 Monate länger (51,6 vs 30,2 Monate). Eine klare Überlegenheit für die fixierte Zweierkombination bei älteren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Multicenterstudie mit HOVON-Zentren, deutschem Versorgungsstandard entsprechend.</w:t>
      </w:r>
    </w:p>
    <w:p>
      <w:r>
        <w:rPr>
          <w:color w:val="5A7D3A"/>
          <w:sz w:val="18"/>
        </w:rPr>
        <w:t>https://pubmed.ncbi.nlm.nih.gov/42827117/</w:t>
      </w:r>
    </w:p>
    <w:p>
      <w:pPr>
        <w:pStyle w:val="Heading2"/>
      </w:pPr>
      <w:r>
        <w:t>Chemotherapie + Krebsimpfstoff: TCF1+-T-Zellen erklären synergistischen Effekt</w:t>
      </w:r>
    </w:p>
    <w:p>
      <w:r>
        <w:rPr>
          <w:i/>
          <w:color w:val="666666"/>
          <w:sz w:val="18"/>
        </w:rPr>
        <w:t>Noblecourt L et al.  ·  Cancer Cell  ·  02.10.2026  ·  PMID 42826713</w:t>
      </w:r>
    </w:p>
    <w:p>
      <w:r>
        <w:t>Präklinische und erste translatorische Studie zur mechanistischen Erklärung, warum Carboplatin-Paclitaxel und Cyclophosphamid die Effizienz von Virus-Vektor-Impfstoffen gegen Tumorantigen erhöhen; Experimente mit Maus- und Patientenzellen.</w:t>
      </w:r>
    </w:p>
    <w:p>
      <w:r>
        <w:rPr>
          <w:b/>
        </w:rPr>
        <w:t xml:space="preserve">Ergebnis: </w:t>
      </w:r>
      <w:r>
        <w:t>Carboplatin-Paclitaxel induziert frühe, antigen-unabhängige Expansion von Stamm-ähnlichen TCF1+CD8+-T-Zellen. Genetische oder pharmakologische TCF1-Blockierung hebt den Immunaduvans-Effekt auf. Kombinationstriple (Vakzin + CarboTaxol + PD-1-Blockade) verbessert Tumorkon trolle und Überleben in Mausmodellen stärker als Einzelbehandlungen. Der TCF1-abhängige Mechanismus erklärt Synergie und identifiziert neue Kombinationsstrategien für klinische Evaluation.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UK/Niederlande-Kohorte, mechanistisches Verständnis transkulturell relevant für Impfstoff-Kombinationen.</w:t>
      </w:r>
    </w:p>
    <w:p>
      <w:r>
        <w:rPr>
          <w:color w:val="5A7D3A"/>
          <w:sz w:val="18"/>
        </w:rPr>
        <w:t>https://pubmed.ncbi.nlm.nih.gov/42826713/</w:t>
      </w:r>
    </w:p>
    <w:p>
      <w:pPr>
        <w:pStyle w:val="Heading2"/>
      </w:pPr>
      <w:r>
        <w:t>ERBB2-Mutationen in Lungenkarzinom: Heterogenität und Trastuzumab-Deruxtecan-Benefit</w:t>
      </w:r>
    </w:p>
    <w:p>
      <w:r>
        <w:rPr>
          <w:i/>
          <w:color w:val="666666"/>
          <w:sz w:val="18"/>
        </w:rPr>
        <w:t>Yamashita M et al.  ·  Eur J Cancer  ·  29.09.2026  ·  PMID 42826440</w:t>
      </w:r>
    </w:p>
    <w:p>
      <w:r>
        <w:t>Japanische Real-World-Kohorte von 319 Patienten mit ERBB2-aktivierenden Mutationen im NSCLC mittels Genomik-Datenbank untersucht.</w:t>
      </w:r>
    </w:p>
    <w:p>
      <w:r>
        <w:rPr>
          <w:b/>
        </w:rPr>
        <w:t xml:space="preserve">Ergebnis: </w:t>
      </w:r>
      <w:r>
        <w:t>74% hatten kanonische Tyrosinkinase-Domänen-Insertionen; 26% nonkanonische Varianten (TKD-Missense 8%, transmembran 10%, extrazelluläre Domäne 8%). Co-driver-Alterationen in nur 5,6% (überwiegend nonkanonisch). 27% der 288 Patienten (78 von 288) erhielten Trastuzumab-Deruxtecan; time-abhängige T-DXd-Exposition assoziiert mit reduziertem Mortalitätsrisiko (adjusted HR 0,63; 95% KI 0,39-1,01; p=0,057). Wesentliche molekulare Heterogenität mit therapeutischen Implikationen.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Genomik-Strukturen; Trastuzumab-Deruxtecan in Deutschland verfügbar.</w:t>
      </w:r>
    </w:p>
    <w:p>
      <w:r>
        <w:rPr>
          <w:color w:val="5A7D3A"/>
          <w:sz w:val="18"/>
        </w:rPr>
        <w:t>https://pubmed.ncbi.nlm.nih.gov/42826440/</w:t>
      </w:r>
    </w:p>
    <w:p>
      <w:pPr>
        <w:pStyle w:val="Heading2"/>
      </w:pPr>
      <w:r>
        <w:t>Tirabrutinib für rezidivertes primäres ZNS-Lymphom: 67% Ansprechquote, rascher Wirkeintritt</w:t>
      </w:r>
    </w:p>
    <w:p>
      <w:r>
        <w:rPr>
          <w:i/>
          <w:color w:val="666666"/>
          <w:sz w:val="18"/>
        </w:rPr>
        <w:t>Grommes C et al.  ·  Blood  ·  01.10.2026  ·  PMID 42821736</w:t>
      </w:r>
    </w:p>
    <w:p>
      <w:r>
        <w:t>Phase-1b/2-Studie zu dem BTK-Inhibitor Tirabrutinib als Monotherapie bei 48 Patienten mit rezidiviertem/refraktärem pCNSL nach Hochdosis-Methotrexat-Vorbehandlung.</w:t>
      </w:r>
    </w:p>
    <w:p>
      <w:r>
        <w:rPr>
          <w:b/>
        </w:rPr>
        <w:t xml:space="preserve">Ergebnis: </w:t>
      </w:r>
      <w:r>
        <w:t>Objektive Ansprechquote 67% (95% KI 52–80%), vollständige Remission 44% (95% KI 29–59%). Mediane Ansprechdauer 9,3 Monate (95% KI 4,6–14,6), mediane Zeit bis Ansprechen 1,0 Monat. Treatment-related adverse events in 75% (häufig Anämie 19%, Ausschlag 17%, Fatigue 15%), Grade-≥3 in 27% (Neutropenie 8%). Ein behandelbares Toxizitätsprofil für rare Indikation mit hohem ungedecktem Bedarf.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BTK-Inhibitor-Klasse europaweit verfügbar; Zentrumserfordernis für pCNSL-Versorgung prüfen.</w:t>
      </w:r>
    </w:p>
    <w:p>
      <w:r>
        <w:rPr>
          <w:color w:val="5A7D3A"/>
          <w:sz w:val="18"/>
        </w:rPr>
        <w:t>https://pubmed.ncbi.nlm.nih.gov/42821736/</w:t>
      </w:r>
    </w:p>
    <w:p>
      <w:pPr>
        <w:pStyle w:val="Heading2"/>
      </w:pPr>
      <w:r>
        <w:t>Leitlinie Multiples Myelom 2026 – kontinuierliche Aktualisierung basierend auf neuer Evidenz</w:t>
      </w:r>
    </w:p>
    <w:p>
      <w:r>
        <w:rPr>
          <w:i/>
          <w:color w:val="666666"/>
          <w:sz w:val="18"/>
        </w:rPr>
        <w:t>Banerjee R et al.  ·  J Clin Oncol  ·  30.09.2026  ·  PMID 42814948</w:t>
      </w:r>
    </w:p>
    <w:p>
      <w:r>
        <w:t>ASCO Living Guideline für Behandlung des Multiplen Myeloms mit regelmäßigen Aktualisierungen durch Expertengruppe bei schnell wechselnder Evidenz.</w:t>
      </w:r>
    </w:p>
    <w:p>
      <w:r>
        <w:rPr>
          <w:b/>
        </w:rPr>
        <w:t xml:space="preserve">Ergebnis: </w:t>
      </w:r>
      <w:r>
        <w:t>Leitlinie wird kontinuierlich aktualisiert; konkrete Therapie-Empfehlungen folgen Systematische-Review-Prozeduren und werden mindestens jährlich überprüft. Die aktuelle Version 2026.1.3 berücksichtigt neue Kombinationsprotokolle, CAR-T und zielgerichtete Therapien mit prognose-adaptiven Strategien für Risiko-Stratifizierung.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USA-ASCO-Guideline; weit überwiegend international anwendbar, Dosierungen/Verfügbarkeiten lokal zu prüfen.</w:t>
      </w:r>
    </w:p>
    <w:p>
      <w:r>
        <w:rPr>
          <w:color w:val="5A7D3A"/>
          <w:sz w:val="18"/>
        </w:rPr>
        <w:t>https://pubmed.ncbi.nlm.nih.gov/42814948/</w:t>
      </w:r>
    </w:p>
    <w:p>
      <w:pPr>
        <w:pStyle w:val="Heading2"/>
      </w:pPr>
      <w:r>
        <w:t>Aglatimagene bei lokalisiertem Prostatakarzinom: kritische Neubeobachtung</w:t>
      </w:r>
    </w:p>
    <w:p>
      <w:r>
        <w:rPr>
          <w:i/>
          <w:color w:val="666666"/>
          <w:sz w:val="18"/>
        </w:rPr>
        <w:t>Büttner T et al.  ·  Lancet Oncol  ·  Okt. 2026  ·  PMID 42805200</w:t>
      </w:r>
    </w:p>
    <w:p>
      <w:r>
        <w:t>Kommentar deutschsprachiger Urologen zur Neubewertung des Viren-Therapiestoffs Aglatimagene bei lokalisiertem Prostatakarzinom.</w:t>
      </w:r>
    </w:p>
    <w:p>
      <w:r>
        <w:rPr>
          <w:b/>
        </w:rPr>
        <w:t xml:space="preserve">Ergebnis: </w:t>
      </w:r>
      <w:r>
        <w:t>Keine konkreten Endpunkte im Abstract; die Arbeit erörtert Limitationen bisheriger Daten zu einer experimentellen Therapie mit unklarer klinischer Rolle. Die Autoren fordern Klärung vor breiter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(Bonn, Erlangen), deutsches Versorgungssystem betroffen.</w:t>
      </w:r>
    </w:p>
    <w:p>
      <w:r>
        <w:rPr>
          <w:color w:val="5A7D3A"/>
          <w:sz w:val="18"/>
        </w:rPr>
        <w:t>https://pubmed.ncbi.nlm.nih.gov/42805200/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2026-10-04T06:00:00Z</dcterms:created>
  <dcterms:modified xsi:type="dcterms:W3CDTF">2026-10-04T06:00:00Z</dcterms:modified>
  <cp:category/>
</cp:coreProperties>
</file>