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24.09.2026  |  6 Studien  |  onkologie.m-vf.de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BCG plus Immune Checkpoint Inhibitor erhöht systemische Toxizität bei Blasenkrebs deutlich</w:t>
      </w:r>
    </w:p>
    <w:p>
      <w:r>
        <w:rPr>
          <w:i/>
          <w:color w:val="666666"/>
          <w:sz w:val="18"/>
        </w:rPr>
        <w:t>Ciccarese C et al.  ·  ESMO Open  ·  23.09.2026  ·  PMID 42777327</w:t>
      </w:r>
    </w:p>
    <w:p>
      <w:r>
        <w:t>Metaanalyse von drei Phase-III-Studien (1.895 Patienten) zur Sicherheit intravesikaler BCG-Immunchemotherapie gegenüber BCG allein bei nicht-muskelinvasivem Harnblasenkarzinom.</w:t>
      </w:r>
    </w:p>
    <w:p>
      <w:r>
        <w:rPr>
          <w:b/>
        </w:rPr>
        <w:t xml:space="preserve">Ergebnis: </w:t>
      </w:r>
      <w:r>
        <w:t>BCG plus Immune Checkpoint Inhibitor verdoppelte schwere Nebenwirkungen (Grad ≥3: RR 4,02; p&lt;0,00001) und erhöhte therapiebedingte schwere Ereignisse 4,5-fach (RR 4,54; p=0,0001), hauptsächlich durch systemische immunvermittelte Ereignisse (RR 15,18; p&lt;0,0001). Lokale Blasensymptome ähnlich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Europa-Studie mit deutschen und österreichischen Zentren, direkt anwendbar</w:t>
      </w:r>
    </w:p>
    <w:p>
      <w:r>
        <w:rPr>
          <w:color w:val="5A7D3A"/>
          <w:sz w:val="18"/>
        </w:rPr>
        <w:t>https://pubmed.ncbi.nlm.nih.gov/42777327/</w:t>
      </w:r>
    </w:p>
    <w:p>
      <w:pPr>
        <w:pStyle w:val="Heading2"/>
      </w:pPr>
      <w:r>
        <w:t>FLOT plus Nivolumab bei Magenkrebse: Monocyten-Lymphozyten-Ratio identifiziert Profiteure</w:t>
      </w:r>
    </w:p>
    <w:p>
      <w:r>
        <w:rPr>
          <w:i/>
          <w:color w:val="666666"/>
          <w:sz w:val="18"/>
        </w:rPr>
        <w:t>Masetti M et al.  ·  Eur J Cancer  ·  10.09.2026  ·  PMID 42777290</w:t>
      </w:r>
    </w:p>
    <w:p>
      <w:r>
        <w:t>Extended Follow-up einer deutschen Multizenterstudie (Arm C: 52 Patienten mit mCRPC) zu FLOT-Chemotherapie plus Nivolumab mit Biomarker-Stratifizierung für Magenkarzinom.</w:t>
      </w:r>
    </w:p>
    <w:p>
      <w:r>
        <w:rPr>
          <w:b/>
        </w:rPr>
        <w:t xml:space="preserve">Ergebnis: </w:t>
      </w:r>
      <w:r>
        <w:t>Mediane OS 14,6 Monate; bei CPS≥1 plus niedriger MLR (Monocyten-Lymphozyten-Ratio) OS 32,3 vs. 7,4 Monate (p=0,044). NLR und MLR korrelierten mit Überleben; Schmerz verbesserte sich, Müdigkeit und körperliche Funktionsfähigkeit verschlechterten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aus 19 Zentren, vollständig übertragbar</w:t>
      </w:r>
    </w:p>
    <w:p>
      <w:r>
        <w:rPr>
          <w:color w:val="5A7D3A"/>
          <w:sz w:val="18"/>
        </w:rPr>
        <w:t>https://pubmed.ncbi.nlm.nih.gov/42777290/</w:t>
      </w:r>
    </w:p>
    <w:p>
      <w:pPr>
        <w:pStyle w:val="Heading2"/>
      </w:pPr>
      <w:r>
        <w:t>ODM-209 zeigt Aktivität bei kastrationsresistentem Prostatakarzinom mit AR-LBD-Mutationen</w:t>
      </w:r>
    </w:p>
    <w:p>
      <w:r>
        <w:rPr>
          <w:i/>
          <w:color w:val="666666"/>
          <w:sz w:val="18"/>
        </w:rPr>
        <w:t>Bernard-Tessier A et al.  ·  Eur J Cancer  ·  12.09.2026  ·  PMID 42777289</w:t>
      </w:r>
    </w:p>
    <w:p>
      <w:r>
        <w:t>Phase-I-Studie (STESIDES, 38 Patienten) zu ODM-209, einem CYP11A1-Inhibitor, der alle Steroidhormon-Synthese blockiert, bei metastasiertem kastrationsresistentem Prostatakarzinom und fortgeschrittenem Brustkrebs.</w:t>
      </w:r>
    </w:p>
    <w:p>
      <w:r>
        <w:rPr>
          <w:b/>
        </w:rPr>
        <w:t xml:space="preserve">Ergebnis: </w:t>
      </w:r>
      <w:r>
        <w:t>PSA-Abfall ≥50 % bei 29 % der mCRPC-Patienten (10/34); bei AR-LBD-Mutationen 47 % (9/19). Partielle klinische Remission bei 19 % (3/16). Häufigste Nebenwirkungen: Müdigkeit (53 %), periphere Ödeme (34 %); 8 % erlebten schwere Nebenwirkungen, 3 Fälle ernsthafte Nebenniereninsuffizienz (eine davon DLT).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Europäisch-finländische Studie, toxikologisches Profil übertragbar auf Deutschland</w:t>
      </w:r>
    </w:p>
    <w:p>
      <w:r>
        <w:rPr>
          <w:color w:val="5A7D3A"/>
          <w:sz w:val="18"/>
        </w:rPr>
        <w:t>https://pubmed.ncbi.nlm.nih.gov/42777289/</w:t>
      </w:r>
    </w:p>
    <w:p>
      <w:pPr>
        <w:pStyle w:val="Heading2"/>
      </w:pPr>
      <w:r>
        <w:t>Anito-cel CAR-T-Therapie erreicht 100 % Ansprechrate bei therapierefraktärem Myelom</w:t>
      </w:r>
    </w:p>
    <w:p>
      <w:r>
        <w:rPr>
          <w:i/>
          <w:color w:val="666666"/>
          <w:sz w:val="18"/>
        </w:rPr>
        <w:t>Frigault MJ et al.  ·  N Engl J Med  ·  24.09.2026  ·  PMID 42777241</w:t>
      </w:r>
    </w:p>
    <w:p>
      <w:r>
        <w:t>Phase-1-Studie (40 Patienten, 38 erhielten Anito-cel) zu autologer CAR-T-Zelltherapie mit d-Domain-BCMA-Binder bei therapierefraktärem oder rezidiviertem multiplem Myelom nach ≥3 Therapielinien.</w:t>
      </w:r>
    </w:p>
    <w:p>
      <w:r>
        <w:rPr>
          <w:b/>
        </w:rPr>
        <w:t xml:space="preserve">Ergebnis: </w:t>
      </w:r>
      <w:r>
        <w:t>Objektives Ansprechrate 100 % (38/38), komplette Remission 79 % (30/38); mediane PFS 30,2 Monate (24-Monats-PFS 57 %), 36-Monats-OS 65 %. CRS Grad 1–2 bei 94 % (beim empfohlenen Dosis-Level), kein Grad-≥3-CRS. ICANS Grad 1–2 bei 16 %, Grad 3 bei 3 % (1 Patient). Keine Neurotoxizität oder Off-Target-Effekte.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US-Zulassungsstudie, internationale Relevanz, Verfügbarkeit in Deutschland fraglich</w:t>
      </w:r>
    </w:p>
    <w:p>
      <w:r>
        <w:rPr>
          <w:color w:val="5A7D3A"/>
          <w:sz w:val="18"/>
        </w:rPr>
        <w:t>https://pubmed.ncbi.nlm.nih.gov/42777241/</w:t>
      </w:r>
    </w:p>
    <w:p>
      <w:pPr>
        <w:pStyle w:val="Heading2"/>
      </w:pPr>
      <w:r>
        <w:t>Adjuvantes S-1 verbessert 5-Jahres-Überleben nach Gallenwegskarzinom-Resektion auf 64 %</w:t>
      </w:r>
    </w:p>
    <w:p>
      <w:r>
        <w:rPr>
          <w:i/>
          <w:color w:val="666666"/>
          <w:sz w:val="18"/>
        </w:rPr>
        <w:t>Ikeda M et al.  ·  J Clin Oncol  ·  23.09.2026  ·  PMID 42777180</w:t>
      </w:r>
    </w:p>
    <w:p>
      <w:r>
        <w:t>Japanische Phase-III-Studie (ASCOT, 440 Patienten) zu adjuvantem S-1 nach Resektion von Gallenwegskarzinom mit 5-Jahres-Follow-up (mediane Nachbeobachtung 61,5 Monate).</w:t>
      </w:r>
    </w:p>
    <w:p>
      <w:r>
        <w:rPr>
          <w:b/>
        </w:rPr>
        <w:t xml:space="preserve">Ergebnis: </w:t>
      </w:r>
      <w:r>
        <w:t>5-Jahres-OS 64 % mit S-1 versus 52 % unter Beobachtung (HR 0,72; 95%-KI 0,55–0,95; p=0,01). Mediane OS 8,2 versus 5,9 Jahre. Mediane RFS 3,5 (S-1) versus 6,1 Jahre (Beobachtung). Behandlungseffekt über Subgruppen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Gesundheitssystem, internationales Standard-Chemotherapieschema, AMNOG-Nutzen möglich</w:t>
      </w:r>
    </w:p>
    <w:p>
      <w:r>
        <w:rPr>
          <w:color w:val="5A7D3A"/>
          <w:sz w:val="18"/>
        </w:rPr>
        <w:t>https://pubmed.ncbi.nlm.nih.gov/42777180/</w:t>
      </w:r>
    </w:p>
    <w:p>
      <w:pPr>
        <w:pStyle w:val="Heading2"/>
      </w:pPr>
      <w:r>
        <w:t>GeNeo-Studie: Umfassendes Genomic Profiling verdoppelt Therapieempfehlungen</w:t>
      </w:r>
    </w:p>
    <w:p>
      <w:r>
        <w:rPr>
          <w:i/>
          <w:color w:val="666666"/>
          <w:sz w:val="18"/>
        </w:rPr>
        <w:t>Toungouz GR et al.  ·  Eur J Cancer  ·  03.06.2026  ·  PMID 42773586</w:t>
      </w:r>
    </w:p>
    <w:p>
      <w:r>
        <w:t>Belgische Studie an 1.000 metastasierten oder lokal fortgeschrittenen Krebspatienten, Vergleich umfassendes Genomic Profiling (CGP) versus beschränkte lokale NGS-Panels im Rahmen der belgischen Präzisionsmedizin-Initiative.</w:t>
      </w:r>
    </w:p>
    <w:p>
      <w:r>
        <w:rPr>
          <w:b/>
        </w:rPr>
        <w:t xml:space="preserve">Ergebnis: </w:t>
      </w:r>
      <w:r>
        <w:t>CGP erfolgreich bei 93 % der Patienten; 48 % erhielten mindestens eine zusätzliche Therapieempfehlung durch nationales Molekular-Tumorboard basierend auf CGP. 61 % aller Patienten erhielten CGP-basierte Empfehlungen; 23 % davon erhalten die empfohlene Therapie (Blockage: Nichtverfügbarkeit 25 %, klinische Verschlechterung 24 %, Patientenwahl 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Belgisches Sozialversicherungssystem, ähnlich deutschem Struktur und Zulassungswegen</w:t>
      </w:r>
    </w:p>
    <w:p>
      <w:r>
        <w:rPr>
          <w:color w:val="5A7D3A"/>
          <w:sz w:val="18"/>
        </w:rPr>
        <w:t>https://pubmed.ncbi.nlm.nih.gov/42773586/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